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33" w:rsidRPr="00393A12" w:rsidRDefault="001C0933" w:rsidP="001C0933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Глобенко О.А.</w:t>
      </w:r>
      <w:r w:rsidRPr="00393A12">
        <w:rPr>
          <w:rFonts w:ascii="Times New Roman" w:hAnsi="Times New Roman" w:cs="Times New Roman"/>
          <w:b/>
          <w:sz w:val="28"/>
          <w:szCs w:val="28"/>
        </w:rPr>
        <w:t>, к.ю.н.</w:t>
      </w:r>
    </w:p>
    <w:p w:rsidR="001C0933" w:rsidRPr="003B56F9" w:rsidRDefault="001C0933" w:rsidP="001C0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Взаимосвязь компетенций в </w:t>
      </w:r>
      <w:r w:rsidRPr="003B56F9">
        <w:rPr>
          <w:rFonts w:ascii="Times New Roman" w:hAnsi="Times New Roman" w:cs="Times New Roman"/>
          <w:b/>
          <w:sz w:val="28"/>
          <w:szCs w:val="28"/>
        </w:rPr>
        <w:t>компетентностной модели выпускника</w:t>
      </w:r>
    </w:p>
    <w:p w:rsidR="001C0933" w:rsidRDefault="001C0933" w:rsidP="001C09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933">
        <w:rPr>
          <w:rFonts w:ascii="Times New Roman" w:hAnsi="Times New Roman" w:cs="Times New Roman"/>
          <w:sz w:val="28"/>
          <w:szCs w:val="28"/>
        </w:rPr>
        <w:t>Компетентностная модель выпускника</w:t>
      </w:r>
      <w:r>
        <w:rPr>
          <w:rFonts w:ascii="Times New Roman" w:hAnsi="Times New Roman" w:cs="Times New Roman"/>
          <w:sz w:val="28"/>
          <w:szCs w:val="28"/>
        </w:rPr>
        <w:t xml:space="preserve"> вуза по федеральному государственному </w:t>
      </w:r>
      <w:r w:rsidR="007F1CD6">
        <w:rPr>
          <w:rFonts w:ascii="Times New Roman" w:hAnsi="Times New Roman" w:cs="Times New Roman"/>
          <w:sz w:val="28"/>
          <w:szCs w:val="28"/>
        </w:rPr>
        <w:t xml:space="preserve">образовательному </w:t>
      </w:r>
      <w:r>
        <w:rPr>
          <w:rFonts w:ascii="Times New Roman" w:hAnsi="Times New Roman" w:cs="Times New Roman"/>
          <w:sz w:val="28"/>
          <w:szCs w:val="28"/>
        </w:rPr>
        <w:t>стандарту третьего поколения включает разнообразные компетенции</w:t>
      </w:r>
      <w:r w:rsidR="007F1C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общая цель которых сформировать адекватную реалиям рынка труда модель востребованного специалиста.</w:t>
      </w:r>
      <w:r w:rsidR="00937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78" w:rsidRDefault="00937078" w:rsidP="001C09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Компетентнсотный подход являет собой продуманную схему привития соответствующих знаний умений и навыков, которые бы отвечали запросам работодателя. Обращает на себя внимание связанность компетенций между собой, что</w:t>
      </w:r>
      <w:r w:rsidR="007F1C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безусловно определено теми задачами, которые стоят перед  реализующими их субъектами образовательной деятельности. </w:t>
      </w:r>
    </w:p>
    <w:p w:rsidR="007F1CD6" w:rsidRDefault="007F1CD6" w:rsidP="001C09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становления профессионала</w:t>
      </w:r>
      <w:r w:rsidR="004B2DA7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обусловила востребованность разделения компетенций на виды, что и было осуществлено в федеральном государственном образовательном стандарте третьего поколения, путем выделения общекультурных и профессиональных компетенций. Однако данное разделение не предполагает размежевания учебных дисциплин  только на те</w:t>
      </w:r>
      <w:r w:rsidR="004B2D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реализуют общекультурные и те, которые реализуют </w:t>
      </w:r>
      <w:r w:rsidR="00FF3F22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профессиональные компетенции. Возможность микшировать эти компетенции</w:t>
      </w:r>
      <w:r w:rsidR="004B2DA7">
        <w:rPr>
          <w:rFonts w:ascii="Times New Roman" w:hAnsi="Times New Roman" w:cs="Times New Roman"/>
          <w:sz w:val="28"/>
          <w:szCs w:val="28"/>
        </w:rPr>
        <w:t xml:space="preserve">, включив </w:t>
      </w:r>
      <w:r>
        <w:rPr>
          <w:rFonts w:ascii="Times New Roman" w:hAnsi="Times New Roman" w:cs="Times New Roman"/>
          <w:sz w:val="28"/>
          <w:szCs w:val="28"/>
        </w:rPr>
        <w:t xml:space="preserve"> оба вида в ту или иную учебную дисциплину – это прерогатива </w:t>
      </w:r>
      <w:r w:rsidR="004B2DA7">
        <w:rPr>
          <w:rFonts w:ascii="Times New Roman" w:hAnsi="Times New Roman" w:cs="Times New Roman"/>
          <w:sz w:val="28"/>
          <w:szCs w:val="28"/>
        </w:rPr>
        <w:t xml:space="preserve">самого </w:t>
      </w:r>
      <w:r>
        <w:rPr>
          <w:rFonts w:ascii="Times New Roman" w:hAnsi="Times New Roman" w:cs="Times New Roman"/>
          <w:sz w:val="28"/>
          <w:szCs w:val="28"/>
        </w:rPr>
        <w:t>учебного заведения.</w:t>
      </w:r>
    </w:p>
    <w:p w:rsidR="001C0933" w:rsidRPr="00393A12" w:rsidRDefault="001C0933" w:rsidP="001C093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A12">
        <w:rPr>
          <w:rFonts w:ascii="Times New Roman" w:hAnsi="Times New Roman" w:cs="Times New Roman"/>
          <w:i/>
          <w:sz w:val="28"/>
          <w:szCs w:val="28"/>
        </w:rPr>
        <w:t>Список литературы:</w:t>
      </w:r>
    </w:p>
    <w:p w:rsidR="001C0933" w:rsidRPr="00393A12" w:rsidRDefault="001C0933" w:rsidP="001C09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A12">
        <w:rPr>
          <w:rFonts w:ascii="Times New Roman" w:eastAsiaTheme="minorHAnsi" w:hAnsi="Times New Roman" w:cs="Times New Roman"/>
          <w:sz w:val="28"/>
          <w:szCs w:val="28"/>
        </w:rPr>
        <w:t>Ильязова М. Д. Инвариантная структура компетентности субъекта деятельности // Вестник Астраханского государственного технического университета. – 2009. – №1 (48). – С. 166–172.</w:t>
      </w:r>
    </w:p>
    <w:p w:rsidR="007156B8" w:rsidRDefault="001C0933" w:rsidP="004B2DA7">
      <w:pPr>
        <w:pStyle w:val="a3"/>
        <w:numPr>
          <w:ilvl w:val="0"/>
          <w:numId w:val="1"/>
        </w:numPr>
        <w:spacing w:line="360" w:lineRule="auto"/>
        <w:jc w:val="both"/>
      </w:pPr>
      <w:r w:rsidRPr="004B2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Лобашев В.Д. Адаев Б.М. Тенденции развития систем профессионального образования</w:t>
      </w:r>
      <w:r w:rsidRPr="004B2DA7">
        <w:rPr>
          <w:rFonts w:ascii="Times New Roman" w:hAnsi="Times New Roman" w:cs="Times New Roman"/>
          <w:sz w:val="28"/>
          <w:szCs w:val="28"/>
        </w:rPr>
        <w:t xml:space="preserve"> //  </w:t>
      </w:r>
      <w:hyperlink r:id="rId8" w:tooltip="Оглавления выпусков этого журнала" w:history="1">
        <w:r w:rsidRPr="004B2D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Среднее профессиональное образование</w:t>
        </w:r>
      </w:hyperlink>
      <w:r w:rsidRPr="004B2DA7">
        <w:rPr>
          <w:rFonts w:ascii="Times New Roman" w:eastAsia="Times New Roman" w:hAnsi="Times New Roman" w:cs="Times New Roman"/>
          <w:sz w:val="28"/>
          <w:szCs w:val="28"/>
          <w:lang w:eastAsia="ru-RU"/>
        </w:rPr>
        <w:t>  - 2016.  -  №4. – С.3-7.</w:t>
      </w:r>
    </w:p>
    <w:sectPr w:rsidR="007156B8" w:rsidSect="0071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67" w:rsidRDefault="00C72F67" w:rsidP="001C0933">
      <w:pPr>
        <w:spacing w:after="0" w:line="240" w:lineRule="auto"/>
      </w:pPr>
      <w:r>
        <w:separator/>
      </w:r>
    </w:p>
  </w:endnote>
  <w:endnote w:type="continuationSeparator" w:id="0">
    <w:p w:rsidR="00C72F67" w:rsidRDefault="00C72F67" w:rsidP="001C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67" w:rsidRDefault="00C72F67" w:rsidP="001C0933">
      <w:pPr>
        <w:spacing w:after="0" w:line="240" w:lineRule="auto"/>
      </w:pPr>
      <w:r>
        <w:separator/>
      </w:r>
    </w:p>
  </w:footnote>
  <w:footnote w:type="continuationSeparator" w:id="0">
    <w:p w:rsidR="00C72F67" w:rsidRDefault="00C72F67" w:rsidP="001C0933">
      <w:pPr>
        <w:spacing w:after="0" w:line="240" w:lineRule="auto"/>
      </w:pPr>
      <w:r>
        <w:continuationSeparator/>
      </w:r>
    </w:p>
  </w:footnote>
  <w:footnote w:id="1">
    <w:p w:rsidR="004B2DA7" w:rsidRPr="004B2DA7" w:rsidRDefault="004B2DA7" w:rsidP="004B2DA7">
      <w:pPr>
        <w:spacing w:line="360" w:lineRule="auto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4B2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Лобашев В.Д. Адаев Б.М. Тенденции развития систем профессионального образования</w:t>
      </w:r>
      <w:r w:rsidRPr="004B2DA7">
        <w:rPr>
          <w:rFonts w:ascii="Times New Roman" w:hAnsi="Times New Roman" w:cs="Times New Roman"/>
          <w:sz w:val="24"/>
          <w:szCs w:val="24"/>
        </w:rPr>
        <w:t xml:space="preserve"> //  </w:t>
      </w:r>
      <w:hyperlink r:id="rId1" w:tooltip="Оглавления выпусков этого журнала" w:history="1">
        <w:r w:rsidRPr="004B2D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Среднее профессиональное образование</w:t>
        </w:r>
      </w:hyperlink>
      <w:r w:rsidRPr="004B2DA7">
        <w:rPr>
          <w:rFonts w:ascii="Times New Roman" w:eastAsia="Times New Roman" w:hAnsi="Times New Roman" w:cs="Times New Roman"/>
          <w:sz w:val="24"/>
          <w:szCs w:val="24"/>
          <w:lang w:eastAsia="ru-RU"/>
        </w:rPr>
        <w:t>  - 2016.  -  №4. – С.3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Pr="004B2D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2DA7" w:rsidRDefault="004B2DA7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4042"/>
    <w:multiLevelType w:val="hybridMultilevel"/>
    <w:tmpl w:val="B664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933"/>
    <w:rsid w:val="001C0933"/>
    <w:rsid w:val="003D6C09"/>
    <w:rsid w:val="003E7F16"/>
    <w:rsid w:val="004B2DA7"/>
    <w:rsid w:val="007156B8"/>
    <w:rsid w:val="007F1CD6"/>
    <w:rsid w:val="00937078"/>
    <w:rsid w:val="00C72F67"/>
    <w:rsid w:val="00FF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33"/>
    <w:pPr>
      <w:spacing w:after="160" w:line="259" w:lineRule="auto"/>
      <w:ind w:left="720"/>
      <w:contextualSpacing/>
    </w:pPr>
    <w:rPr>
      <w:rFonts w:ascii="Calibri" w:eastAsia="Calibri" w:hAnsi="Calibri" w:cs="SimSun"/>
    </w:rPr>
  </w:style>
  <w:style w:type="paragraph" w:styleId="a4">
    <w:name w:val="footnote text"/>
    <w:basedOn w:val="a"/>
    <w:link w:val="a5"/>
    <w:uiPriority w:val="99"/>
    <w:semiHidden/>
    <w:unhideWhenUsed/>
    <w:rsid w:val="001C0933"/>
    <w:pPr>
      <w:spacing w:after="0" w:line="240" w:lineRule="auto"/>
    </w:pPr>
    <w:rPr>
      <w:rFonts w:ascii="Calibri" w:eastAsia="Calibri" w:hAnsi="Calibri" w:cs="SimSu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0933"/>
    <w:rPr>
      <w:rFonts w:ascii="Calibri" w:eastAsia="Calibri" w:hAnsi="Calibri" w:cs="SimSu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09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5845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library.ru/contents.asp?issueid=1584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90AE-442A-4CFA-BBE4-14C9601E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2017-01-31T19:51:00Z</dcterms:created>
  <dcterms:modified xsi:type="dcterms:W3CDTF">2017-02-05T15:59:00Z</dcterms:modified>
</cp:coreProperties>
</file>