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D7" w:rsidRDefault="00272695" w:rsidP="00272695">
      <w:pPr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272695">
        <w:rPr>
          <w:rFonts w:ascii="Times New Roman" w:hAnsi="Times New Roman" w:cs="Times New Roman"/>
          <w:b/>
          <w:sz w:val="40"/>
        </w:rPr>
        <w:t>Игровые методы обучения в педагогической практике</w:t>
      </w:r>
    </w:p>
    <w:p w:rsidR="00272695" w:rsidRDefault="00272695" w:rsidP="009C588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72695">
        <w:rPr>
          <w:rFonts w:ascii="Times New Roman" w:hAnsi="Times New Roman" w:cs="Times New Roman"/>
          <w:sz w:val="28"/>
        </w:rPr>
        <w:t xml:space="preserve">        Игра - самостоятельная деятельность дошкольников. В игре, как во всякой творческой коллективной деятельности, происходит столкновение умов, характеров, замыслов. Именно в этом столкновении складывается личность ребёнка, формируется детский коллектив. Воспитание у детей дошкольного возраста, гуманного отношения к сверстникам является на современном этапе одной из главных задач нравственного воспитания.</w:t>
      </w:r>
    </w:p>
    <w:p w:rsidR="009C588A" w:rsidRPr="009C588A" w:rsidRDefault="009C588A" w:rsidP="009C588A">
      <w:pPr>
        <w:spacing w:line="36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Статьёй 79 Федерального закона №273 от </w:t>
      </w:r>
      <w:hyperlink r:id="rId6" w:history="1">
        <w:r w:rsidRPr="009C588A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29.12.2012</w:t>
        </w:r>
      </w:hyperlink>
      <w:r w:rsidRPr="009C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«Об образовании в Российской Федерации» регламентировано, что о</w:t>
      </w:r>
      <w:r w:rsidRPr="009C5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рганизация получения образования обучающимися с ограниченными возможностями здоровья гласит о </w:t>
      </w:r>
      <w:r w:rsidRP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содержании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программой. </w:t>
      </w:r>
      <w:r w:rsidRPr="009C5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 а так же различных игровых материалов. </w:t>
      </w:r>
    </w:p>
    <w:p w:rsidR="00F91E96" w:rsidRDefault="009C588A" w:rsidP="009C588A">
      <w:pPr>
        <w:shd w:val="clear" w:color="auto" w:fill="FFFFFF" w:themeFill="background1"/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91E96" w:rsidRPr="00F91E96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 xml:space="preserve">Сюжетно-ролевая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 (или моделируют) жизнь </w:t>
      </w:r>
      <w:r w:rsidR="00F91E96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>взрослых и отношения между ними.</w:t>
      </w:r>
    </w:p>
    <w:p w:rsidR="00F91E96" w:rsidRPr="00F91E96" w:rsidRDefault="00F91E96" w:rsidP="009C588A">
      <w:pPr>
        <w:shd w:val="clear" w:color="auto" w:fill="FFFFFF" w:themeFill="background1"/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>Дети с нарушением интеллекта так же берут на себя роль взрослого, воспроизводят действия, только с помощью взрослого и действия однообразные.</w:t>
      </w:r>
    </w:p>
    <w:p w:rsidR="00F91E96" w:rsidRPr="00F91E96" w:rsidRDefault="00F91E96" w:rsidP="009C588A">
      <w:pPr>
        <w:shd w:val="clear" w:color="auto" w:fill="FFFFFF" w:themeFill="background1"/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</w:pPr>
      <w:r w:rsidRPr="00F91E96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lastRenderedPageBreak/>
        <w:t>Руководство сюже</w:t>
      </w:r>
      <w:r w:rsidR="004F4A52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>тно-ролевой игрой в компенсирующей группе требует больше</w:t>
      </w:r>
      <w:r w:rsidRPr="00F91E96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 xml:space="preserve">го </w:t>
      </w:r>
      <w:r w:rsidR="004F4A52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>времени, терпения</w:t>
      </w:r>
      <w:r w:rsidRPr="00F91E96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>. Воспитатель должен направлять игру, не нарушая ее</w:t>
      </w:r>
      <w:r w:rsidR="004F4A52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>. Существуют приёмы:</w:t>
      </w:r>
    </w:p>
    <w:p w:rsidR="00F91E96" w:rsidRPr="00F91E96" w:rsidRDefault="00F91E96" w:rsidP="009C588A">
      <w:pPr>
        <w:shd w:val="clear" w:color="auto" w:fill="FFFFFF" w:themeFill="background1"/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</w:pPr>
      <w:r w:rsidRPr="00F91E96">
        <w:rPr>
          <w:rFonts w:ascii="Times New Roman" w:eastAsia="Times New Roman" w:hAnsi="Times New Roman" w:cs="Times New Roman"/>
          <w:b/>
          <w:bCs/>
          <w:color w:val="14262A"/>
          <w:sz w:val="28"/>
          <w:szCs w:val="21"/>
          <w:lang w:eastAsia="ru-RU"/>
        </w:rPr>
        <w:t>Косвенные приемы</w:t>
      </w:r>
      <w:r w:rsidRPr="00F91E96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> – без непосредственного вмешательства в игру (внесение игрушек, создание игровой обстановки до начала игры).</w:t>
      </w:r>
    </w:p>
    <w:p w:rsidR="00F91E96" w:rsidRPr="00F91E96" w:rsidRDefault="00F91E96" w:rsidP="009C588A">
      <w:pPr>
        <w:shd w:val="clear" w:color="auto" w:fill="FFFFFF" w:themeFill="background1"/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</w:pPr>
      <w:r w:rsidRPr="00F91E96">
        <w:rPr>
          <w:rFonts w:ascii="Times New Roman" w:eastAsia="Times New Roman" w:hAnsi="Times New Roman" w:cs="Times New Roman"/>
          <w:b/>
          <w:bCs/>
          <w:color w:val="14262A"/>
          <w:sz w:val="28"/>
          <w:szCs w:val="21"/>
          <w:lang w:eastAsia="ru-RU"/>
        </w:rPr>
        <w:t>Прямые приемы</w:t>
      </w:r>
      <w:r w:rsidRPr="00F91E96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 xml:space="preserve"> – непосредственное включение педагога в игру (ролевое участие в игре, участие в сговоре детей, разъяснение, помощь, совет по ходу игры, предложение новой темы игры и др.) </w:t>
      </w:r>
      <w:r w:rsidR="009C588A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>Этот приём наиболее приемлем для детей с нарушением интеллекта</w:t>
      </w:r>
    </w:p>
    <w:p w:rsidR="00F91E96" w:rsidRPr="00F91E96" w:rsidRDefault="009C588A" w:rsidP="009C588A">
      <w:pPr>
        <w:shd w:val="clear" w:color="auto" w:fill="FFFFFF" w:themeFill="background1"/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262A"/>
          <w:sz w:val="28"/>
          <w:szCs w:val="21"/>
          <w:lang w:eastAsia="ru-RU"/>
        </w:rPr>
        <w:t>К</w:t>
      </w:r>
      <w:r w:rsidR="00F91E96" w:rsidRPr="00F91E96">
        <w:rPr>
          <w:rFonts w:ascii="Times New Roman" w:eastAsia="Times New Roman" w:hAnsi="Times New Roman" w:cs="Times New Roman"/>
          <w:b/>
          <w:bCs/>
          <w:color w:val="14262A"/>
          <w:sz w:val="28"/>
          <w:szCs w:val="21"/>
          <w:lang w:eastAsia="ru-RU"/>
        </w:rPr>
        <w:t>омплексный метод</w:t>
      </w:r>
      <w:r w:rsidR="00F91E96" w:rsidRPr="00F91E96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>. Комплексный метод руководства представляет собой систему педагогических воздействий, способствующих развитию самостоятельной сюжетной игры детей</w:t>
      </w:r>
      <w:r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 xml:space="preserve">. </w:t>
      </w:r>
      <w:r w:rsidR="00F91E96" w:rsidRPr="00F91E96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>Этот метод включает в себя следующие компоненты: - планомерное педагогически активное обогащение жизненного опыта детей;</w:t>
      </w:r>
    </w:p>
    <w:p w:rsidR="00F91E96" w:rsidRPr="00F91E96" w:rsidRDefault="00F91E96" w:rsidP="009C588A">
      <w:pPr>
        <w:shd w:val="clear" w:color="auto" w:fill="FFFFFF" w:themeFill="background1"/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</w:pPr>
      <w:r w:rsidRPr="00F91E96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>- совместные (обучающие) игры педагога с детьми, направленные на передачу им игрового опыта традиционной культуры игры; - своевременное изменение предметно-игровой среды с учетом обогащающегося жизненного и игрового опыта;</w:t>
      </w:r>
    </w:p>
    <w:p w:rsidR="00F91E96" w:rsidRPr="00F91E96" w:rsidRDefault="00F91E96" w:rsidP="009C588A">
      <w:pPr>
        <w:shd w:val="clear" w:color="auto" w:fill="FFFFFF" w:themeFill="background1"/>
        <w:spacing w:before="195" w:after="195" w:line="360" w:lineRule="auto"/>
        <w:jc w:val="both"/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</w:pPr>
      <w:r w:rsidRPr="00F91E96">
        <w:rPr>
          <w:rFonts w:ascii="Times New Roman" w:eastAsia="Times New Roman" w:hAnsi="Times New Roman" w:cs="Times New Roman"/>
          <w:color w:val="14262A"/>
          <w:sz w:val="28"/>
          <w:szCs w:val="21"/>
          <w:lang w:eastAsia="ru-RU"/>
        </w:rPr>
        <w:t>- активизирующее общение взрослого с детьми, направленное на побуждение их к самостоятельному применению в игре новых способов решения игровых задач и новых знаний о мире.</w:t>
      </w:r>
    </w:p>
    <w:p w:rsidR="009C588A" w:rsidRPr="009C588A" w:rsidRDefault="009C588A" w:rsidP="009C588A">
      <w:pPr>
        <w:spacing w:line="360" w:lineRule="auto"/>
        <w:ind w:left="-284" w:right="566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для детей с нарушением интеллекта представляет большие возможности для развития и совершенствования речи ребёнка, физического, умственного и эстетического воспитания.</w:t>
      </w:r>
    </w:p>
    <w:p w:rsidR="009C588A" w:rsidRPr="009C588A" w:rsidRDefault="009C588A" w:rsidP="009C588A">
      <w:pPr>
        <w:spacing w:line="360" w:lineRule="auto"/>
        <w:ind w:left="-284" w:right="565" w:firstLine="992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C588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современной коррекционной психологии активно изучаются проблемы детей, имеющих нарушения в развитии. </w:t>
      </w:r>
    </w:p>
    <w:p w:rsidR="009C588A" w:rsidRPr="009C588A" w:rsidRDefault="009C588A" w:rsidP="009C588A">
      <w:pPr>
        <w:spacing w:line="360" w:lineRule="auto"/>
        <w:ind w:left="-284" w:right="566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ряду с общим влиянием игры на весь ход психического развития детей особое значение игра приобретает в коррекционном педагогическом процессе воспитания и обучения детей 3 года обучения с нарушением интеллекта. </w:t>
      </w:r>
    </w:p>
    <w:p w:rsidR="009C588A" w:rsidRPr="009C588A" w:rsidRDefault="009C588A" w:rsidP="009C588A">
      <w:pPr>
        <w:spacing w:line="360" w:lineRule="auto"/>
        <w:ind w:left="-284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9C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особенностями  игровой  деятельности детей с нарушением интеллекта: в содержании, ролевых диалогах, сюжетах,  взаимоотношениях, при условии  целенаправленного педагогического воздействия со стороны педагогов повышается уровень взаимоотношений детей 3 года обучения с нарушением интеллекта. </w:t>
      </w:r>
      <w:r w:rsidRPr="009C58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отличие от нормально развивающихся сверстников дети с интеллектуальной недостаточностью не обнаруживают длительного увлечения, поглощения игрой. По данным Н.Д. Соколовой, нормально развивающиеся дети пяти, шести лет могут играть в течение часа. Дошкольники с интеллектуальной недостаточностью того же возраста - не более 20-25 минут.</w:t>
      </w:r>
    </w:p>
    <w:p w:rsidR="00825710" w:rsidRPr="00272695" w:rsidRDefault="00825710" w:rsidP="00F91E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825710" w:rsidRPr="0027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6F3F"/>
    <w:multiLevelType w:val="multilevel"/>
    <w:tmpl w:val="49688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95"/>
    <w:rsid w:val="00272695"/>
    <w:rsid w:val="00275919"/>
    <w:rsid w:val="003248D7"/>
    <w:rsid w:val="004F4A52"/>
    <w:rsid w:val="00825710"/>
    <w:rsid w:val="009C588A"/>
    <w:rsid w:val="00F9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Няшечка</dc:creator>
  <cp:lastModifiedBy>Няшечка</cp:lastModifiedBy>
  <cp:revision>2</cp:revision>
  <dcterms:created xsi:type="dcterms:W3CDTF">2018-03-05T12:03:00Z</dcterms:created>
  <dcterms:modified xsi:type="dcterms:W3CDTF">2018-03-05T12:03:00Z</dcterms:modified>
</cp:coreProperties>
</file>