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C8" w:rsidRPr="00FD0A73" w:rsidRDefault="003A2DC8" w:rsidP="00FD0A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Муниципальное </w:t>
      </w:r>
      <w:r w:rsidR="00FD0A73">
        <w:rPr>
          <w:rFonts w:ascii="Times New Roman" w:hAnsi="Times New Roman"/>
          <w:sz w:val="28"/>
          <w:szCs w:val="28"/>
        </w:rPr>
        <w:t>бюджетное</w:t>
      </w:r>
      <w:r w:rsidRPr="00FD0A73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3A2DC8" w:rsidRPr="00FD0A73" w:rsidRDefault="003A2DC8" w:rsidP="00FD0A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детский сад </w:t>
      </w:r>
      <w:r w:rsidR="00FD0A73">
        <w:rPr>
          <w:rFonts w:ascii="Times New Roman" w:hAnsi="Times New Roman"/>
          <w:sz w:val="28"/>
          <w:szCs w:val="28"/>
        </w:rPr>
        <w:t>комбинированного</w:t>
      </w:r>
      <w:r w:rsidRPr="00FD0A73">
        <w:rPr>
          <w:rFonts w:ascii="Times New Roman" w:hAnsi="Times New Roman"/>
          <w:sz w:val="28"/>
          <w:szCs w:val="28"/>
        </w:rPr>
        <w:t xml:space="preserve"> вида №</w:t>
      </w:r>
      <w:r w:rsidR="00FD0A73">
        <w:rPr>
          <w:rFonts w:ascii="Times New Roman" w:hAnsi="Times New Roman"/>
          <w:sz w:val="28"/>
          <w:szCs w:val="28"/>
        </w:rPr>
        <w:t xml:space="preserve"> 11</w:t>
      </w:r>
      <w:r w:rsidRPr="00FD0A73">
        <w:rPr>
          <w:rFonts w:ascii="Times New Roman" w:hAnsi="Times New Roman"/>
          <w:sz w:val="28"/>
          <w:szCs w:val="28"/>
        </w:rPr>
        <w:t xml:space="preserve"> г. </w:t>
      </w:r>
      <w:r w:rsidR="00FD0A73">
        <w:rPr>
          <w:rFonts w:ascii="Times New Roman" w:hAnsi="Times New Roman"/>
          <w:sz w:val="28"/>
          <w:szCs w:val="28"/>
        </w:rPr>
        <w:t>Белгорода</w:t>
      </w:r>
    </w:p>
    <w:p w:rsidR="003A2DC8" w:rsidRPr="00FD0A73" w:rsidRDefault="003A2DC8" w:rsidP="00FD0A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C8" w:rsidRPr="00FD0A73" w:rsidRDefault="003A2DC8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2DC8" w:rsidRPr="00FD0A73" w:rsidRDefault="003A2DC8" w:rsidP="00FD0A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2DC8" w:rsidRPr="00FD0A73" w:rsidRDefault="00FD0A73" w:rsidP="00FD0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Тема:  </w:t>
      </w:r>
      <w:r w:rsidR="00B97156">
        <w:rPr>
          <w:rFonts w:ascii="Times New Roman" w:hAnsi="Times New Roman"/>
          <w:b/>
          <w:sz w:val="28"/>
          <w:szCs w:val="28"/>
        </w:rPr>
        <w:t>Нетрадиционные формы работ</w:t>
      </w:r>
      <w:r w:rsidR="00B97156">
        <w:rPr>
          <w:rFonts w:ascii="Times New Roman" w:hAnsi="Times New Roman"/>
          <w:b/>
          <w:sz w:val="28"/>
          <w:szCs w:val="28"/>
        </w:rPr>
        <w:t xml:space="preserve">ы педагогов с родителями в ДОУ </w:t>
      </w:r>
      <w:r w:rsidR="00B97156">
        <w:rPr>
          <w:rFonts w:ascii="Times New Roman" w:hAnsi="Times New Roman"/>
          <w:b/>
          <w:sz w:val="28"/>
          <w:szCs w:val="28"/>
        </w:rPr>
        <w:t xml:space="preserve">в условиях ФГОС </w:t>
      </w:r>
      <w:proofErr w:type="gramStart"/>
      <w:r w:rsidR="00B97156">
        <w:rPr>
          <w:rFonts w:ascii="Times New Roman" w:hAnsi="Times New Roman"/>
          <w:b/>
          <w:sz w:val="28"/>
          <w:szCs w:val="28"/>
        </w:rPr>
        <w:t>ДО</w:t>
      </w:r>
      <w:bookmarkStart w:id="0" w:name="_GoBack"/>
      <w:bookmarkEnd w:id="0"/>
      <w:proofErr w:type="gramEnd"/>
      <w:r w:rsidRPr="00FD0A73">
        <w:rPr>
          <w:rFonts w:ascii="Times New Roman" w:hAnsi="Times New Roman"/>
          <w:b/>
          <w:sz w:val="28"/>
          <w:szCs w:val="28"/>
        </w:rPr>
        <w:t>.</w:t>
      </w:r>
    </w:p>
    <w:p w:rsidR="003A2DC8" w:rsidRPr="00FD0A73" w:rsidRDefault="003A2DC8" w:rsidP="00FD0A7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A2DC8" w:rsidRPr="00FD0A73" w:rsidRDefault="00FD0A73" w:rsidP="00FD0A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Воспитатель:</w:t>
      </w:r>
    </w:p>
    <w:p w:rsidR="00FD0A73" w:rsidRDefault="00FD0A73" w:rsidP="00FD0A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Ткаченко Е.В.</w:t>
      </w:r>
    </w:p>
    <w:p w:rsidR="00FD0A73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</w:t>
      </w:r>
      <w:r w:rsidRPr="00FD0A73">
        <w:rPr>
          <w:rFonts w:ascii="Times New Roman" w:hAnsi="Times New Roman"/>
          <w:b/>
          <w:sz w:val="28"/>
          <w:szCs w:val="28"/>
        </w:rPr>
        <w:t>взаимодействие</w:t>
      </w:r>
      <w:r w:rsidRPr="00FD0A73">
        <w:rPr>
          <w:rFonts w:ascii="Times New Roman" w:hAnsi="Times New Roman"/>
          <w:sz w:val="28"/>
          <w:szCs w:val="28"/>
        </w:rPr>
        <w:t xml:space="preserve"> 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</w:t>
      </w:r>
    </w:p>
    <w:p w:rsidR="00496D3F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96D3F" w:rsidRPr="00FD0A73">
        <w:rPr>
          <w:rFonts w:ascii="Times New Roman" w:hAnsi="Times New Roman"/>
          <w:sz w:val="28"/>
          <w:szCs w:val="28"/>
        </w:rPr>
        <w:t>емья и дошкольное учреждение – два важных социальных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</w:t>
      </w:r>
    </w:p>
    <w:p w:rsidR="00496D3F" w:rsidRPr="00FD0A73" w:rsidRDefault="00496D3F" w:rsidP="00FD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>Нетрадиционные формы общения педагога с родителями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В настоящее время практикой накоплено многообразие нетрадиционных форм, но они ещё недостаточно изучены и обобщены. Схему классификации нетрадиционных форм предлагает </w:t>
      </w:r>
      <w:proofErr w:type="spellStart"/>
      <w:r w:rsidRPr="00FD0A73">
        <w:rPr>
          <w:rFonts w:ascii="Times New Roman" w:hAnsi="Times New Roman"/>
          <w:sz w:val="28"/>
          <w:szCs w:val="28"/>
        </w:rPr>
        <w:t>Т.В.Кротова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. Автором выделяются следующие нетрадиционные формы: информационно-аналитические  </w:t>
      </w:r>
      <w:proofErr w:type="gramStart"/>
      <w:r w:rsidRPr="00FD0A7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D0A73">
        <w:rPr>
          <w:rFonts w:ascii="Times New Roman" w:hAnsi="Times New Roman"/>
          <w:sz w:val="28"/>
          <w:szCs w:val="28"/>
        </w:rPr>
        <w:t>хотя по сути приближены к методам изучения семьи), досуговые, познавательные, наглядно-информационные (они представлены в таблице).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lastRenderedPageBreak/>
        <w:t>Нетрадиционные формы организации общения педагогов и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82"/>
        <w:gridCol w:w="3187"/>
      </w:tblGrid>
      <w:tr w:rsidR="00496D3F" w:rsidRPr="00FD0A73" w:rsidTr="00FD0A73"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D0A73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D0A73">
              <w:rPr>
                <w:rFonts w:ascii="Times New Roman" w:hAnsi="Times New Roman"/>
                <w:b/>
                <w:sz w:val="24"/>
                <w:szCs w:val="28"/>
              </w:rPr>
              <w:t>С какой целью используется эта форма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D0A73">
              <w:rPr>
                <w:rFonts w:ascii="Times New Roman" w:hAnsi="Times New Roman"/>
                <w:b/>
                <w:sz w:val="24"/>
                <w:szCs w:val="28"/>
              </w:rPr>
              <w:t>Формы проведения общения</w:t>
            </w:r>
          </w:p>
        </w:tc>
      </w:tr>
      <w:tr w:rsidR="00496D3F" w:rsidRPr="00FD0A73" w:rsidTr="00FD0A73"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Информационно-аналитические</w:t>
            </w: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Выявление интересов,</w:t>
            </w:r>
            <w:r w:rsidR="00FD0A73" w:rsidRPr="00FD0A7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D0A73">
              <w:rPr>
                <w:rFonts w:ascii="Times New Roman" w:hAnsi="Times New Roman"/>
                <w:sz w:val="24"/>
                <w:szCs w:val="28"/>
              </w:rPr>
              <w:t>потребностей,</w:t>
            </w:r>
            <w:r w:rsidR="00FD0A73" w:rsidRPr="00FD0A7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D0A73">
              <w:rPr>
                <w:rFonts w:ascii="Times New Roman" w:hAnsi="Times New Roman"/>
                <w:sz w:val="24"/>
                <w:szCs w:val="28"/>
              </w:rPr>
              <w:t>запросов родителей, уровня их педагогической грамотности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Проведение социологических срезов, опросов, «Почтовый ящик»</w:t>
            </w:r>
          </w:p>
        </w:tc>
      </w:tr>
      <w:tr w:rsidR="00496D3F" w:rsidRPr="00FD0A73" w:rsidTr="00FD0A73"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Досуговые</w:t>
            </w: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Совместные досуги, праздники, участие родителей и детей в выставках</w:t>
            </w:r>
          </w:p>
        </w:tc>
      </w:tr>
      <w:tr w:rsidR="00496D3F" w:rsidRPr="00FD0A73" w:rsidTr="00FD0A73"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Семинары-практикумы, педагогический брифинг, педагогическая гостиная, проведение собраний, консультаций в нетрадиционной форме, игры с педагогическим содержанием, педагогическая библиотека для родителей</w:t>
            </w:r>
          </w:p>
        </w:tc>
      </w:tr>
      <w:tr w:rsidR="00496D3F" w:rsidRPr="00FD0A73" w:rsidTr="00FD0A7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</w:t>
            </w:r>
          </w:p>
        </w:tc>
      </w:tr>
    </w:tbl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 xml:space="preserve">Информационно-аналитические формы </w:t>
      </w:r>
      <w:r w:rsidRPr="00FD0A73">
        <w:rPr>
          <w:rFonts w:ascii="Times New Roman" w:hAnsi="Times New Roman"/>
          <w:sz w:val="28"/>
          <w:szCs w:val="28"/>
        </w:rPr>
        <w:t xml:space="preserve">направлены на выявление интересов, запросов родителей, установление эмоционального контакта между педагогами, родителями и детьми. Сюда относятся опрос, тесты, анкетирование, «почтовый ящик», куда родители могут помещать волнующие их вопросы.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>Досуговые формы</w:t>
      </w:r>
      <w:r w:rsidRPr="00FD0A73">
        <w:rPr>
          <w:rFonts w:ascii="Times New Roman" w:hAnsi="Times New Roman"/>
          <w:sz w:val="28"/>
          <w:szCs w:val="28"/>
        </w:rPr>
        <w:t xml:space="preserve"> – совместные досуги, праздники, выставки –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позволят создать эмоциональный комфо</w:t>
      </w:r>
      <w:proofErr w:type="gramStart"/>
      <w:r w:rsidRPr="00FD0A73">
        <w:rPr>
          <w:rFonts w:ascii="Times New Roman" w:hAnsi="Times New Roman"/>
          <w:sz w:val="28"/>
          <w:szCs w:val="28"/>
        </w:rPr>
        <w:t>рт в гр</w:t>
      </w:r>
      <w:proofErr w:type="gramEnd"/>
      <w:r w:rsidRPr="00FD0A73">
        <w:rPr>
          <w:rFonts w:ascii="Times New Roman" w:hAnsi="Times New Roman"/>
          <w:sz w:val="28"/>
          <w:szCs w:val="28"/>
        </w:rPr>
        <w:t>уппе. Родители становятся более открытыми для общения. К досуговым формам относятся: праздники «Встреча Нового года», «Масленица», «Праздник мам», «Праздник урожая», «Спортивный праздник с родителями», «Кто быстрее соберет ребенка в детский сад? 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 xml:space="preserve">Познавательные формы. </w:t>
      </w:r>
      <w:r w:rsidRPr="00FD0A73">
        <w:rPr>
          <w:rFonts w:ascii="Times New Roman" w:hAnsi="Times New Roman"/>
          <w:sz w:val="28"/>
          <w:szCs w:val="28"/>
        </w:rPr>
        <w:t xml:space="preserve">Повышение психолого-педагогической культуры родителей. Их суть – ознакомление родителей с возрастными </w:t>
      </w:r>
      <w:r w:rsidRPr="00FD0A73">
        <w:rPr>
          <w:rFonts w:ascii="Times New Roman" w:hAnsi="Times New Roman"/>
          <w:sz w:val="28"/>
          <w:szCs w:val="28"/>
        </w:rPr>
        <w:lastRenderedPageBreak/>
        <w:t xml:space="preserve">особенностями детей дошкольного возраста, формирование практических навыков воспитания детей.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 xml:space="preserve">Наглядно-информационные формы </w:t>
      </w:r>
      <w:r w:rsidRPr="00FD0A73">
        <w:rPr>
          <w:rFonts w:ascii="Times New Roman" w:hAnsi="Times New Roman"/>
          <w:sz w:val="28"/>
          <w:szCs w:val="28"/>
        </w:rPr>
        <w:t xml:space="preserve">в нетрадиционном звучании позволяют правильно оценить деятельность педагогов, пересмотреть методы и приемы семейного воспитания. Например, открытые НОД для родителей, просмотр видеороликов, фотографий, презентаций, выставки детских работ. Используя мультимедийные средства, педагоги могут показать несколько фрагментов занятий с детьми, организации режимных моментов в ДОУ и таким образом сочетать разные формы взаимодействия.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>Нетрадиционные формы проведения родительских собраний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«Педагогическая лаборатория».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sz w:val="28"/>
          <w:szCs w:val="28"/>
          <w:lang w:eastAsia="ru-RU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 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«Читательская конференция»</w:t>
      </w:r>
      <w:r w:rsidRPr="00FD0A7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D0A73">
        <w:rPr>
          <w:rFonts w:ascii="Times New Roman" w:hAnsi="Times New Roman"/>
          <w:sz w:val="28"/>
          <w:szCs w:val="28"/>
          <w:lang w:eastAsia="ru-RU"/>
        </w:rPr>
        <w:t xml:space="preserve"> 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«Аукцион».</w:t>
      </w:r>
      <w:r w:rsidRPr="00FD0A73">
        <w:rPr>
          <w:rFonts w:ascii="Times New Roman" w:hAnsi="Times New Roman"/>
          <w:sz w:val="28"/>
          <w:szCs w:val="28"/>
          <w:lang w:eastAsia="ru-RU"/>
        </w:rPr>
        <w:t xml:space="preserve"> Собрание проходит в виде «продажи» полезных советов по выбранной теме в игровой форме. Например, формирование фонематического восприятия. Педагог 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 в виде игры и за каждый совет даются фишки (т.е. советы продаются за фишки). Советы, набравшие большее количество фишек помещают на стенд « Копилка родительского опыта».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«Семинар – практикум».</w:t>
      </w:r>
      <w:r w:rsidRPr="00FD0A73">
        <w:rPr>
          <w:rFonts w:ascii="Times New Roman" w:hAnsi="Times New Roman"/>
          <w:sz w:val="28"/>
          <w:szCs w:val="28"/>
          <w:lang w:eastAsia="ru-RU"/>
        </w:rPr>
        <w:t xml:space="preserve"> На собрании могут выступать воспитатель, 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</w:t>
      </w:r>
      <w:r w:rsidRPr="00FD0A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 обучить своих детей, их ценность с точки зрения развития речи. </w:t>
      </w:r>
    </w:p>
    <w:p w:rsidR="00496D3F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96D3F" w:rsidRPr="00FD0A73">
        <w:rPr>
          <w:rFonts w:ascii="Times New Roman" w:hAnsi="Times New Roman"/>
          <w:b/>
          <w:i/>
          <w:sz w:val="28"/>
          <w:szCs w:val="28"/>
          <w:lang w:eastAsia="ru-RU"/>
        </w:rPr>
        <w:t>«Душевный разговор».</w:t>
      </w:r>
      <w:r w:rsidR="00496D3F" w:rsidRPr="00FD0A73">
        <w:rPr>
          <w:rFonts w:ascii="Times New Roman" w:hAnsi="Times New Roman"/>
          <w:sz w:val="28"/>
          <w:szCs w:val="28"/>
          <w:lang w:eastAsia="ru-RU"/>
        </w:rPr>
        <w:t xml:space="preserve"> 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леворукости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 w:rsidR="00496D3F" w:rsidRPr="00FD0A73">
        <w:rPr>
          <w:rFonts w:ascii="Times New Roman" w:hAnsi="Times New Roman"/>
          <w:sz w:val="28"/>
          <w:szCs w:val="28"/>
          <w:lang w:eastAsia="ru-RU"/>
        </w:rPr>
        <w:t>леворуких</w:t>
      </w:r>
      <w:proofErr w:type="spellEnd"/>
      <w:r w:rsidR="00496D3F" w:rsidRPr="00FD0A73">
        <w:rPr>
          <w:rFonts w:ascii="Times New Roman" w:hAnsi="Times New Roman"/>
          <w:sz w:val="28"/>
          <w:szCs w:val="28"/>
          <w:lang w:eastAsia="ru-RU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«Мастер – класс».</w:t>
      </w:r>
      <w:r w:rsidRPr="00FD0A73">
        <w:rPr>
          <w:rFonts w:ascii="Times New Roman" w:hAnsi="Times New Roman"/>
          <w:sz w:val="28"/>
          <w:szCs w:val="28"/>
          <w:lang w:eastAsia="ru-RU"/>
        </w:rPr>
        <w:t xml:space="preserve"> 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 размещаются на стенде « Копилка родительского опыта».</w:t>
      </w:r>
    </w:p>
    <w:p w:rsidR="00496D3F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96D3F" w:rsidRPr="00FD0A73">
        <w:rPr>
          <w:rFonts w:ascii="Times New Roman" w:hAnsi="Times New Roman"/>
          <w:b/>
          <w:i/>
          <w:sz w:val="28"/>
          <w:szCs w:val="28"/>
          <w:lang w:eastAsia="ru-RU"/>
        </w:rPr>
        <w:t>«Ток – шоу».</w:t>
      </w:r>
      <w:r w:rsidR="00496D3F" w:rsidRPr="00FD0A73">
        <w:rPr>
          <w:rFonts w:ascii="Times New Roman" w:hAnsi="Times New Roman"/>
          <w:sz w:val="28"/>
          <w:szCs w:val="28"/>
          <w:lang w:eastAsia="ru-RU"/>
        </w:rPr>
        <w:t xml:space="preserve"> Собрание такой формы подразумевает обсуждение одной проблемы с различных точек зрения, детализацией проблемы и возможных путей ее решения. На ток – шоу выступают родители, воспитатели, специалисты. К примеру,  возьмем кризис 3-х лет. Родителям предлагаются различные ситуации, их нужно рассмотреть с  разных точек зрения, обязательно аргументируя их. Определяются ключевые понятия кризиса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sz w:val="28"/>
          <w:szCs w:val="28"/>
          <w:lang w:eastAsia="ru-RU"/>
        </w:rPr>
        <w:t>3-х лет, совместно выделяются причины, затем зачитываются  мнения психологов. Все  позиции совместно обсуждаются. Родители сами определяют пути решения проблемы.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sz w:val="28"/>
          <w:szCs w:val="28"/>
          <w:lang w:eastAsia="ru-RU"/>
        </w:rPr>
        <w:t xml:space="preserve">«Вечера вопросов и ответов». Предварительно родителям дается задание продумать, сформулировать наиболее  волнующие их вопросы. В ходе обсуждения их со специалистами, другими родителями подобрать оптимальные пути их решения.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>Игры для проведения родительских собраний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Игра «Связующая нить» или «Радостная песенка»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Участники в кругу. По кругу передается клубок ниток. Ведущий обматывает край нити на палец и передает клубок следующему участнику, приветствуя его радостной песенкой: «Я очень рада, что Катя в нашей группе </w:t>
      </w:r>
      <w:r w:rsidRPr="00FD0A73">
        <w:rPr>
          <w:rFonts w:ascii="Times New Roman" w:hAnsi="Times New Roman"/>
          <w:sz w:val="28"/>
          <w:szCs w:val="28"/>
        </w:rPr>
        <w:lastRenderedPageBreak/>
        <w:t>есть…». Следующий участник наматывает нить на палец и поет песню соседу справа.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Игра «Аплодисменты» или Упражнение «Салют».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Участники в кругу. Каждый участник по очереди выходит в круг, называет свое имя, если есть участник с таким именем, то тоже выходит в круг. Все остальные приветствуют их «салютом» аплодисментов.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«Комплименты».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Глядя в глаза соседу, надо сказать ему несколько слов, похвалить за что-то, пожелать что-то хорошее. Упражнение проводится по кругу.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«Волшебные очки».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Ведущий объявляет: «Я хочу показать вам волшебные очки. Тот, кто их наденет, видит только хорошее в других, даже то, что человек прячет от всех. Вот сейчас я примерю эти очки... Ой, какие вы все красивые, веселые, умные!» Подходя к каждому участнику, ведущий называет какое-либо его достоинство. «А теперь мне хочется, чтобы каждый из вас примерил, эти очки и хорошенько рассмотрел своего соседа. Может быть, вы заметите то, что раньше не замечали».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Упражнение «Настроение».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Участники по очереди выбирают пиктограмму с изображением своего настроения. Рассказывают о нем.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Игра «Подарок по кругу»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По кругу передается корзинка с мелкими сувенирами, каждый участник должен поприветствовать своего соседа справа, выразить свою радость от встречи с ним  и подарить подарок со своими пожеланиями.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«Волшебный стул».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 Один участник садится на стул, остальные говорят ему комплименты.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 xml:space="preserve">Игра «Попадания».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С детьми заранее была проведена беседа, и ответы детей были записаны на магнитофон: Что ты любишь делать? Твое любимое блюдо? Любимая сказка? и т. д. На собрании родителям были предложены те же вопросы: Любимое блюдо вашего ребенка, любимая игра. Родители письменно давали ответы, а затем сравнивали свои ответы с ответами детей. Таким образом, родители сами делали вывод о том, как хорошо они знают своего ребенка.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Если во время собрания необходимо дать родителям больше практического материала, то это конечно </w:t>
      </w:r>
      <w:r w:rsidRPr="00FD0A73">
        <w:rPr>
          <w:rFonts w:ascii="Times New Roman" w:hAnsi="Times New Roman"/>
          <w:i/>
          <w:sz w:val="28"/>
          <w:szCs w:val="28"/>
        </w:rPr>
        <w:t>будет семинар</w:t>
      </w:r>
      <w:r w:rsidRPr="00FD0A73">
        <w:rPr>
          <w:rFonts w:ascii="Times New Roman" w:hAnsi="Times New Roman"/>
          <w:sz w:val="28"/>
          <w:szCs w:val="28"/>
        </w:rPr>
        <w:t>. На семинарах с родителями обыгрывается  все, о чем говорим. Если это тема игр, то коротко познакомить с различными  видами игр и предложить  поиграть в эти игры: «Определи на вкус», «Чудесный мешочек», «Море волнуется», «Узнай, что изменилось?», «Смешные названия».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>Если тема собрания - развитие моторики.</w:t>
      </w:r>
      <w:r w:rsidRPr="00FD0A73">
        <w:rPr>
          <w:rFonts w:ascii="Times New Roman" w:hAnsi="Times New Roman"/>
          <w:sz w:val="28"/>
          <w:szCs w:val="28"/>
        </w:rPr>
        <w:t xml:space="preserve"> Родители  играют  с пластилином,  с крупами,  с тестом. Провести обучение  родителей пальчиковой гимнастике предложить </w:t>
      </w:r>
      <w:proofErr w:type="spellStart"/>
      <w:r w:rsidRPr="00FD0A73">
        <w:rPr>
          <w:rFonts w:ascii="Times New Roman" w:hAnsi="Times New Roman"/>
          <w:sz w:val="28"/>
          <w:szCs w:val="28"/>
        </w:rPr>
        <w:t>рисовалки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A73">
        <w:rPr>
          <w:rFonts w:ascii="Times New Roman" w:hAnsi="Times New Roman"/>
          <w:sz w:val="28"/>
          <w:szCs w:val="28"/>
        </w:rPr>
        <w:t>обводилки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 и прочее.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lastRenderedPageBreak/>
        <w:t>Если тема связана с развитием  речи</w:t>
      </w:r>
      <w:proofErr w:type="gramStart"/>
      <w:r w:rsidRPr="00FD0A7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D0A73">
        <w:rPr>
          <w:rFonts w:ascii="Times New Roman" w:hAnsi="Times New Roman"/>
          <w:sz w:val="28"/>
          <w:szCs w:val="28"/>
        </w:rPr>
        <w:t xml:space="preserve">Предложить различные игры и упражнения на развитие речи: «Скажи наоборот», «Кузовок», «Продолжи фразу», «Я Илюша беру с собою грушу».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>Для пополнения родительских знаний о психологическом здоровье,</w:t>
      </w:r>
      <w:r w:rsidRPr="00FD0A73">
        <w:rPr>
          <w:rFonts w:ascii="Times New Roman" w:hAnsi="Times New Roman"/>
          <w:sz w:val="28"/>
          <w:szCs w:val="28"/>
        </w:rPr>
        <w:t xml:space="preserve"> об эмоциональных состояниях использую психологические игры, упражнения на </w:t>
      </w:r>
      <w:proofErr w:type="spellStart"/>
      <w:r w:rsidRPr="00FD0A73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, на снижение </w:t>
      </w:r>
      <w:proofErr w:type="spellStart"/>
      <w:r w:rsidRPr="00FD0A73">
        <w:rPr>
          <w:rFonts w:ascii="Times New Roman" w:hAnsi="Times New Roman"/>
          <w:sz w:val="28"/>
          <w:szCs w:val="28"/>
        </w:rPr>
        <w:t>психо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-эмоционального напряжения.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 xml:space="preserve">«Создание рисунка по кругу».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Участники рисуют на листе бумаги рисунок. По команде, рисование прекращается, а рисунок передается соседу справа, который продолжает рисовать дальше. Так продолжается, до тех пор,  пока рисунки не обойдут круг.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«Я такой же, как ты»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В руках у ведущего мяч. Тот, кому он достанется, бросает его любому и, обратившись по имени, объясняет, почему он такой же: Я такой же, как ты, потому что …». Тот, кому бросили мячик, выражает согласие или не согласие, и обращается к другому участнику.</w:t>
      </w:r>
    </w:p>
    <w:p w:rsidR="00496D3F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Вся наша работа направлена на объединение двух воспитательных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A73">
        <w:rPr>
          <w:rFonts w:ascii="Times New Roman" w:hAnsi="Times New Roman"/>
          <w:sz w:val="28"/>
          <w:szCs w:val="28"/>
        </w:rPr>
        <w:t>детского сада и семьи, для того, чтобы создать оптимальные условия для вхождения дошкольника в большой мир. Мы убеждены, что успешно решать все наши проблемы воспитания и развития детей</w:t>
      </w:r>
      <w:r>
        <w:rPr>
          <w:rFonts w:ascii="Times New Roman" w:hAnsi="Times New Roman"/>
          <w:sz w:val="28"/>
          <w:szCs w:val="28"/>
        </w:rPr>
        <w:t xml:space="preserve"> можно лишь в тесном </w:t>
      </w:r>
      <w:r w:rsidRPr="00FD0A73">
        <w:rPr>
          <w:rFonts w:ascii="Times New Roman" w:hAnsi="Times New Roman"/>
          <w:sz w:val="28"/>
          <w:szCs w:val="28"/>
        </w:rPr>
        <w:t>контакте с семьей, при единстве и сплоченности наших усилий. Вместе мы разовьем у ребенка ум, характер, его взгляды на окружающий мир, от нас зависит, насколько его жизнь будет наполнена посильным полезным трудом и добрыми поступками.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496D3F" w:rsidRPr="00FD0A73" w:rsidRDefault="00496D3F" w:rsidP="00FD0A7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Зверева О.Л., Кротова Т.В.</w:t>
      </w:r>
      <w:r w:rsidR="00FD0A73">
        <w:rPr>
          <w:rFonts w:ascii="Times New Roman" w:hAnsi="Times New Roman"/>
          <w:sz w:val="28"/>
          <w:szCs w:val="28"/>
        </w:rPr>
        <w:t xml:space="preserve"> </w:t>
      </w:r>
      <w:r w:rsidRPr="00FD0A73">
        <w:rPr>
          <w:rFonts w:ascii="Times New Roman" w:hAnsi="Times New Roman"/>
          <w:sz w:val="28"/>
          <w:szCs w:val="28"/>
        </w:rPr>
        <w:t>Общение педагога с родителями в ДОУ: Методический аспект.- М.: ТЦ Сфера, 201</w:t>
      </w:r>
      <w:r w:rsidR="00FD0A73">
        <w:rPr>
          <w:rFonts w:ascii="Times New Roman" w:hAnsi="Times New Roman"/>
          <w:sz w:val="28"/>
          <w:szCs w:val="28"/>
        </w:rPr>
        <w:t>8</w:t>
      </w:r>
      <w:r w:rsidRPr="00FD0A73">
        <w:rPr>
          <w:rFonts w:ascii="Times New Roman" w:hAnsi="Times New Roman"/>
          <w:sz w:val="28"/>
          <w:szCs w:val="28"/>
        </w:rPr>
        <w:t>. – 80с.</w:t>
      </w:r>
    </w:p>
    <w:p w:rsidR="00496D3F" w:rsidRPr="00FD0A73" w:rsidRDefault="00496D3F" w:rsidP="00FD0A7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Зверева О.Л.</w:t>
      </w:r>
      <w:r w:rsidR="00FD0A73">
        <w:rPr>
          <w:rFonts w:ascii="Times New Roman" w:hAnsi="Times New Roman"/>
          <w:sz w:val="28"/>
          <w:szCs w:val="28"/>
        </w:rPr>
        <w:t xml:space="preserve"> </w:t>
      </w:r>
      <w:r w:rsidRPr="00FD0A73">
        <w:rPr>
          <w:rFonts w:ascii="Times New Roman" w:hAnsi="Times New Roman"/>
          <w:sz w:val="28"/>
          <w:szCs w:val="28"/>
        </w:rPr>
        <w:t>Родительские собрания в ДОУ: Методическое пособие/</w:t>
      </w:r>
      <w:proofErr w:type="spellStart"/>
      <w:r w:rsidRPr="00FD0A73">
        <w:rPr>
          <w:rFonts w:ascii="Times New Roman" w:hAnsi="Times New Roman"/>
          <w:sz w:val="28"/>
          <w:szCs w:val="28"/>
        </w:rPr>
        <w:t>О.Л.Зверева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A73">
        <w:rPr>
          <w:rFonts w:ascii="Times New Roman" w:hAnsi="Times New Roman"/>
          <w:sz w:val="28"/>
          <w:szCs w:val="28"/>
        </w:rPr>
        <w:t>Т.В.Кротова</w:t>
      </w:r>
      <w:proofErr w:type="spellEnd"/>
      <w:r w:rsidRPr="00FD0A73">
        <w:rPr>
          <w:rFonts w:ascii="Times New Roman" w:hAnsi="Times New Roman"/>
          <w:sz w:val="28"/>
          <w:szCs w:val="28"/>
        </w:rPr>
        <w:t>. – 4-е изд. – М.: Айрис-пресс, 2009. – 128 с.</w:t>
      </w:r>
    </w:p>
    <w:p w:rsidR="00496D3F" w:rsidRPr="00FD0A73" w:rsidRDefault="00B97156" w:rsidP="00FD0A7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496D3F" w:rsidRPr="00FD0A73">
          <w:rPr>
            <w:rStyle w:val="a5"/>
            <w:rFonts w:ascii="Times New Roman" w:hAnsi="Times New Roman"/>
            <w:sz w:val="28"/>
            <w:szCs w:val="28"/>
          </w:rPr>
          <w:t>http://nsportal.ru/detskiy-sad/raznoe/2014/02/23/netraditsionnye-formy-raboty-s-roditelyami</w:t>
        </w:r>
      </w:hyperlink>
    </w:p>
    <w:p w:rsidR="00496D3F" w:rsidRPr="00FD0A73" w:rsidRDefault="00496D3F" w:rsidP="00FD0A7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Е.В. Шитова. </w:t>
      </w:r>
      <w:hyperlink r:id="rId8" w:history="1">
        <w:r w:rsidRPr="00FD0A7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Работа с родителями: практические рекомендации и консультации по воспитанию детей 2-7 лет</w:t>
        </w:r>
      </w:hyperlink>
      <w:r w:rsidRPr="00FD0A73">
        <w:rPr>
          <w:rFonts w:ascii="Times New Roman" w:hAnsi="Times New Roman"/>
          <w:sz w:val="28"/>
          <w:szCs w:val="28"/>
        </w:rPr>
        <w:t>. Издательство: Учитель, 2015</w:t>
      </w:r>
    </w:p>
    <w:p w:rsidR="00496D3F" w:rsidRPr="00FD0A73" w:rsidRDefault="00496D3F" w:rsidP="00FD0A73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96D3F" w:rsidRPr="00FD0A73" w:rsidSect="00EF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D"/>
    <w:multiLevelType w:val="hybridMultilevel"/>
    <w:tmpl w:val="52AC0CB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945239"/>
    <w:multiLevelType w:val="hybridMultilevel"/>
    <w:tmpl w:val="3EF232C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AC"/>
    <w:rsid w:val="00027294"/>
    <w:rsid w:val="00056ED0"/>
    <w:rsid w:val="000716A9"/>
    <w:rsid w:val="00081835"/>
    <w:rsid w:val="00184134"/>
    <w:rsid w:val="001A2DA6"/>
    <w:rsid w:val="001A2E67"/>
    <w:rsid w:val="002305B5"/>
    <w:rsid w:val="00236DCB"/>
    <w:rsid w:val="00256D50"/>
    <w:rsid w:val="0032721C"/>
    <w:rsid w:val="00354876"/>
    <w:rsid w:val="003A2DC8"/>
    <w:rsid w:val="003B2BED"/>
    <w:rsid w:val="003E7C3F"/>
    <w:rsid w:val="00410082"/>
    <w:rsid w:val="00440068"/>
    <w:rsid w:val="00496D3F"/>
    <w:rsid w:val="004A63B3"/>
    <w:rsid w:val="0050300A"/>
    <w:rsid w:val="005A1721"/>
    <w:rsid w:val="005B0773"/>
    <w:rsid w:val="005B469A"/>
    <w:rsid w:val="006636CE"/>
    <w:rsid w:val="00722458"/>
    <w:rsid w:val="007E5225"/>
    <w:rsid w:val="008475AC"/>
    <w:rsid w:val="008C3E67"/>
    <w:rsid w:val="00A15832"/>
    <w:rsid w:val="00A66BEE"/>
    <w:rsid w:val="00B17C06"/>
    <w:rsid w:val="00B222F5"/>
    <w:rsid w:val="00B97156"/>
    <w:rsid w:val="00C160B0"/>
    <w:rsid w:val="00C42B7A"/>
    <w:rsid w:val="00C61638"/>
    <w:rsid w:val="00CD25FF"/>
    <w:rsid w:val="00CF54A3"/>
    <w:rsid w:val="00DE65CC"/>
    <w:rsid w:val="00EB0810"/>
    <w:rsid w:val="00EF407F"/>
    <w:rsid w:val="00EF5FBA"/>
    <w:rsid w:val="00F7324E"/>
    <w:rsid w:val="00FA441B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3B2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B9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1841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056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6ED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56ED0"/>
    <w:rPr>
      <w:rFonts w:cs="Times New Roman"/>
    </w:rPr>
  </w:style>
  <w:style w:type="character" w:customStyle="1" w:styleId="c9">
    <w:name w:val="c9"/>
    <w:basedOn w:val="a0"/>
    <w:uiPriority w:val="99"/>
    <w:rsid w:val="00056ED0"/>
    <w:rPr>
      <w:rFonts w:cs="Times New Roman"/>
    </w:rPr>
  </w:style>
  <w:style w:type="paragraph" w:styleId="a4">
    <w:name w:val="List Paragraph"/>
    <w:basedOn w:val="a"/>
    <w:uiPriority w:val="99"/>
    <w:qFormat/>
    <w:rsid w:val="00027294"/>
    <w:pPr>
      <w:ind w:left="720"/>
      <w:contextualSpacing/>
    </w:pPr>
  </w:style>
  <w:style w:type="character" w:styleId="a5">
    <w:name w:val="Hyperlink"/>
    <w:basedOn w:val="a0"/>
    <w:uiPriority w:val="99"/>
    <w:rsid w:val="003B2BE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C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3B2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B9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1841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056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6ED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56ED0"/>
    <w:rPr>
      <w:rFonts w:cs="Times New Roman"/>
    </w:rPr>
  </w:style>
  <w:style w:type="character" w:customStyle="1" w:styleId="c9">
    <w:name w:val="c9"/>
    <w:basedOn w:val="a0"/>
    <w:uiPriority w:val="99"/>
    <w:rsid w:val="00056ED0"/>
    <w:rPr>
      <w:rFonts w:cs="Times New Roman"/>
    </w:rPr>
  </w:style>
  <w:style w:type="paragraph" w:styleId="a4">
    <w:name w:val="List Paragraph"/>
    <w:basedOn w:val="a"/>
    <w:uiPriority w:val="99"/>
    <w:qFormat/>
    <w:rsid w:val="00027294"/>
    <w:pPr>
      <w:ind w:left="720"/>
      <w:contextualSpacing/>
    </w:pPr>
  </w:style>
  <w:style w:type="character" w:styleId="a5">
    <w:name w:val="Hyperlink"/>
    <w:basedOn w:val="a0"/>
    <w:uiPriority w:val="99"/>
    <w:rsid w:val="003B2BE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e45669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detskiy-sad/raznoe/2014/02/23/netraditsionnye-formy-raboty-s-roditely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EEA0-61B6-4C35-881A-CFFC5582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</cp:lastModifiedBy>
  <cp:revision>3</cp:revision>
  <cp:lastPrinted>2016-02-29T05:27:00Z</cp:lastPrinted>
  <dcterms:created xsi:type="dcterms:W3CDTF">2019-08-16T09:05:00Z</dcterms:created>
  <dcterms:modified xsi:type="dcterms:W3CDTF">2019-08-16T09:06:00Z</dcterms:modified>
</cp:coreProperties>
</file>