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29A" w:rsidRDefault="00BA129A" w:rsidP="00FC4B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Скворцова Юлия Сергеевна</w:t>
      </w:r>
    </w:p>
    <w:p w:rsidR="00BA129A" w:rsidRDefault="00BA129A" w:rsidP="00FC4B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учитель начальных классов</w:t>
      </w:r>
    </w:p>
    <w:p w:rsidR="00BA129A" w:rsidRDefault="00AC2D55" w:rsidP="00FC4B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</w:t>
      </w:r>
      <w:bookmarkStart w:id="0" w:name="_GoBack"/>
      <w:bookmarkEnd w:id="0"/>
      <w:r w:rsidR="00BA129A">
        <w:rPr>
          <w:rFonts w:ascii="Times New Roman" w:hAnsi="Times New Roman" w:cs="Times New Roman"/>
          <w:sz w:val="28"/>
          <w:szCs w:val="27"/>
        </w:rPr>
        <w:t>КОУ «Коррекционная школа № 8»</w:t>
      </w:r>
    </w:p>
    <w:p w:rsidR="00BA129A" w:rsidRPr="00BA129A" w:rsidRDefault="00CE0680" w:rsidP="00FC4BA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г</w:t>
      </w:r>
      <w:r w:rsidR="00BA129A">
        <w:rPr>
          <w:rFonts w:ascii="Times New Roman" w:hAnsi="Times New Roman" w:cs="Times New Roman"/>
          <w:sz w:val="28"/>
          <w:szCs w:val="27"/>
        </w:rPr>
        <w:t>. Арзамас, Нижегородская область</w:t>
      </w:r>
    </w:p>
    <w:p w:rsidR="00FC4BA1" w:rsidRPr="00FC4BA1" w:rsidRDefault="00FC4BA1" w:rsidP="00FC4BA1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FC4BA1">
        <w:rPr>
          <w:rFonts w:ascii="Times New Roman" w:hAnsi="Times New Roman" w:cs="Times New Roman"/>
          <w:b/>
          <w:sz w:val="28"/>
          <w:szCs w:val="27"/>
        </w:rPr>
        <w:t>Возможности использования дидактической игры в процессе обучения детей с тяжелыми множественными нарушениями развития</w:t>
      </w:r>
    </w:p>
    <w:p w:rsidR="00BA129A" w:rsidRPr="00FC4BA1" w:rsidRDefault="00BA129A" w:rsidP="00FC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BA129A">
        <w:rPr>
          <w:rFonts w:ascii="Times New Roman" w:hAnsi="Times New Roman" w:cs="Times New Roman"/>
          <w:i/>
          <w:sz w:val="28"/>
          <w:szCs w:val="27"/>
        </w:rPr>
        <w:t xml:space="preserve">Аннотация. </w:t>
      </w:r>
      <w:r w:rsidRPr="00FC4BA1">
        <w:rPr>
          <w:rFonts w:ascii="Times New Roman" w:hAnsi="Times New Roman" w:cs="Times New Roman"/>
          <w:sz w:val="28"/>
          <w:szCs w:val="27"/>
        </w:rPr>
        <w:t xml:space="preserve">Данная статья раскрывает возможности различных  дидактических игр для обучения  развития детей с тяжелыми  множественными нарушениями развития,  </w:t>
      </w:r>
      <w:r w:rsidR="00CE0680" w:rsidRPr="00FC4BA1">
        <w:rPr>
          <w:rFonts w:ascii="Times New Roman" w:hAnsi="Times New Roman" w:cs="Times New Roman"/>
          <w:sz w:val="28"/>
          <w:szCs w:val="27"/>
        </w:rPr>
        <w:t>дается описание дидактических  игр</w:t>
      </w:r>
      <w:r w:rsidRPr="00FC4BA1">
        <w:rPr>
          <w:rFonts w:ascii="Times New Roman" w:hAnsi="Times New Roman" w:cs="Times New Roman"/>
          <w:sz w:val="28"/>
          <w:szCs w:val="27"/>
        </w:rPr>
        <w:t>.</w:t>
      </w:r>
    </w:p>
    <w:p w:rsidR="00BA129A" w:rsidRPr="00FC4BA1" w:rsidRDefault="00BA129A" w:rsidP="00FC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BA129A">
        <w:rPr>
          <w:rFonts w:ascii="Times New Roman" w:hAnsi="Times New Roman" w:cs="Times New Roman"/>
          <w:i/>
          <w:sz w:val="28"/>
          <w:szCs w:val="27"/>
        </w:rPr>
        <w:t xml:space="preserve">Ключевые слова: </w:t>
      </w:r>
      <w:r w:rsidRPr="00FC4BA1">
        <w:rPr>
          <w:rFonts w:ascii="Times New Roman" w:hAnsi="Times New Roman" w:cs="Times New Roman"/>
          <w:sz w:val="28"/>
          <w:szCs w:val="27"/>
        </w:rPr>
        <w:t>Дети с тяжелыми множественными нарушениями развития,  дидактические игры.</w:t>
      </w:r>
    </w:p>
    <w:p w:rsidR="001B64A9" w:rsidRDefault="00130782" w:rsidP="00FC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130782">
        <w:rPr>
          <w:rFonts w:ascii="Times New Roman" w:hAnsi="Times New Roman" w:cs="Times New Roman"/>
          <w:sz w:val="28"/>
          <w:szCs w:val="27"/>
        </w:rPr>
        <w:t>Дети с тяжелыми множественными нарушениями развития</w:t>
      </w:r>
      <w:r w:rsidR="00FC4BA1">
        <w:rPr>
          <w:rFonts w:ascii="Times New Roman" w:hAnsi="Times New Roman" w:cs="Times New Roman"/>
          <w:sz w:val="28"/>
          <w:szCs w:val="27"/>
        </w:rPr>
        <w:t xml:space="preserve"> </w:t>
      </w:r>
      <w:r w:rsidR="001B64A9">
        <w:rPr>
          <w:rFonts w:ascii="Times New Roman" w:hAnsi="Times New Roman" w:cs="Times New Roman"/>
          <w:sz w:val="28"/>
          <w:szCs w:val="27"/>
        </w:rPr>
        <w:t>(ТМНР)</w:t>
      </w:r>
      <w:r w:rsidRPr="00130782">
        <w:rPr>
          <w:rFonts w:ascii="Times New Roman" w:hAnsi="Times New Roman" w:cs="Times New Roman"/>
          <w:sz w:val="28"/>
          <w:szCs w:val="27"/>
        </w:rPr>
        <w:t xml:space="preserve"> занимают особое место среди детей с ограниченными возможностями здоровья. Они представляют собой разнородную групп</w:t>
      </w:r>
      <w:r w:rsidR="00FC4BA1">
        <w:rPr>
          <w:rFonts w:ascii="Times New Roman" w:hAnsi="Times New Roman" w:cs="Times New Roman"/>
          <w:sz w:val="28"/>
          <w:szCs w:val="27"/>
        </w:rPr>
        <w:t>у.</w:t>
      </w:r>
      <w:r>
        <w:rPr>
          <w:rFonts w:ascii="Times New Roman" w:hAnsi="Times New Roman" w:cs="Times New Roman"/>
          <w:sz w:val="28"/>
          <w:szCs w:val="27"/>
        </w:rPr>
        <w:t xml:space="preserve"> Как правило, это учащиеся с</w:t>
      </w:r>
      <w:r w:rsidRPr="00130782">
        <w:rPr>
          <w:rFonts w:ascii="Times New Roman" w:hAnsi="Times New Roman" w:cs="Times New Roman"/>
          <w:sz w:val="28"/>
          <w:szCs w:val="27"/>
        </w:rPr>
        <w:t xml:space="preserve"> выраженными нарушен</w:t>
      </w:r>
      <w:r>
        <w:rPr>
          <w:rFonts w:ascii="Times New Roman" w:hAnsi="Times New Roman" w:cs="Times New Roman"/>
          <w:sz w:val="28"/>
          <w:szCs w:val="27"/>
        </w:rPr>
        <w:t xml:space="preserve">иями интеллектуального развития, </w:t>
      </w:r>
      <w:r w:rsidR="001B64A9" w:rsidRPr="00130782">
        <w:rPr>
          <w:rFonts w:ascii="Times New Roman" w:hAnsi="Times New Roman" w:cs="Times New Roman"/>
          <w:sz w:val="28"/>
          <w:szCs w:val="27"/>
        </w:rPr>
        <w:t>недоразвитием мыслитель</w:t>
      </w:r>
      <w:r w:rsidR="001B64A9">
        <w:rPr>
          <w:rFonts w:ascii="Times New Roman" w:hAnsi="Times New Roman" w:cs="Times New Roman"/>
          <w:sz w:val="28"/>
          <w:szCs w:val="27"/>
        </w:rPr>
        <w:t>ной деятельности, не позволяющей</w:t>
      </w:r>
      <w:r w:rsidR="001B64A9" w:rsidRPr="00130782">
        <w:rPr>
          <w:rFonts w:ascii="Times New Roman" w:hAnsi="Times New Roman" w:cs="Times New Roman"/>
          <w:sz w:val="28"/>
          <w:szCs w:val="27"/>
        </w:rPr>
        <w:t xml:space="preserve"> овладеть предметными учебными знаниями</w:t>
      </w:r>
      <w:r w:rsidR="00BA129A">
        <w:rPr>
          <w:rFonts w:ascii="Times New Roman" w:hAnsi="Times New Roman" w:cs="Times New Roman"/>
          <w:sz w:val="28"/>
          <w:szCs w:val="27"/>
        </w:rPr>
        <w:t xml:space="preserve"> и решением</w:t>
      </w:r>
      <w:r w:rsidR="001B64A9" w:rsidRPr="00130782">
        <w:rPr>
          <w:rFonts w:ascii="Times New Roman" w:hAnsi="Times New Roman" w:cs="Times New Roman"/>
          <w:sz w:val="28"/>
          <w:szCs w:val="27"/>
        </w:rPr>
        <w:t xml:space="preserve"> даже простых задач познавательного содержания</w:t>
      </w:r>
      <w:r w:rsidR="001B64A9">
        <w:rPr>
          <w:rFonts w:ascii="Times New Roman" w:hAnsi="Times New Roman" w:cs="Times New Roman"/>
          <w:sz w:val="28"/>
          <w:szCs w:val="27"/>
        </w:rPr>
        <w:t>, с</w:t>
      </w:r>
      <w:r w:rsidR="001B64A9" w:rsidRPr="00130782">
        <w:rPr>
          <w:rFonts w:ascii="Times New Roman" w:hAnsi="Times New Roman" w:cs="Times New Roman"/>
          <w:sz w:val="28"/>
          <w:szCs w:val="27"/>
        </w:rPr>
        <w:t xml:space="preserve"> </w:t>
      </w:r>
      <w:r w:rsidRPr="00130782">
        <w:rPr>
          <w:rFonts w:ascii="Times New Roman" w:hAnsi="Times New Roman" w:cs="Times New Roman"/>
          <w:sz w:val="28"/>
          <w:szCs w:val="27"/>
        </w:rPr>
        <w:t>нарушения</w:t>
      </w:r>
      <w:r w:rsidR="001B64A9">
        <w:rPr>
          <w:rFonts w:ascii="Times New Roman" w:hAnsi="Times New Roman" w:cs="Times New Roman"/>
          <w:sz w:val="28"/>
          <w:szCs w:val="27"/>
        </w:rPr>
        <w:t>ми</w:t>
      </w:r>
      <w:r w:rsidRPr="00130782">
        <w:rPr>
          <w:rFonts w:ascii="Times New Roman" w:hAnsi="Times New Roman" w:cs="Times New Roman"/>
          <w:sz w:val="28"/>
          <w:szCs w:val="27"/>
        </w:rPr>
        <w:t xml:space="preserve"> опорно-двигательного аппарата, зрения, слуха, эмоционал</w:t>
      </w:r>
      <w:r w:rsidR="00BA129A">
        <w:rPr>
          <w:rFonts w:ascii="Times New Roman" w:hAnsi="Times New Roman" w:cs="Times New Roman"/>
          <w:sz w:val="28"/>
          <w:szCs w:val="27"/>
        </w:rPr>
        <w:t xml:space="preserve">ьно-волевой </w:t>
      </w:r>
      <w:r w:rsidRPr="00130782">
        <w:rPr>
          <w:rFonts w:ascii="Times New Roman" w:hAnsi="Times New Roman" w:cs="Times New Roman"/>
          <w:sz w:val="28"/>
          <w:szCs w:val="27"/>
        </w:rPr>
        <w:t>сферы.</w:t>
      </w:r>
      <w:r w:rsidR="00FC4BA1">
        <w:rPr>
          <w:rFonts w:ascii="Times New Roman" w:hAnsi="Times New Roman" w:cs="Times New Roman"/>
          <w:sz w:val="28"/>
          <w:szCs w:val="27"/>
        </w:rPr>
        <w:t xml:space="preserve"> </w:t>
      </w:r>
      <w:r w:rsidRPr="00130782">
        <w:rPr>
          <w:rFonts w:ascii="Times New Roman" w:hAnsi="Times New Roman" w:cs="Times New Roman"/>
          <w:sz w:val="28"/>
          <w:szCs w:val="27"/>
        </w:rPr>
        <w:t>Внимание отличается крайней непродуктивностью, неустойчивостью, истощаемостью. Дети очень отвлекаемые, неусидчивые.</w:t>
      </w:r>
    </w:p>
    <w:p w:rsidR="001B64A9" w:rsidRDefault="001B64A9" w:rsidP="00FC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1B64A9">
        <w:rPr>
          <w:rFonts w:ascii="Times New Roman" w:hAnsi="Times New Roman" w:cs="Times New Roman"/>
          <w:sz w:val="28"/>
          <w:szCs w:val="27"/>
        </w:rPr>
        <w:t xml:space="preserve">Психофизическое недоразвитие характеризуется нарушениями координации, точности, темпа движений, что осложняет формирование и развитие не только точных и тонких движений, мелкой моторики, но часто и простых физических и трудовых действий. У данной категории детей отмечается замедленный темп, рассогласованность, неловкость движений или напротив - повышенная возбудимость, хаотичная нецеленаправленная деятельность, двигательная расторможенность. Овладение навыками, требующими более тонких и дифференцированных движений, например, </w:t>
      </w:r>
      <w:r w:rsidRPr="001B64A9">
        <w:rPr>
          <w:rFonts w:ascii="Times New Roman" w:hAnsi="Times New Roman" w:cs="Times New Roman"/>
          <w:sz w:val="28"/>
          <w:szCs w:val="27"/>
        </w:rPr>
        <w:lastRenderedPageBreak/>
        <w:t xml:space="preserve">удержание карандаша, ручки, кисти, шнурование, застегивание пуговиц, захват ручки и ложки, вызывает </w:t>
      </w:r>
      <w:r>
        <w:rPr>
          <w:rFonts w:ascii="Times New Roman" w:hAnsi="Times New Roman" w:cs="Times New Roman"/>
          <w:sz w:val="28"/>
          <w:szCs w:val="27"/>
        </w:rPr>
        <w:t>у них значительный трудности.</w:t>
      </w:r>
    </w:p>
    <w:p w:rsidR="00AD0510" w:rsidRPr="00AD0510" w:rsidRDefault="00130782" w:rsidP="00FC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130782">
        <w:rPr>
          <w:rFonts w:ascii="Times New Roman" w:hAnsi="Times New Roman" w:cs="Times New Roman"/>
          <w:sz w:val="28"/>
          <w:szCs w:val="27"/>
        </w:rPr>
        <w:t>Целенаправленная и продолжительная коррекционная работа дает определенные результаты</w:t>
      </w:r>
      <w:r w:rsidR="001B64A9">
        <w:rPr>
          <w:rFonts w:ascii="Times New Roman" w:hAnsi="Times New Roman" w:cs="Times New Roman"/>
          <w:sz w:val="28"/>
          <w:szCs w:val="27"/>
        </w:rPr>
        <w:t>.</w:t>
      </w:r>
      <w:r w:rsidR="00AD0510">
        <w:rPr>
          <w:rFonts w:ascii="Times New Roman" w:hAnsi="Times New Roman" w:cs="Times New Roman"/>
          <w:sz w:val="28"/>
          <w:szCs w:val="27"/>
        </w:rPr>
        <w:t xml:space="preserve"> </w:t>
      </w:r>
      <w:r w:rsidR="001B64A9">
        <w:rPr>
          <w:rFonts w:ascii="Times New Roman" w:hAnsi="Times New Roman"/>
          <w:sz w:val="28"/>
          <w:szCs w:val="28"/>
        </w:rPr>
        <w:t xml:space="preserve">Педагогу необходимо найти такие методы и приемы, которые могли бы заинтересовать ребенка с ТМНР, </w:t>
      </w:r>
      <w:r w:rsidR="00FC4BA1">
        <w:rPr>
          <w:rFonts w:ascii="Times New Roman" w:hAnsi="Times New Roman"/>
          <w:sz w:val="28"/>
          <w:szCs w:val="28"/>
        </w:rPr>
        <w:t>привлечь его внимание.</w:t>
      </w:r>
    </w:p>
    <w:p w:rsidR="001B64A9" w:rsidRDefault="00AD0510" w:rsidP="00FC4B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эффективным методом</w:t>
      </w:r>
      <w:r w:rsidR="001B64A9">
        <w:rPr>
          <w:rFonts w:ascii="Times New Roman" w:hAnsi="Times New Roman"/>
          <w:sz w:val="28"/>
          <w:szCs w:val="28"/>
        </w:rPr>
        <w:t xml:space="preserve"> усвоения учебного материала</w:t>
      </w:r>
      <w:r>
        <w:rPr>
          <w:rFonts w:ascii="Times New Roman" w:hAnsi="Times New Roman"/>
          <w:sz w:val="28"/>
          <w:szCs w:val="28"/>
        </w:rPr>
        <w:t xml:space="preserve"> показала себя дидактическая игра</w:t>
      </w:r>
      <w:r w:rsidR="001B64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B64A9">
        <w:rPr>
          <w:rFonts w:ascii="Times New Roman" w:hAnsi="Times New Roman"/>
          <w:sz w:val="28"/>
          <w:szCs w:val="28"/>
        </w:rPr>
        <w:t xml:space="preserve">Она дает возможность повторить один и тот же материал разными способами. Любая игра имеет две цели: одна обучающая, которую преследует учитель, другая игровая, ради которой действует ученик. При выборе педагогом дидактической игры необходимо помнить, что игра должна быть доступной для ребенка, контактной, чтобы ребенок </w:t>
      </w:r>
      <w:r w:rsidR="00BA129A">
        <w:rPr>
          <w:rFonts w:ascii="Times New Roman" w:hAnsi="Times New Roman"/>
          <w:sz w:val="28"/>
          <w:szCs w:val="28"/>
        </w:rPr>
        <w:t>мог потрогать все элементы игры и</w:t>
      </w:r>
      <w:r w:rsidR="001B64A9">
        <w:rPr>
          <w:rFonts w:ascii="Times New Roman" w:hAnsi="Times New Roman"/>
          <w:sz w:val="28"/>
          <w:szCs w:val="28"/>
        </w:rPr>
        <w:t xml:space="preserve"> многофункциональной</w:t>
      </w:r>
      <w:r w:rsidR="00FC4BA1">
        <w:rPr>
          <w:rFonts w:ascii="Times New Roman" w:hAnsi="Times New Roman"/>
          <w:sz w:val="28"/>
          <w:szCs w:val="28"/>
        </w:rPr>
        <w:t xml:space="preserve">, </w:t>
      </w:r>
      <w:r w:rsidR="001B64A9">
        <w:rPr>
          <w:rFonts w:ascii="Times New Roman" w:hAnsi="Times New Roman"/>
          <w:sz w:val="28"/>
          <w:szCs w:val="28"/>
        </w:rPr>
        <w:t xml:space="preserve">должна вызывать </w:t>
      </w:r>
      <w:r w:rsidR="00FC4BA1">
        <w:rPr>
          <w:rFonts w:ascii="Times New Roman" w:hAnsi="Times New Roman"/>
          <w:sz w:val="28"/>
          <w:szCs w:val="28"/>
        </w:rPr>
        <w:t>радость.</w:t>
      </w:r>
    </w:p>
    <w:p w:rsidR="001B64A9" w:rsidRDefault="001B64A9" w:rsidP="00FC4B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к урокам (зан</w:t>
      </w:r>
      <w:r w:rsidR="00BA129A">
        <w:rPr>
          <w:rFonts w:ascii="Times New Roman" w:hAnsi="Times New Roman"/>
          <w:sz w:val="28"/>
          <w:szCs w:val="28"/>
        </w:rPr>
        <w:t>ятиям) и выборе игр, я столкнулас</w:t>
      </w:r>
      <w:r>
        <w:rPr>
          <w:rFonts w:ascii="Times New Roman" w:hAnsi="Times New Roman"/>
          <w:sz w:val="28"/>
          <w:szCs w:val="28"/>
        </w:rPr>
        <w:t xml:space="preserve">ь с тем, что многие </w:t>
      </w:r>
      <w:r w:rsidR="00AD0510">
        <w:rPr>
          <w:rFonts w:ascii="Times New Roman" w:hAnsi="Times New Roman"/>
          <w:sz w:val="28"/>
          <w:szCs w:val="28"/>
        </w:rPr>
        <w:t xml:space="preserve">предлагаемые </w:t>
      </w:r>
      <w:r>
        <w:rPr>
          <w:rFonts w:ascii="Times New Roman" w:hAnsi="Times New Roman"/>
          <w:sz w:val="28"/>
          <w:szCs w:val="28"/>
        </w:rPr>
        <w:t xml:space="preserve">развивающие, дидактические игры сложны для понимания детям с </w:t>
      </w:r>
      <w:r w:rsidR="00AD0510">
        <w:rPr>
          <w:rFonts w:ascii="Times New Roman" w:hAnsi="Times New Roman"/>
          <w:sz w:val="28"/>
          <w:szCs w:val="28"/>
        </w:rPr>
        <w:t>ТМНР.</w:t>
      </w:r>
      <w:r>
        <w:rPr>
          <w:rFonts w:ascii="Times New Roman" w:hAnsi="Times New Roman"/>
          <w:sz w:val="28"/>
          <w:szCs w:val="28"/>
        </w:rPr>
        <w:t xml:space="preserve"> Поэтому многие игры </w:t>
      </w:r>
      <w:r w:rsidR="00AD0510">
        <w:rPr>
          <w:rFonts w:ascii="Times New Roman" w:hAnsi="Times New Roman"/>
          <w:sz w:val="28"/>
          <w:szCs w:val="28"/>
        </w:rPr>
        <w:t xml:space="preserve"> нужно было  адаптировать.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B64A9" w:rsidRPr="00FD4295" w:rsidRDefault="00FC4BA1" w:rsidP="00FC4B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39F560" wp14:editId="408760DB">
            <wp:simplePos x="0" y="0"/>
            <wp:positionH relativeFrom="column">
              <wp:posOffset>56515</wp:posOffset>
            </wp:positionH>
            <wp:positionV relativeFrom="paragraph">
              <wp:posOffset>70485</wp:posOffset>
            </wp:positionV>
            <wp:extent cx="2147570" cy="1607185"/>
            <wp:effectExtent l="0" t="0" r="0" b="0"/>
            <wp:wrapSquare wrapText="bothSides"/>
            <wp:docPr id="1" name="Рисунок 1" descr="E:\Desktop\20190222_090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20190222_0908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60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3ED34B4" wp14:editId="0E0B9AAF">
            <wp:simplePos x="0" y="0"/>
            <wp:positionH relativeFrom="column">
              <wp:posOffset>3975100</wp:posOffset>
            </wp:positionH>
            <wp:positionV relativeFrom="paragraph">
              <wp:posOffset>2592070</wp:posOffset>
            </wp:positionV>
            <wp:extent cx="2206625" cy="1527175"/>
            <wp:effectExtent l="0" t="0" r="0" b="0"/>
            <wp:wrapSquare wrapText="bothSides"/>
            <wp:docPr id="3" name="Рисунок 2" descr="E:\Desktop\20190222_09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esktop\20190222_090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1402" t="17040" b="10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510">
        <w:rPr>
          <w:rFonts w:ascii="Times New Roman" w:hAnsi="Times New Roman"/>
          <w:sz w:val="28"/>
          <w:szCs w:val="28"/>
        </w:rPr>
        <w:t>Например, игра</w:t>
      </w:r>
      <w:r w:rsidR="001B64A9">
        <w:rPr>
          <w:rFonts w:ascii="Times New Roman" w:hAnsi="Times New Roman"/>
          <w:sz w:val="28"/>
          <w:szCs w:val="28"/>
        </w:rPr>
        <w:t xml:space="preserve"> «Шнуровка. Овощи</w:t>
      </w:r>
      <w:r w:rsidR="00AD0510">
        <w:rPr>
          <w:rFonts w:ascii="Times New Roman" w:hAnsi="Times New Roman"/>
          <w:sz w:val="28"/>
          <w:szCs w:val="28"/>
        </w:rPr>
        <w:t xml:space="preserve"> </w:t>
      </w:r>
      <w:r w:rsidR="001B64A9">
        <w:rPr>
          <w:rFonts w:ascii="Times New Roman" w:hAnsi="Times New Roman"/>
          <w:sz w:val="28"/>
          <w:szCs w:val="28"/>
        </w:rPr>
        <w:t xml:space="preserve">и фрукты». </w:t>
      </w:r>
      <w:r w:rsidR="00AD0510">
        <w:rPr>
          <w:rFonts w:ascii="Times New Roman" w:hAnsi="Times New Roman"/>
          <w:sz w:val="28"/>
          <w:szCs w:val="28"/>
        </w:rPr>
        <w:t>Цель игры</w:t>
      </w:r>
      <w:r>
        <w:rPr>
          <w:rFonts w:ascii="Times New Roman" w:hAnsi="Times New Roman"/>
          <w:sz w:val="28"/>
          <w:szCs w:val="28"/>
        </w:rPr>
        <w:t>:</w:t>
      </w:r>
      <w:r w:rsidR="00AD0510">
        <w:rPr>
          <w:rFonts w:ascii="Times New Roman" w:hAnsi="Times New Roman"/>
          <w:sz w:val="28"/>
          <w:szCs w:val="28"/>
        </w:rPr>
        <w:t xml:space="preserve"> распределить овощи и фрукты в разные группы и присоединить детали либо к дереву, либо к грядке для закрепления понятий: овощи и фрукты, где они растут. </w:t>
      </w:r>
      <w:r w:rsidR="001B64A9">
        <w:rPr>
          <w:rFonts w:ascii="Times New Roman" w:hAnsi="Times New Roman"/>
          <w:sz w:val="28"/>
          <w:szCs w:val="28"/>
        </w:rPr>
        <w:t>В связи с плохо развитой мелкой моторикой</w:t>
      </w:r>
      <w:r w:rsidR="00AD0510">
        <w:rPr>
          <w:rFonts w:ascii="Times New Roman" w:hAnsi="Times New Roman"/>
          <w:sz w:val="28"/>
          <w:szCs w:val="28"/>
        </w:rPr>
        <w:t>,</w:t>
      </w:r>
      <w:r w:rsidR="001B64A9">
        <w:rPr>
          <w:rFonts w:ascii="Times New Roman" w:hAnsi="Times New Roman"/>
          <w:sz w:val="28"/>
          <w:szCs w:val="28"/>
        </w:rPr>
        <w:t xml:space="preserve"> детям очень трудно справиться с заданием, но сама конструкция и оформление игры достаточны интересны. С помощью мебельной фурнитуры игры была облегчена </w:t>
      </w:r>
      <w:r w:rsidR="00FD4295">
        <w:rPr>
          <w:rFonts w:ascii="Times New Roman" w:hAnsi="Times New Roman"/>
          <w:sz w:val="28"/>
          <w:szCs w:val="28"/>
        </w:rPr>
        <w:t>и теперь у детей появилась возможность легко справляться с заданием.</w:t>
      </w:r>
      <w:r w:rsidR="00FD4295" w:rsidRPr="00FD42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B64A9" w:rsidRDefault="001B64A9" w:rsidP="00FC4B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 </w:t>
      </w:r>
      <w:r w:rsidR="00AD051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 w:rsidR="00210166">
        <w:rPr>
          <w:rFonts w:ascii="Times New Roman" w:hAnsi="Times New Roman"/>
          <w:sz w:val="28"/>
          <w:szCs w:val="28"/>
        </w:rPr>
        <w:t xml:space="preserve">игры – </w:t>
      </w:r>
      <w:r>
        <w:rPr>
          <w:rFonts w:ascii="Times New Roman" w:hAnsi="Times New Roman"/>
          <w:sz w:val="28"/>
          <w:szCs w:val="28"/>
        </w:rPr>
        <w:t>конструктора</w:t>
      </w:r>
      <w:r w:rsidR="00210166">
        <w:rPr>
          <w:rFonts w:ascii="Times New Roman" w:hAnsi="Times New Roman"/>
          <w:sz w:val="28"/>
          <w:szCs w:val="28"/>
        </w:rPr>
        <w:t xml:space="preserve"> «Репейник»</w:t>
      </w:r>
      <w:r>
        <w:rPr>
          <w:rFonts w:ascii="Times New Roman" w:hAnsi="Times New Roman"/>
          <w:sz w:val="28"/>
          <w:szCs w:val="28"/>
        </w:rPr>
        <w:t xml:space="preserve"> было создано поле из темного матер</w:t>
      </w:r>
      <w:r w:rsidR="00AD0510">
        <w:rPr>
          <w:rFonts w:ascii="Times New Roman" w:hAnsi="Times New Roman"/>
          <w:sz w:val="28"/>
          <w:szCs w:val="28"/>
        </w:rPr>
        <w:t>иала, на которое легко закрепляю</w:t>
      </w:r>
      <w:r>
        <w:rPr>
          <w:rFonts w:ascii="Times New Roman" w:hAnsi="Times New Roman"/>
          <w:sz w:val="28"/>
          <w:szCs w:val="28"/>
        </w:rPr>
        <w:t>тся детали.  Это игра на развитие мелкой моторики и используется мной на разных занятиях и этапа</w:t>
      </w:r>
      <w:r w:rsidR="00210166">
        <w:rPr>
          <w:rFonts w:ascii="Times New Roman" w:hAnsi="Times New Roman"/>
          <w:sz w:val="28"/>
          <w:szCs w:val="28"/>
        </w:rPr>
        <w:t>х урока.</w:t>
      </w:r>
      <w:r w:rsidR="00FD4295">
        <w:rPr>
          <w:rFonts w:ascii="Times New Roman" w:hAnsi="Times New Roman"/>
          <w:sz w:val="28"/>
          <w:szCs w:val="28"/>
        </w:rPr>
        <w:t xml:space="preserve"> </w:t>
      </w:r>
      <w:r w:rsidR="00210166">
        <w:rPr>
          <w:rFonts w:ascii="Times New Roman" w:hAnsi="Times New Roman"/>
          <w:sz w:val="28"/>
          <w:szCs w:val="28"/>
        </w:rPr>
        <w:t>Например, н</w:t>
      </w:r>
      <w:r>
        <w:rPr>
          <w:rFonts w:ascii="Times New Roman" w:hAnsi="Times New Roman"/>
          <w:sz w:val="28"/>
          <w:szCs w:val="28"/>
        </w:rPr>
        <w:t>а</w:t>
      </w:r>
      <w:r w:rsidR="00210166">
        <w:rPr>
          <w:rFonts w:ascii="Times New Roman" w:hAnsi="Times New Roman"/>
          <w:sz w:val="28"/>
          <w:szCs w:val="28"/>
        </w:rPr>
        <w:t xml:space="preserve"> уроке </w:t>
      </w:r>
      <w:r w:rsidR="00210166">
        <w:rPr>
          <w:rFonts w:ascii="Times New Roman" w:hAnsi="Times New Roman"/>
          <w:sz w:val="28"/>
          <w:szCs w:val="28"/>
        </w:rPr>
        <w:lastRenderedPageBreak/>
        <w:t>«Математические представления» на поле мелом рисую</w:t>
      </w:r>
      <w:r>
        <w:rPr>
          <w:rFonts w:ascii="Times New Roman" w:hAnsi="Times New Roman"/>
          <w:sz w:val="28"/>
          <w:szCs w:val="28"/>
        </w:rPr>
        <w:t>тся фигуры, цифры и ребенок по контору «</w:t>
      </w:r>
      <w:r w:rsidR="00210166">
        <w:rPr>
          <w:rFonts w:ascii="Times New Roman" w:hAnsi="Times New Roman"/>
          <w:sz w:val="28"/>
          <w:szCs w:val="28"/>
        </w:rPr>
        <w:t>прикрепляет</w:t>
      </w:r>
      <w:r>
        <w:rPr>
          <w:rFonts w:ascii="Times New Roman" w:hAnsi="Times New Roman"/>
          <w:sz w:val="28"/>
          <w:szCs w:val="28"/>
        </w:rPr>
        <w:t xml:space="preserve">» </w:t>
      </w:r>
      <w:r w:rsidR="00210166">
        <w:rPr>
          <w:rFonts w:ascii="Times New Roman" w:hAnsi="Times New Roman"/>
          <w:sz w:val="28"/>
          <w:szCs w:val="28"/>
        </w:rPr>
        <w:t>детали</w:t>
      </w:r>
      <w:r>
        <w:rPr>
          <w:rFonts w:ascii="Times New Roman" w:hAnsi="Times New Roman"/>
          <w:sz w:val="28"/>
          <w:szCs w:val="28"/>
        </w:rPr>
        <w:t xml:space="preserve"> конструктора. На уроке </w:t>
      </w:r>
      <w:r w:rsidR="00FC4BA1" w:rsidRPr="00CE0680">
        <w:rPr>
          <w:rFonts w:ascii="Times New Roman" w:hAnsi="Times New Roman" w:cs="Times New Roman"/>
          <w:noProof/>
          <w:sz w:val="28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78CB7021" wp14:editId="2F99A1E4">
            <wp:simplePos x="0" y="0"/>
            <wp:positionH relativeFrom="column">
              <wp:posOffset>104140</wp:posOffset>
            </wp:positionH>
            <wp:positionV relativeFrom="paragraph">
              <wp:posOffset>945515</wp:posOffset>
            </wp:positionV>
            <wp:extent cx="3115945" cy="1406525"/>
            <wp:effectExtent l="0" t="0" r="0" b="0"/>
            <wp:wrapSquare wrapText="bothSides"/>
            <wp:docPr id="5" name="Рисунок 3" descr="E:\Desktop\20190222_091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esktop\20190222_091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277" b="19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945" cy="140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«Окружающий природный мир»,</w:t>
      </w:r>
      <w:r w:rsidR="00210166">
        <w:rPr>
          <w:rFonts w:ascii="Times New Roman" w:hAnsi="Times New Roman"/>
          <w:sz w:val="28"/>
          <w:szCs w:val="28"/>
        </w:rPr>
        <w:t xml:space="preserve"> рисуются </w:t>
      </w:r>
      <w:r>
        <w:rPr>
          <w:rFonts w:ascii="Times New Roman" w:hAnsi="Times New Roman"/>
          <w:sz w:val="28"/>
          <w:szCs w:val="28"/>
        </w:rPr>
        <w:t>овощ</w:t>
      </w:r>
      <w:r w:rsidR="002101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фрукт</w:t>
      </w:r>
      <w:r w:rsidR="00210166">
        <w:rPr>
          <w:rFonts w:ascii="Times New Roman" w:hAnsi="Times New Roman"/>
          <w:sz w:val="28"/>
          <w:szCs w:val="28"/>
        </w:rPr>
        <w:t xml:space="preserve">ы, растения, </w:t>
      </w:r>
      <w:r>
        <w:rPr>
          <w:rFonts w:ascii="Times New Roman" w:hAnsi="Times New Roman"/>
          <w:sz w:val="28"/>
          <w:szCs w:val="28"/>
        </w:rPr>
        <w:t>снежинк</w:t>
      </w:r>
      <w:r w:rsidR="0021016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т.д. На </w:t>
      </w:r>
      <w:r w:rsidR="00210166">
        <w:rPr>
          <w:rFonts w:ascii="Times New Roman" w:hAnsi="Times New Roman"/>
          <w:sz w:val="28"/>
          <w:szCs w:val="28"/>
        </w:rPr>
        <w:t xml:space="preserve">уроке </w:t>
      </w:r>
      <w:r>
        <w:rPr>
          <w:rFonts w:ascii="Times New Roman" w:hAnsi="Times New Roman"/>
          <w:sz w:val="28"/>
          <w:szCs w:val="28"/>
        </w:rPr>
        <w:t>«Речь и альтернативная коммуникация»</w:t>
      </w:r>
      <w:r w:rsidR="002101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игру можно использовать для  изучения и закрепления </w:t>
      </w:r>
      <w:r w:rsidR="00210166">
        <w:rPr>
          <w:rFonts w:ascii="Times New Roman" w:hAnsi="Times New Roman"/>
          <w:sz w:val="28"/>
          <w:szCs w:val="28"/>
        </w:rPr>
        <w:t xml:space="preserve">названия и начертания </w:t>
      </w:r>
      <w:r>
        <w:rPr>
          <w:rFonts w:ascii="Times New Roman" w:hAnsi="Times New Roman"/>
          <w:sz w:val="28"/>
          <w:szCs w:val="28"/>
        </w:rPr>
        <w:t>букв</w:t>
      </w:r>
      <w:r w:rsidR="00CE0680" w:rsidRPr="00CE0680">
        <w:rPr>
          <w:rFonts w:ascii="Times New Roman" w:hAnsi="Times New Roman"/>
          <w:sz w:val="28"/>
          <w:szCs w:val="28"/>
        </w:rPr>
        <w:t xml:space="preserve">. </w:t>
      </w:r>
      <w:r w:rsidR="00210166">
        <w:rPr>
          <w:rFonts w:ascii="Times New Roman" w:hAnsi="Times New Roman"/>
          <w:sz w:val="28"/>
          <w:szCs w:val="28"/>
        </w:rPr>
        <w:t>Детали готовых дидактических игры, например «Какого цвета?», «Кто где живет?</w:t>
      </w:r>
      <w:proofErr w:type="gramStart"/>
      <w:r w:rsidR="00210166"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</w:rPr>
        <w:t>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210166">
        <w:rPr>
          <w:rFonts w:ascii="Times New Roman" w:hAnsi="Times New Roman"/>
          <w:sz w:val="28"/>
          <w:szCs w:val="28"/>
        </w:rPr>
        <w:t>усиливаю магнитами</w:t>
      </w:r>
      <w:r>
        <w:rPr>
          <w:rFonts w:ascii="Times New Roman" w:hAnsi="Times New Roman"/>
          <w:sz w:val="28"/>
          <w:szCs w:val="28"/>
        </w:rPr>
        <w:t>, для работы на магнитной доске</w:t>
      </w:r>
      <w:r w:rsidR="00210166">
        <w:rPr>
          <w:rFonts w:ascii="Times New Roman" w:hAnsi="Times New Roman"/>
          <w:sz w:val="28"/>
          <w:szCs w:val="28"/>
        </w:rPr>
        <w:t>,  либо липкой лентой</w:t>
      </w:r>
      <w:r>
        <w:rPr>
          <w:rFonts w:ascii="Times New Roman" w:hAnsi="Times New Roman"/>
          <w:sz w:val="28"/>
          <w:szCs w:val="28"/>
        </w:rPr>
        <w:t xml:space="preserve">, для работы за столом. Это делается для того, чтобы детали игры хорошо фиксировалась. </w:t>
      </w:r>
    </w:p>
    <w:p w:rsidR="001C4C08" w:rsidRDefault="001C4C08" w:rsidP="00FC4BA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Любой окружающий предмет может стать игрой. Все, что интересует ребенка: прищепки, замочки, ключи, веревочки и т.д., можно превратить в развивающее пособие. </w:t>
      </w:r>
      <w:r w:rsidR="00FD4295">
        <w:rPr>
          <w:rFonts w:ascii="Times New Roman" w:hAnsi="Times New Roman"/>
          <w:sz w:val="28"/>
          <w:szCs w:val="28"/>
        </w:rPr>
        <w:t>Так была создана серия предметных игр – самоделок.</w:t>
      </w:r>
    </w:p>
    <w:p w:rsidR="00FD4295" w:rsidRDefault="00210166" w:rsidP="00FC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Важно целенаправленное обучение самой процедуре игры, объяснение ее содержания, правил, способов действий, приучение детей к самоконтролю в ходе проведения игры. </w:t>
      </w:r>
      <w:r w:rsidR="00D81DF4" w:rsidRPr="00D81DF4">
        <w:rPr>
          <w:rFonts w:ascii="Times New Roman" w:hAnsi="Times New Roman" w:cs="Times New Roman"/>
          <w:sz w:val="28"/>
          <w:shd w:val="clear" w:color="auto" w:fill="FFFFFF"/>
        </w:rPr>
        <w:t>Неотъемлемым элементом дидактической игры является</w:t>
      </w:r>
      <w:r w:rsidR="00D81DF4">
        <w:rPr>
          <w:rFonts w:ascii="Times New Roman" w:hAnsi="Times New Roman" w:cs="Times New Roman"/>
          <w:sz w:val="28"/>
          <w:shd w:val="clear" w:color="auto" w:fill="FFFFFF"/>
        </w:rPr>
        <w:t xml:space="preserve"> игровое действие, и внимание уча</w:t>
      </w:r>
      <w:r w:rsidR="00D81DF4" w:rsidRPr="00D81DF4">
        <w:rPr>
          <w:rFonts w:ascii="Times New Roman" w:hAnsi="Times New Roman" w:cs="Times New Roman"/>
          <w:sz w:val="28"/>
          <w:shd w:val="clear" w:color="auto" w:fill="FFFFFF"/>
        </w:rPr>
        <w:t>щегося направлено имен</w:t>
      </w:r>
      <w:r w:rsidR="00D81DF4">
        <w:rPr>
          <w:rFonts w:ascii="Times New Roman" w:hAnsi="Times New Roman" w:cs="Times New Roman"/>
          <w:sz w:val="28"/>
          <w:shd w:val="clear" w:color="auto" w:fill="FFFFFF"/>
        </w:rPr>
        <w:t xml:space="preserve">но на него. </w:t>
      </w:r>
      <w:r w:rsidR="00D81DF4" w:rsidRPr="00D81DF4">
        <w:rPr>
          <w:rFonts w:ascii="Times New Roman" w:hAnsi="Times New Roman" w:cs="Times New Roman"/>
          <w:sz w:val="28"/>
          <w:shd w:val="clear" w:color="auto" w:fill="FFFFFF"/>
        </w:rPr>
        <w:t>Поэтому дида</w:t>
      </w:r>
      <w:r w:rsidR="00D81DF4">
        <w:rPr>
          <w:rFonts w:ascii="Times New Roman" w:hAnsi="Times New Roman" w:cs="Times New Roman"/>
          <w:sz w:val="28"/>
          <w:shd w:val="clear" w:color="auto" w:fill="FFFFFF"/>
        </w:rPr>
        <w:t>ктические игры представляются уча</w:t>
      </w:r>
      <w:r w:rsidR="00D81DF4" w:rsidRPr="00D81DF4">
        <w:rPr>
          <w:rFonts w:ascii="Times New Roman" w:hAnsi="Times New Roman" w:cs="Times New Roman"/>
          <w:sz w:val="28"/>
          <w:shd w:val="clear" w:color="auto" w:fill="FFFFFF"/>
        </w:rPr>
        <w:t>щимся интересным, необычным занятием</w:t>
      </w:r>
      <w:r w:rsidR="00D81DF4">
        <w:rPr>
          <w:rFonts w:ascii="Times New Roman" w:hAnsi="Times New Roman" w:cs="Times New Roman"/>
          <w:sz w:val="28"/>
          <w:shd w:val="clear" w:color="auto" w:fill="FFFFFF"/>
        </w:rPr>
        <w:t xml:space="preserve">, </w:t>
      </w:r>
      <w:r w:rsidR="00D81DF4" w:rsidRPr="00D81DF4">
        <w:rPr>
          <w:rFonts w:ascii="Times New Roman" w:hAnsi="Times New Roman" w:cs="Times New Roman"/>
          <w:sz w:val="28"/>
          <w:shd w:val="clear" w:color="auto" w:fill="FFFFFF"/>
        </w:rPr>
        <w:t xml:space="preserve">а уже в процессе игры </w:t>
      </w:r>
      <w:r w:rsidR="00FD4295">
        <w:rPr>
          <w:rFonts w:ascii="Times New Roman" w:hAnsi="Times New Roman" w:cs="Times New Roman"/>
          <w:sz w:val="28"/>
          <w:shd w:val="clear" w:color="auto" w:fill="FFFFFF"/>
        </w:rPr>
        <w:t>ребенок</w:t>
      </w:r>
      <w:r w:rsidR="00D81DF4" w:rsidRPr="00D81DF4">
        <w:rPr>
          <w:rFonts w:ascii="Times New Roman" w:hAnsi="Times New Roman" w:cs="Times New Roman"/>
          <w:sz w:val="28"/>
          <w:shd w:val="clear" w:color="auto" w:fill="FFFFFF"/>
        </w:rPr>
        <w:t xml:space="preserve"> незаметно для себя начинает выполнять обучающую задачу. </w:t>
      </w:r>
    </w:p>
    <w:p w:rsidR="00D81DF4" w:rsidRDefault="00FD4295" w:rsidP="00FC4B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В и</w:t>
      </w:r>
      <w:r w:rsidR="00D81DF4">
        <w:rPr>
          <w:rFonts w:ascii="Times New Roman" w:hAnsi="Times New Roman" w:cs="Times New Roman"/>
          <w:sz w:val="28"/>
          <w:shd w:val="clear" w:color="auto" w:fill="FFFFFF"/>
        </w:rPr>
        <w:t>тог</w:t>
      </w:r>
      <w:r>
        <w:rPr>
          <w:rFonts w:ascii="Times New Roman" w:hAnsi="Times New Roman" w:cs="Times New Roman"/>
          <w:sz w:val="28"/>
          <w:shd w:val="clear" w:color="auto" w:fill="FFFFFF"/>
        </w:rPr>
        <w:t>е</w:t>
      </w:r>
      <w:r w:rsidR="00D81DF4">
        <w:rPr>
          <w:rFonts w:ascii="Times New Roman" w:hAnsi="Times New Roman" w:cs="Times New Roman"/>
          <w:sz w:val="28"/>
          <w:shd w:val="clear" w:color="auto" w:fill="FFFFFF"/>
        </w:rPr>
        <w:t xml:space="preserve"> развиваются познавательные процессы у </w:t>
      </w:r>
      <w:r>
        <w:rPr>
          <w:rFonts w:ascii="Times New Roman" w:hAnsi="Times New Roman" w:cs="Times New Roman"/>
          <w:sz w:val="28"/>
          <w:shd w:val="clear" w:color="auto" w:fill="FFFFFF"/>
        </w:rPr>
        <w:t>детей</w:t>
      </w:r>
      <w:r w:rsidR="00D81DF4">
        <w:rPr>
          <w:rFonts w:ascii="Times New Roman" w:hAnsi="Times New Roman" w:cs="Times New Roman"/>
          <w:sz w:val="28"/>
          <w:shd w:val="clear" w:color="auto" w:fill="FFFFFF"/>
        </w:rPr>
        <w:t xml:space="preserve"> с ТМНР (восприятие, внимание, память, наблюдательность и </w:t>
      </w:r>
      <w:r>
        <w:rPr>
          <w:rFonts w:ascii="Times New Roman" w:hAnsi="Times New Roman" w:cs="Times New Roman"/>
          <w:sz w:val="28"/>
          <w:shd w:val="clear" w:color="auto" w:fill="FFFFFF"/>
        </w:rPr>
        <w:t>психомоторика</w:t>
      </w:r>
      <w:r w:rsidR="00D81DF4">
        <w:rPr>
          <w:rFonts w:ascii="Times New Roman" w:hAnsi="Times New Roman" w:cs="Times New Roman"/>
          <w:sz w:val="28"/>
          <w:shd w:val="clear" w:color="auto" w:fill="FFFFFF"/>
        </w:rPr>
        <w:t>), формируют</w:t>
      </w:r>
      <w:r>
        <w:rPr>
          <w:rFonts w:ascii="Times New Roman" w:hAnsi="Times New Roman" w:cs="Times New Roman"/>
          <w:sz w:val="28"/>
          <w:shd w:val="clear" w:color="auto" w:fill="FFFFFF"/>
        </w:rPr>
        <w:t>ся</w:t>
      </w:r>
      <w:r w:rsidR="00D81DF4">
        <w:rPr>
          <w:rFonts w:ascii="Times New Roman" w:hAnsi="Times New Roman" w:cs="Times New Roman"/>
          <w:sz w:val="28"/>
          <w:shd w:val="clear" w:color="auto" w:fill="FFFFFF"/>
        </w:rPr>
        <w:t xml:space="preserve"> пол</w:t>
      </w:r>
      <w:r w:rsidR="00FC4BA1">
        <w:rPr>
          <w:rFonts w:ascii="Times New Roman" w:hAnsi="Times New Roman" w:cs="Times New Roman"/>
          <w:sz w:val="28"/>
          <w:shd w:val="clear" w:color="auto" w:fill="FFFFFF"/>
        </w:rPr>
        <w:t>ожительные личностные качества.</w:t>
      </w:r>
    </w:p>
    <w:p w:rsidR="00FD4295" w:rsidRPr="00FC4BA1" w:rsidRDefault="00FD4295" w:rsidP="00FC4BA1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hd w:val="clear" w:color="auto" w:fill="FFFFFF"/>
        </w:rPr>
      </w:pPr>
      <w:r w:rsidRPr="00FC4BA1">
        <w:rPr>
          <w:rFonts w:ascii="Times New Roman" w:hAnsi="Times New Roman" w:cs="Times New Roman"/>
          <w:i/>
          <w:sz w:val="28"/>
          <w:shd w:val="clear" w:color="auto" w:fill="FFFFFF"/>
        </w:rPr>
        <w:t>Список литературы</w:t>
      </w:r>
    </w:p>
    <w:p w:rsidR="003E311D" w:rsidRPr="003E311D" w:rsidRDefault="00FC4BA1" w:rsidP="00FC4BA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1. </w:t>
      </w:r>
      <w:proofErr w:type="spellStart"/>
      <w:r w:rsidR="003E311D" w:rsidRPr="003E311D">
        <w:rPr>
          <w:rFonts w:ascii="Times New Roman" w:eastAsia="Times New Roman" w:hAnsi="Times New Roman" w:cs="Times New Roman"/>
          <w:sz w:val="28"/>
        </w:rPr>
        <w:t>Бгажнокова</w:t>
      </w:r>
      <w:proofErr w:type="spellEnd"/>
      <w:r w:rsidR="003E311D" w:rsidRPr="003E311D">
        <w:rPr>
          <w:rFonts w:ascii="Times New Roman" w:eastAsia="Times New Roman" w:hAnsi="Times New Roman" w:cs="Times New Roman"/>
          <w:sz w:val="28"/>
        </w:rPr>
        <w:t xml:space="preserve"> И.М. Обучение детей с выраженным недоразвитием интеллекта: Программно-методические материалы – М.: ВЛАДОС, 2007. </w:t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3E311D" w:rsidRPr="003E311D">
        <w:rPr>
          <w:rFonts w:ascii="Times New Roman" w:eastAsia="Times New Roman" w:hAnsi="Times New Roman" w:cs="Times New Roman"/>
          <w:sz w:val="28"/>
        </w:rPr>
        <w:t>181</w:t>
      </w:r>
      <w:r>
        <w:rPr>
          <w:rFonts w:ascii="Times New Roman" w:eastAsia="Times New Roman" w:hAnsi="Times New Roman" w:cs="Times New Roman"/>
          <w:sz w:val="28"/>
        </w:rPr>
        <w:t>с.</w:t>
      </w:r>
    </w:p>
    <w:p w:rsidR="00CE0680" w:rsidRPr="003E311D" w:rsidRDefault="00FC4BA1" w:rsidP="00FC4BA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spellStart"/>
      <w:r w:rsidR="003E311D" w:rsidRPr="003E311D">
        <w:rPr>
          <w:rFonts w:ascii="Times New Roman" w:eastAsia="Times New Roman" w:hAnsi="Times New Roman" w:cs="Times New Roman"/>
          <w:sz w:val="28"/>
        </w:rPr>
        <w:t>Жигорева</w:t>
      </w:r>
      <w:proofErr w:type="spellEnd"/>
      <w:r w:rsidR="003E311D" w:rsidRPr="003E311D">
        <w:rPr>
          <w:rFonts w:ascii="Times New Roman" w:eastAsia="Times New Roman" w:hAnsi="Times New Roman" w:cs="Times New Roman"/>
          <w:sz w:val="28"/>
        </w:rPr>
        <w:t xml:space="preserve"> М.В., Левченко И.Ю. Дети с комплексными нарушениями развития: диагностика и сопровождение. 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E311D" w:rsidRPr="003E311D">
        <w:rPr>
          <w:rFonts w:ascii="Times New Roman" w:eastAsia="Times New Roman" w:hAnsi="Times New Roman" w:cs="Times New Roman"/>
          <w:sz w:val="28"/>
        </w:rPr>
        <w:t>М.: Национальный книжный центр, 2016. – 208 с.</w:t>
      </w:r>
    </w:p>
    <w:sectPr w:rsidR="00CE0680" w:rsidRPr="003E311D" w:rsidSect="00FC4BA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6692C"/>
    <w:multiLevelType w:val="multilevel"/>
    <w:tmpl w:val="0B0A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2461A"/>
    <w:multiLevelType w:val="hybridMultilevel"/>
    <w:tmpl w:val="4ED01068"/>
    <w:lvl w:ilvl="0" w:tplc="BE48838C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0782"/>
    <w:rsid w:val="000E31AB"/>
    <w:rsid w:val="00130782"/>
    <w:rsid w:val="001B64A9"/>
    <w:rsid w:val="001C4C08"/>
    <w:rsid w:val="00210166"/>
    <w:rsid w:val="002125A8"/>
    <w:rsid w:val="003C61CB"/>
    <w:rsid w:val="003E311D"/>
    <w:rsid w:val="00427634"/>
    <w:rsid w:val="005755FF"/>
    <w:rsid w:val="00AC2D55"/>
    <w:rsid w:val="00AD0510"/>
    <w:rsid w:val="00BA129A"/>
    <w:rsid w:val="00CE0680"/>
    <w:rsid w:val="00D81DF4"/>
    <w:rsid w:val="00FB5918"/>
    <w:rsid w:val="00FC4BA1"/>
    <w:rsid w:val="00F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1218"/>
  <w15:docId w15:val="{F032210F-5531-4D83-BBCE-B5747096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680"/>
    <w:pPr>
      <w:ind w:left="720"/>
      <w:contextualSpacing/>
    </w:pPr>
  </w:style>
  <w:style w:type="character" w:customStyle="1" w:styleId="c4">
    <w:name w:val="c4"/>
    <w:basedOn w:val="a0"/>
    <w:rsid w:val="003E3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13</cp:revision>
  <dcterms:created xsi:type="dcterms:W3CDTF">2019-02-10T12:54:00Z</dcterms:created>
  <dcterms:modified xsi:type="dcterms:W3CDTF">2020-03-18T09:40:00Z</dcterms:modified>
</cp:coreProperties>
</file>