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37" w:rsidRPr="00D262DE" w:rsidRDefault="000B3037" w:rsidP="000B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D26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"https://almanahpedagoga.ru/servisy/konferencii/index?id=8" </w:instrText>
      </w:r>
      <w:r w:rsidRPr="00D26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D26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«Интерактивные методы обучения в современном образовании»</w:t>
      </w:r>
      <w:r w:rsidRPr="00D26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:rsidR="000B3037" w:rsidRPr="00D262DE" w:rsidRDefault="000B3037" w:rsidP="000B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подход к обучению должен ориентировать на внесение в процесс обучения новизны, обусловленной особенностями динамики развития жизни и деятельности, спецификой различных технологий обучения и потребностями личности, общества и государства в выработке у обучаемых социально полезных знаний, убеждений, черт и качеств характера, отношений и опыта поведения.</w:t>
      </w:r>
      <w:r w:rsidR="00A77CE3"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методические инновации связаны сегодня с применением интерактивных методов обучения. Слово «</w:t>
      </w:r>
      <w:proofErr w:type="spellStart"/>
      <w:r w:rsidR="00A77CE3"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</w:t>
      </w:r>
      <w:proofErr w:type="spellEnd"/>
      <w:r w:rsidR="00A77CE3"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» пришло к нам из английского от слова «</w:t>
      </w:r>
      <w:proofErr w:type="spellStart"/>
      <w:r w:rsidR="00A77CE3"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interact</w:t>
      </w:r>
      <w:proofErr w:type="spellEnd"/>
      <w:r w:rsidR="00A77CE3"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». «</w:t>
      </w:r>
      <w:proofErr w:type="spellStart"/>
      <w:r w:rsidR="00A77CE3"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Inter</w:t>
      </w:r>
      <w:proofErr w:type="spellEnd"/>
      <w:r w:rsidR="00A77CE3"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» – «взаимный», «</w:t>
      </w:r>
      <w:proofErr w:type="spellStart"/>
      <w:r w:rsidR="00A77CE3"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act</w:t>
      </w:r>
      <w:proofErr w:type="spellEnd"/>
      <w:r w:rsidR="00A77CE3"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» – действовать.</w:t>
      </w:r>
    </w:p>
    <w:p w:rsidR="000B3037" w:rsidRPr="00D262DE" w:rsidRDefault="000B3037" w:rsidP="000B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037" w:rsidRPr="00D262DE" w:rsidRDefault="000B3037" w:rsidP="000B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Интерактивное обучение – это специальная форма организации познавательной</w:t>
      </w:r>
    </w:p>
    <w:p w:rsidR="000B3037" w:rsidRPr="00D262DE" w:rsidRDefault="000B3037" w:rsidP="000B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в которую вовлечены все участники учебного процесса, созданы</w:t>
      </w:r>
    </w:p>
    <w:p w:rsidR="000B3037" w:rsidRPr="00D262DE" w:rsidRDefault="000B3037" w:rsidP="000B303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комфортные условия для обучения.                                                                                                        Использование интерактивных методов в процессе обучения оказывает</w:t>
      </w:r>
    </w:p>
    <w:p w:rsidR="000B3037" w:rsidRPr="00D262DE" w:rsidRDefault="000B3037" w:rsidP="000B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определенное влияние на развитие обучающегося: усиливает мотивацию обучения,</w:t>
      </w:r>
    </w:p>
    <w:p w:rsidR="000B3037" w:rsidRPr="00D262DE" w:rsidRDefault="000B3037" w:rsidP="000B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общения со сверстниками, обогащает жизненный опыт, активизирует саморазвитие.</w:t>
      </w:r>
    </w:p>
    <w:p w:rsidR="006251C2" w:rsidRPr="00D262DE" w:rsidRDefault="000B3037" w:rsidP="000B30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>Человек осознает потребность в таком общении-взаимодействии.</w:t>
      </w:r>
    </w:p>
    <w:p w:rsidR="00A77CE3" w:rsidRPr="00D262DE" w:rsidRDefault="00A77CE3" w:rsidP="00A77CE3">
      <w:pPr>
        <w:pStyle w:val="Default"/>
        <w:rPr>
          <w:b/>
          <w:bCs/>
          <w:i/>
          <w:iCs/>
          <w:color w:val="000000" w:themeColor="text1"/>
          <w:sz w:val="28"/>
          <w:szCs w:val="28"/>
        </w:rPr>
      </w:pPr>
      <w:r w:rsidRPr="00D262DE">
        <w:rPr>
          <w:b/>
          <w:bCs/>
          <w:i/>
          <w:iCs/>
          <w:color w:val="000000" w:themeColor="text1"/>
          <w:sz w:val="28"/>
          <w:szCs w:val="28"/>
        </w:rPr>
        <w:t xml:space="preserve">Основные правила организации интерактивного обучения. 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 xml:space="preserve">Правило первое. 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>В работу должны быть вовлечены в той или иной мере все участники. С этой целью полезно использовать технологии, позволяющие включить всех участников в процесс обсуждения.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>Правило второе.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 xml:space="preserve"> 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В этой связи полезны разминки, постоянное поощрение за активное участие в работе, предоставление возможности для самореализации.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 xml:space="preserve"> Правило третье. 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 xml:space="preserve">Обучающихся в технологии </w:t>
      </w:r>
      <w:proofErr w:type="spellStart"/>
      <w:r w:rsidRPr="00D262DE">
        <w:rPr>
          <w:color w:val="000000" w:themeColor="text1"/>
          <w:sz w:val="28"/>
          <w:szCs w:val="28"/>
        </w:rPr>
        <w:t>интерактива</w:t>
      </w:r>
      <w:proofErr w:type="spellEnd"/>
      <w:r w:rsidRPr="00D262DE">
        <w:rPr>
          <w:color w:val="000000" w:themeColor="text1"/>
          <w:sz w:val="28"/>
          <w:szCs w:val="28"/>
        </w:rPr>
        <w:t xml:space="preserve"> не должно быть много. Количество участников и качество обучения могут оказаться в прямой зависимости. Оптимальное количество участников - 25 человек. Только при этом условии возможна продуктивная работа в малых группах.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 xml:space="preserve">Правило четвертое. 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 xml:space="preserve">Подготовка помещения для работы. Помещение должно быть подготовлено с таким расчетом, чтобы участникам было легко пересаживаться для работы в больших и малых группах. Для </w:t>
      </w:r>
      <w:proofErr w:type="gramStart"/>
      <w:r w:rsidRPr="00D262DE">
        <w:rPr>
          <w:color w:val="000000" w:themeColor="text1"/>
          <w:sz w:val="28"/>
          <w:szCs w:val="28"/>
        </w:rPr>
        <w:t>обучаемых</w:t>
      </w:r>
      <w:proofErr w:type="gramEnd"/>
      <w:r w:rsidRPr="00D262DE">
        <w:rPr>
          <w:color w:val="000000" w:themeColor="text1"/>
          <w:sz w:val="28"/>
          <w:szCs w:val="28"/>
        </w:rPr>
        <w:t xml:space="preserve"> должен быть создан физический комфорт. 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lastRenderedPageBreak/>
        <w:t>Правило пятое. Четкое закрепление (фиксация) процедур и регламента. Об этом надо договориться в самом начале и постараться не нарушать его. Например: все участники будут проявлять терпимость к любой точке зрения, уважать право каждого на свободу слова, уважать его достоинства. Правило шестое. Отнеситесь со вниманием к делению участников семинара на группы. Первоначально его лучше построить на основе добровольности. Затем уместно воспользоваться принципом случайного выбора.</w:t>
      </w:r>
    </w:p>
    <w:p w:rsidR="005D7266" w:rsidRPr="00D262DE" w:rsidRDefault="005D7266" w:rsidP="00A77CE3">
      <w:pPr>
        <w:pStyle w:val="Default"/>
        <w:rPr>
          <w:color w:val="000000" w:themeColor="text1"/>
          <w:sz w:val="28"/>
          <w:szCs w:val="28"/>
        </w:rPr>
      </w:pP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b/>
          <w:bCs/>
          <w:i/>
          <w:iCs/>
          <w:color w:val="000000" w:themeColor="text1"/>
          <w:sz w:val="28"/>
          <w:szCs w:val="28"/>
        </w:rPr>
        <w:t xml:space="preserve">Основные интерактивные формы проведения учебных занятий </w:t>
      </w:r>
      <w:r w:rsidRPr="00D262DE">
        <w:rPr>
          <w:color w:val="000000" w:themeColor="text1"/>
          <w:sz w:val="28"/>
          <w:szCs w:val="28"/>
        </w:rPr>
        <w:t xml:space="preserve">Современная педагогика богата целым арсеналом интерактивных подходов, среди которых можно выделить следующие: 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 xml:space="preserve">• творческие задания; </w:t>
      </w: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color w:val="000000" w:themeColor="text1"/>
          <w:sz w:val="28"/>
          <w:szCs w:val="28"/>
        </w:rPr>
        <w:t xml:space="preserve">• работа в малых группах; </w:t>
      </w:r>
    </w:p>
    <w:p w:rsidR="00A77CE3" w:rsidRPr="00D262DE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.дискуссия; </w:t>
      </w:r>
    </w:p>
    <w:p w:rsidR="00A77CE3" w:rsidRPr="00A77CE3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обучающие игры (ролевые игры, имитации, деловые игры и образовательные игры); </w:t>
      </w:r>
    </w:p>
    <w:p w:rsidR="00A77CE3" w:rsidRPr="00A77CE3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изучение и закрепление нового материала на интерактивной лекции (лекция-беседа, лекция – дискуссия, лекция с разбором конкретных ситуаций, лекция с заранее запланированными ошибками, лекция-пресс-конференция, мини-лекция); </w:t>
      </w:r>
    </w:p>
    <w:p w:rsidR="00A77CE3" w:rsidRPr="00A77CE3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эвристическая беседа; </w:t>
      </w:r>
    </w:p>
    <w:p w:rsidR="00A77CE3" w:rsidRPr="00A77CE3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разработка проекта (метод проектов); </w:t>
      </w:r>
    </w:p>
    <w:p w:rsidR="00A77CE3" w:rsidRPr="00A77CE3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использование общественных ресурсов, социальные проекты и другие внеаудиторные методы обучения, например просмотр и обсуждение видеофильмов, экскурсии, приглашение специалиста, спектакли, выставки; </w:t>
      </w:r>
    </w:p>
    <w:p w:rsidR="00A77CE3" w:rsidRPr="00A77CE3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системы дистанционного бучения; </w:t>
      </w:r>
    </w:p>
    <w:p w:rsidR="00A77CE3" w:rsidRPr="00A77CE3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обсуждение и разрешение проблем </w:t>
      </w:r>
      <w:proofErr w:type="gramStart"/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«мозговой штурм», </w:t>
      </w:r>
      <w:proofErr w:type="spellStart"/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>ПОПС-формула</w:t>
      </w:r>
      <w:proofErr w:type="spellEnd"/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«дерево решений», «анализ казусов», «переговоры и медиация», «лестницы и змейки»); </w:t>
      </w:r>
    </w:p>
    <w:p w:rsidR="00A77CE3" w:rsidRPr="00A77CE3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тренинги; </w:t>
      </w:r>
    </w:p>
    <w:p w:rsidR="00A77CE3" w:rsidRPr="00D262DE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метод кейсов. </w:t>
      </w:r>
    </w:p>
    <w:p w:rsidR="00D262DE" w:rsidRPr="00D262DE" w:rsidRDefault="00D262DE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2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2DE">
        <w:rPr>
          <w:rFonts w:ascii="Times New Roman" w:hAnsi="Times New Roman" w:cs="Times New Roman"/>
          <w:sz w:val="28"/>
          <w:szCs w:val="28"/>
        </w:rPr>
        <w:t>Использование интерактивных форм в процессе обучения, как показывает практика, снимает нервную нагрузку обучающихся, дает возможность менять формы их деятельности, переключать внимание на узловые вопросы темы занятий.</w:t>
      </w:r>
    </w:p>
    <w:p w:rsidR="00A77CE3" w:rsidRPr="00A77CE3" w:rsidRDefault="00A77CE3" w:rsidP="00A7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E3" w:rsidRPr="00D262DE" w:rsidRDefault="00A77CE3" w:rsidP="00A77CE3">
      <w:pPr>
        <w:pStyle w:val="Default"/>
        <w:rPr>
          <w:color w:val="000000" w:themeColor="text1"/>
          <w:sz w:val="28"/>
          <w:szCs w:val="28"/>
        </w:rPr>
      </w:pPr>
      <w:r w:rsidRPr="00D262DE">
        <w:rPr>
          <w:b/>
          <w:bCs/>
          <w:color w:val="000000" w:themeColor="text1"/>
          <w:sz w:val="28"/>
          <w:szCs w:val="28"/>
        </w:rPr>
        <w:t>Список литературы:</w:t>
      </w:r>
      <w:r w:rsidRPr="00D262DE">
        <w:rPr>
          <w:color w:val="000000" w:themeColor="text1"/>
          <w:sz w:val="28"/>
          <w:szCs w:val="28"/>
        </w:rPr>
        <w:t xml:space="preserve"> </w:t>
      </w:r>
      <w:r w:rsidRPr="00D262DE">
        <w:rPr>
          <w:color w:val="000000" w:themeColor="text1"/>
          <w:sz w:val="28"/>
          <w:szCs w:val="28"/>
        </w:rPr>
        <w:br/>
        <w:t xml:space="preserve">1.​ </w:t>
      </w:r>
      <w:proofErr w:type="spellStart"/>
      <w:r w:rsidRPr="00D262DE">
        <w:rPr>
          <w:color w:val="000000" w:themeColor="text1"/>
          <w:sz w:val="28"/>
          <w:szCs w:val="28"/>
        </w:rPr>
        <w:t>Байкова</w:t>
      </w:r>
      <w:proofErr w:type="spellEnd"/>
      <w:r w:rsidRPr="00D262DE">
        <w:rPr>
          <w:color w:val="000000" w:themeColor="text1"/>
          <w:sz w:val="28"/>
          <w:szCs w:val="28"/>
        </w:rPr>
        <w:t xml:space="preserve"> Л.А. Педагогическое мастерство и педагогические технологии/ </w:t>
      </w:r>
      <w:proofErr w:type="spellStart"/>
      <w:r w:rsidRPr="00D262DE">
        <w:rPr>
          <w:color w:val="000000" w:themeColor="text1"/>
          <w:sz w:val="28"/>
          <w:szCs w:val="28"/>
        </w:rPr>
        <w:t>Л.А.Байкова</w:t>
      </w:r>
      <w:proofErr w:type="spellEnd"/>
      <w:r w:rsidRPr="00D262DE">
        <w:rPr>
          <w:color w:val="000000" w:themeColor="text1"/>
          <w:sz w:val="28"/>
          <w:szCs w:val="28"/>
        </w:rPr>
        <w:t xml:space="preserve">, </w:t>
      </w:r>
      <w:proofErr w:type="spellStart"/>
      <w:r w:rsidRPr="00D262DE">
        <w:rPr>
          <w:color w:val="000000" w:themeColor="text1"/>
          <w:sz w:val="28"/>
          <w:szCs w:val="28"/>
        </w:rPr>
        <w:t>Л.К.Гребенкина</w:t>
      </w:r>
      <w:proofErr w:type="spellEnd"/>
      <w:r w:rsidRPr="00D262DE">
        <w:rPr>
          <w:color w:val="000000" w:themeColor="text1"/>
          <w:sz w:val="28"/>
          <w:szCs w:val="28"/>
        </w:rPr>
        <w:t>. – М: Педаго</w:t>
      </w:r>
      <w:r w:rsidR="005D7266" w:rsidRPr="00D262DE">
        <w:rPr>
          <w:color w:val="000000" w:themeColor="text1"/>
          <w:sz w:val="28"/>
          <w:szCs w:val="28"/>
        </w:rPr>
        <w:t>гическое общество России</w:t>
      </w:r>
      <w:r w:rsidRPr="00D262DE">
        <w:rPr>
          <w:color w:val="000000" w:themeColor="text1"/>
          <w:sz w:val="28"/>
          <w:szCs w:val="28"/>
        </w:rPr>
        <w:br/>
        <w:t xml:space="preserve">2.​ </w:t>
      </w:r>
      <w:proofErr w:type="spellStart"/>
      <w:r w:rsidRPr="00D262DE">
        <w:rPr>
          <w:color w:val="000000" w:themeColor="text1"/>
          <w:sz w:val="28"/>
          <w:szCs w:val="28"/>
        </w:rPr>
        <w:t>Гузеев</w:t>
      </w:r>
      <w:proofErr w:type="spellEnd"/>
      <w:r w:rsidRPr="00D262DE">
        <w:rPr>
          <w:color w:val="000000" w:themeColor="text1"/>
          <w:sz w:val="28"/>
          <w:szCs w:val="28"/>
        </w:rPr>
        <w:t xml:space="preserve"> В.В. Образовательные технологии 21 века: деятельность, ценности, успех/ </w:t>
      </w:r>
      <w:proofErr w:type="spellStart"/>
      <w:r w:rsidRPr="00D262DE">
        <w:rPr>
          <w:color w:val="000000" w:themeColor="text1"/>
          <w:sz w:val="28"/>
          <w:szCs w:val="28"/>
        </w:rPr>
        <w:t>В.В.Гузеев</w:t>
      </w:r>
      <w:proofErr w:type="spellEnd"/>
      <w:r w:rsidRPr="00D262DE">
        <w:rPr>
          <w:color w:val="000000" w:themeColor="text1"/>
          <w:sz w:val="28"/>
          <w:szCs w:val="28"/>
        </w:rPr>
        <w:t xml:space="preserve">, </w:t>
      </w:r>
      <w:proofErr w:type="spellStart"/>
      <w:r w:rsidRPr="00D262DE">
        <w:rPr>
          <w:color w:val="000000" w:themeColor="text1"/>
          <w:sz w:val="28"/>
          <w:szCs w:val="28"/>
        </w:rPr>
        <w:t>А.Н.Дахнин</w:t>
      </w:r>
      <w:proofErr w:type="spellEnd"/>
      <w:r w:rsidRPr="00D262DE">
        <w:rPr>
          <w:color w:val="000000" w:themeColor="text1"/>
          <w:sz w:val="28"/>
          <w:szCs w:val="28"/>
        </w:rPr>
        <w:t>. – М: Центр «</w:t>
      </w:r>
      <w:proofErr w:type="gramStart"/>
      <w:r w:rsidRPr="00D262DE">
        <w:rPr>
          <w:color w:val="000000" w:themeColor="text1"/>
          <w:sz w:val="28"/>
          <w:szCs w:val="28"/>
        </w:rPr>
        <w:t>П</w:t>
      </w:r>
      <w:proofErr w:type="gramEnd"/>
    </w:p>
    <w:p w:rsidR="00A77CE3" w:rsidRDefault="00A77CE3" w:rsidP="00A77CE3">
      <w:pPr>
        <w:pStyle w:val="Default"/>
        <w:pageBreakBefore/>
        <w:rPr>
          <w:sz w:val="28"/>
          <w:szCs w:val="28"/>
        </w:rPr>
      </w:pPr>
    </w:p>
    <w:p w:rsidR="000B3037" w:rsidRDefault="000B3037" w:rsidP="000B3037"/>
    <w:p w:rsidR="00A77CE3" w:rsidRDefault="00A77CE3"/>
    <w:sectPr w:rsidR="00A77CE3" w:rsidSect="0062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3F3"/>
    <w:multiLevelType w:val="hybridMultilevel"/>
    <w:tmpl w:val="822E9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3037"/>
    <w:rsid w:val="000B3037"/>
    <w:rsid w:val="005D7266"/>
    <w:rsid w:val="0062206C"/>
    <w:rsid w:val="006251C2"/>
    <w:rsid w:val="007E6187"/>
    <w:rsid w:val="00A77CE3"/>
    <w:rsid w:val="00CE3CD5"/>
    <w:rsid w:val="00D2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7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2016-12-11T18:12:00Z</dcterms:created>
  <dcterms:modified xsi:type="dcterms:W3CDTF">2016-12-11T18:38:00Z</dcterms:modified>
</cp:coreProperties>
</file>