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06F5" w:rsidRPr="006C5EFF" w:rsidRDefault="006C5EFF" w:rsidP="006C5EFF">
      <w:pPr>
        <w:jc w:val="center"/>
        <w:rPr>
          <w:rFonts w:ascii="Times New Roman" w:hAnsi="Times New Roman" w:cs="Times New Roman"/>
          <w:color w:val="FFFFFF" w:themeColor="background1"/>
        </w:rPr>
      </w:pPr>
      <w:r w:rsidRPr="006C5EFF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ГБОУ «Татарстанский кадетский корпус ПФО</w:t>
      </w:r>
    </w:p>
    <w:p w:rsidR="006C5EFF" w:rsidRDefault="006C5EFF" w:rsidP="006C5EF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tabs>
          <w:tab w:val="left" w:pos="10155"/>
        </w:tabs>
        <w:rPr>
          <w:rFonts w:ascii="Times New Roman" w:hAnsi="Times New Roman" w:cs="Times New Roman"/>
          <w:color w:val="FFFFFF" w:themeColor="background1"/>
        </w:rPr>
      </w:pPr>
      <w:r w:rsidRPr="006C5EFF">
        <w:rPr>
          <w:rFonts w:ascii="Times New Roman" w:hAnsi="Times New Roman" w:cs="Times New Roman"/>
          <w:color w:val="FFFFFF" w:themeColor="background1"/>
        </w:rPr>
        <w:tab/>
      </w:r>
    </w:p>
    <w:p w:rsidR="006C5EFF" w:rsidRPr="006C5EFF" w:rsidRDefault="006C5EFF" w:rsidP="006C5EFF">
      <w:pPr>
        <w:tabs>
          <w:tab w:val="left" w:pos="10155"/>
        </w:tabs>
        <w:jc w:val="center"/>
        <w:rPr>
          <w:rFonts w:ascii="Times New Roman" w:hAnsi="Times New Roman" w:cs="Times New Roman"/>
          <w:color w:val="FFFFFF" w:themeColor="background1"/>
        </w:rPr>
      </w:pPr>
      <w:r w:rsidRPr="006C5EFF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                   Памятка педагогам</w:t>
      </w:r>
    </w:p>
    <w:p w:rsidR="006C5EFF" w:rsidRPr="006C5EFF" w:rsidRDefault="006C5EFF" w:rsidP="006C5EFF">
      <w:pPr>
        <w:tabs>
          <w:tab w:val="left" w:pos="10155"/>
        </w:tabs>
        <w:rPr>
          <w:rFonts w:ascii="Times New Roman" w:hAnsi="Times New Roman" w:cs="Times New Roman"/>
          <w:color w:val="FFFFFF" w:themeColor="background1"/>
        </w:rPr>
      </w:pPr>
      <w:r w:rsidRPr="006C5EFF">
        <w:rPr>
          <w:rFonts w:ascii="Times New Roman" w:hAnsi="Times New Roman" w:cs="Times New Roman"/>
          <w:color w:val="FFFFFF" w:themeColor="background1"/>
        </w:rPr>
        <w:t xml:space="preserve">                                                                                                                                                                                                                «Мотивация»</w:t>
      </w:r>
    </w:p>
    <w:p w:rsidR="006C5EFF" w:rsidRPr="006C5EFF" w:rsidRDefault="006C5EFF" w:rsidP="006C5EFF">
      <w:pPr>
        <w:rPr>
          <w:rFonts w:ascii="Times New Roman" w:hAnsi="Times New Roman" w:cs="Times New Roman"/>
          <w:color w:val="FFFFFF" w:themeColor="background1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C5EFF" w:rsidRDefault="006C5EFF" w:rsidP="006C5EFF">
      <w:pPr>
        <w:rPr>
          <w:rFonts w:ascii="Times New Roman" w:hAnsi="Times New Roman" w:cs="Times New Roman"/>
        </w:rPr>
      </w:pPr>
    </w:p>
    <w:p w:rsidR="006C5EFF" w:rsidRPr="006134E5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b/>
        </w:rPr>
      </w:pPr>
      <w:r w:rsidRPr="006134E5">
        <w:rPr>
          <w:rFonts w:ascii="Times New Roman" w:hAnsi="Times New Roman" w:cs="Times New Roman"/>
          <w:b/>
        </w:rPr>
        <w:lastRenderedPageBreak/>
        <w:t>ГБОУ «Татарстанский кадетский корпус ПФО</w:t>
      </w:r>
    </w:p>
    <w:p w:rsidR="006C5EFF" w:rsidRPr="006134E5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b/>
        </w:rPr>
      </w:pPr>
      <w:r w:rsidRPr="006134E5">
        <w:rPr>
          <w:rFonts w:ascii="Times New Roman" w:hAnsi="Times New Roman" w:cs="Times New Roman"/>
          <w:b/>
        </w:rPr>
        <w:t>Имени Героя Советского Союза Гани Сафиуллин</w:t>
      </w:r>
      <w:r w:rsidR="008C2D29">
        <w:rPr>
          <w:rFonts w:ascii="Times New Roman" w:hAnsi="Times New Roman" w:cs="Times New Roman"/>
          <w:b/>
        </w:rPr>
        <w:t>а</w:t>
      </w:r>
    </w:p>
    <w:p w:rsidR="006C5EFF" w:rsidRPr="006134E5" w:rsidRDefault="006C5EFF" w:rsidP="006C5EFF">
      <w:pPr>
        <w:tabs>
          <w:tab w:val="left" w:pos="10305"/>
        </w:tabs>
        <w:rPr>
          <w:rFonts w:ascii="Times New Roman" w:hAnsi="Times New Roman" w:cs="Times New Roman"/>
          <w:b/>
        </w:rPr>
      </w:pPr>
    </w:p>
    <w:p w:rsidR="006C5EFF" w:rsidRPr="006134E5" w:rsidRDefault="006C5EFF" w:rsidP="006C5EFF">
      <w:pPr>
        <w:tabs>
          <w:tab w:val="left" w:pos="10305"/>
        </w:tabs>
        <w:rPr>
          <w:rFonts w:ascii="Times New Roman" w:hAnsi="Times New Roman" w:cs="Times New Roman"/>
          <w:b/>
        </w:rPr>
      </w:pPr>
    </w:p>
    <w:p w:rsidR="006C5EFF" w:rsidRPr="006134E5" w:rsidRDefault="006C5EFF" w:rsidP="006C5EFF">
      <w:pPr>
        <w:tabs>
          <w:tab w:val="left" w:pos="10305"/>
        </w:tabs>
        <w:rPr>
          <w:rFonts w:ascii="Times New Roman" w:hAnsi="Times New Roman" w:cs="Times New Roman"/>
          <w:b/>
        </w:rPr>
      </w:pPr>
    </w:p>
    <w:p w:rsidR="006C5EFF" w:rsidRPr="006134E5" w:rsidRDefault="006C5EFF" w:rsidP="006C5EFF">
      <w:pPr>
        <w:tabs>
          <w:tab w:val="left" w:pos="10305"/>
        </w:tabs>
        <w:rPr>
          <w:rFonts w:ascii="Times New Roman" w:hAnsi="Times New Roman" w:cs="Times New Roman"/>
          <w:b/>
        </w:rPr>
      </w:pPr>
    </w:p>
    <w:p w:rsidR="006C5EFF" w:rsidRPr="006134E5" w:rsidRDefault="006C5EFF" w:rsidP="006C5EFF">
      <w:pPr>
        <w:tabs>
          <w:tab w:val="left" w:pos="10305"/>
        </w:tabs>
        <w:rPr>
          <w:rFonts w:ascii="Times New Roman" w:hAnsi="Times New Roman" w:cs="Times New Roman"/>
          <w:b/>
        </w:rPr>
      </w:pPr>
    </w:p>
    <w:p w:rsidR="006C5EFF" w:rsidRPr="006134E5" w:rsidRDefault="006C5EFF" w:rsidP="006C5EFF">
      <w:pPr>
        <w:tabs>
          <w:tab w:val="left" w:pos="10305"/>
        </w:tabs>
        <w:rPr>
          <w:rFonts w:ascii="Times New Roman" w:hAnsi="Times New Roman" w:cs="Times New Roman"/>
          <w:b/>
        </w:rPr>
      </w:pPr>
    </w:p>
    <w:p w:rsidR="006C5EFF" w:rsidRPr="008C2D29" w:rsidRDefault="006C5EFF" w:rsidP="006C5EFF">
      <w:pPr>
        <w:tabs>
          <w:tab w:val="left" w:pos="10305"/>
        </w:tabs>
        <w:rPr>
          <w:rFonts w:ascii="Times New Roman" w:hAnsi="Times New Roman" w:cs="Times New Roman"/>
          <w:b/>
        </w:rPr>
      </w:pPr>
    </w:p>
    <w:p w:rsidR="006C5EFF" w:rsidRPr="006134E5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b/>
        </w:rPr>
      </w:pPr>
    </w:p>
    <w:p w:rsidR="006C5EFF" w:rsidRPr="006134E5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6134E5">
        <w:rPr>
          <w:rFonts w:ascii="Times New Roman" w:hAnsi="Times New Roman" w:cs="Times New Roman"/>
          <w:b/>
          <w:color w:val="000000" w:themeColor="text1"/>
        </w:rPr>
        <w:t>Памятка педагогам</w:t>
      </w:r>
    </w:p>
    <w:p w:rsidR="006C5EFF" w:rsidRPr="006134E5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b/>
          <w:color w:val="000000" w:themeColor="text1"/>
        </w:rPr>
      </w:pPr>
      <w:r w:rsidRPr="006134E5">
        <w:rPr>
          <w:rFonts w:ascii="Times New Roman" w:hAnsi="Times New Roman" w:cs="Times New Roman"/>
          <w:b/>
          <w:color w:val="000000" w:themeColor="text1"/>
        </w:rPr>
        <w:t>«Мотивация»</w:t>
      </w:r>
    </w:p>
    <w:p w:rsidR="006C5EFF" w:rsidRPr="006134E5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b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Default="006C5EFF" w:rsidP="006C5EFF">
      <w:pPr>
        <w:tabs>
          <w:tab w:val="left" w:pos="10305"/>
        </w:tabs>
        <w:jc w:val="center"/>
        <w:rPr>
          <w:rFonts w:ascii="Times New Roman" w:hAnsi="Times New Roman" w:cs="Times New Roman"/>
          <w:color w:val="000000" w:themeColor="text1"/>
        </w:rPr>
      </w:pPr>
    </w:p>
    <w:p w:rsidR="006C5EFF" w:rsidRPr="0085403D" w:rsidRDefault="008C2D29" w:rsidP="0085403D">
      <w:pPr>
        <w:tabs>
          <w:tab w:val="left" w:pos="10305"/>
        </w:tabs>
        <w:jc w:val="center"/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5393055</wp:posOffset>
            </wp:positionH>
            <wp:positionV relativeFrom="paragraph">
              <wp:posOffset>-74295</wp:posOffset>
            </wp:positionV>
            <wp:extent cx="4572000" cy="4467225"/>
            <wp:effectExtent l="19050" t="0" r="0" b="0"/>
            <wp:wrapTopAndBottom/>
            <wp:docPr id="6" name="Рисунок 5" descr="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446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403D" w:rsidRPr="0085403D">
        <w:rPr>
          <w:rFonts w:ascii="Times New Roman" w:hAnsi="Times New Roman" w:cs="Times New Roman"/>
          <w:b/>
          <w:noProof/>
          <w:color w:val="000000" w:themeColor="text1"/>
          <w:sz w:val="20"/>
          <w:szCs w:val="20"/>
        </w:rPr>
        <w:t>Ошибки в развитиии мотивации детей:</w:t>
      </w:r>
    </w:p>
    <w:p w:rsidR="0085403D" w:rsidRPr="0085403D" w:rsidRDefault="0085403D" w:rsidP="0085403D">
      <w:pPr>
        <w:pStyle w:val="a5"/>
        <w:numPr>
          <w:ilvl w:val="0"/>
          <w:numId w:val="1"/>
        </w:numPr>
        <w:tabs>
          <w:tab w:val="left" w:pos="10305"/>
        </w:tabs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85403D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Постулирование правилного ответа;</w:t>
      </w:r>
    </w:p>
    <w:p w:rsidR="0085403D" w:rsidRPr="0085403D" w:rsidRDefault="0085403D" w:rsidP="0085403D">
      <w:pPr>
        <w:pStyle w:val="a5"/>
        <w:numPr>
          <w:ilvl w:val="0"/>
          <w:numId w:val="1"/>
        </w:numPr>
        <w:tabs>
          <w:tab w:val="left" w:pos="10305"/>
        </w:tabs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85403D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Игнорирование деятельности ребенка;</w:t>
      </w:r>
    </w:p>
    <w:p w:rsidR="0085403D" w:rsidRPr="0085403D" w:rsidRDefault="0085403D" w:rsidP="0085403D">
      <w:pPr>
        <w:pStyle w:val="a5"/>
        <w:numPr>
          <w:ilvl w:val="0"/>
          <w:numId w:val="1"/>
        </w:numPr>
        <w:tabs>
          <w:tab w:val="left" w:pos="10305"/>
        </w:tabs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 w:rsidRPr="0085403D">
        <w:rPr>
          <w:rFonts w:ascii="Times New Roman" w:hAnsi="Times New Roman" w:cs="Times New Roman"/>
          <w:noProof/>
          <w:color w:val="000000" w:themeColor="text1"/>
          <w:sz w:val="20"/>
          <w:szCs w:val="20"/>
        </w:rPr>
        <w:t>Недостаточное пощрение процесса.</w:t>
      </w:r>
    </w:p>
    <w:p w:rsidR="0085403D" w:rsidRPr="0085403D" w:rsidRDefault="0085403D" w:rsidP="0085403D">
      <w:pPr>
        <w:tabs>
          <w:tab w:val="left" w:pos="10305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3D">
        <w:rPr>
          <w:rFonts w:ascii="Times New Roman" w:hAnsi="Times New Roman" w:cs="Times New Roman"/>
          <w:color w:val="000000"/>
          <w:sz w:val="20"/>
          <w:szCs w:val="20"/>
        </w:rPr>
        <w:t>Учитель  может решить помочь ребенку найти правильное решение самым простым и коротким путем — демонстрацией собственно правильного решения. И это, разумеется, «медвежья услуга», поскольку поиск решения в данном случае важнее, чем само решение: это тренирует произвольное внимание, а также фор</w:t>
      </w:r>
      <w:r w:rsidRPr="0085403D">
        <w:rPr>
          <w:rFonts w:ascii="Times New Roman" w:hAnsi="Times New Roman" w:cs="Times New Roman"/>
          <w:color w:val="000000"/>
          <w:sz w:val="20"/>
          <w:szCs w:val="20"/>
        </w:rPr>
        <w:softHyphen/>
        <w:t>мирует мотивацию исследования, так необходимую для дальнейшего самообучения и исследования.</w:t>
      </w:r>
    </w:p>
    <w:p w:rsidR="0085403D" w:rsidRDefault="0085403D" w:rsidP="0085403D">
      <w:pPr>
        <w:tabs>
          <w:tab w:val="left" w:pos="10305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5403D">
        <w:rPr>
          <w:rFonts w:ascii="Times New Roman" w:hAnsi="Times New Roman" w:cs="Times New Roman"/>
          <w:color w:val="000000"/>
          <w:sz w:val="20"/>
          <w:szCs w:val="20"/>
        </w:rPr>
        <w:t>Когда ученик сталкивается с принципиально новой деятельно</w:t>
      </w:r>
      <w:r w:rsidRPr="0085403D">
        <w:rPr>
          <w:rFonts w:ascii="Times New Roman" w:hAnsi="Times New Roman" w:cs="Times New Roman"/>
          <w:color w:val="000000"/>
          <w:sz w:val="20"/>
          <w:szCs w:val="20"/>
        </w:rPr>
        <w:softHyphen/>
        <w:t>стью, ему требуется помощь взрослого. И в первую очередь совместная деятельность — это способ научить планировать деятельность, оцени</w:t>
      </w:r>
      <w:r w:rsidRPr="0085403D">
        <w:rPr>
          <w:rFonts w:ascii="Times New Roman" w:hAnsi="Times New Roman" w:cs="Times New Roman"/>
          <w:color w:val="000000"/>
          <w:sz w:val="20"/>
          <w:szCs w:val="20"/>
        </w:rPr>
        <w:softHyphen/>
        <w:t>вать ее, придумывать способы достижения цели.</w:t>
      </w:r>
    </w:p>
    <w:p w:rsidR="0085403D" w:rsidRDefault="0085403D" w:rsidP="0085403D">
      <w:pPr>
        <w:tabs>
          <w:tab w:val="left" w:pos="10305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FB5">
        <w:rPr>
          <w:rFonts w:ascii="Times New Roman" w:hAnsi="Times New Roman" w:cs="Times New Roman"/>
          <w:color w:val="000000"/>
          <w:sz w:val="20"/>
          <w:szCs w:val="20"/>
        </w:rPr>
        <w:t xml:space="preserve">Недостаточного поощрения процесса нужно избегать. Сложность тут в том, что основная цель всех действий </w:t>
      </w:r>
      <w:r w:rsidR="00B83FB5">
        <w:rPr>
          <w:rFonts w:ascii="Times New Roman" w:hAnsi="Times New Roman" w:cs="Times New Roman"/>
          <w:color w:val="000000"/>
          <w:sz w:val="20"/>
          <w:szCs w:val="20"/>
        </w:rPr>
        <w:t>учителя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t xml:space="preserve"> должна быть в том, чтобы, поощряя деятельность </w:t>
      </w:r>
      <w:r w:rsidR="00B83FB5">
        <w:rPr>
          <w:rFonts w:ascii="Times New Roman" w:hAnsi="Times New Roman" w:cs="Times New Roman"/>
          <w:color w:val="000000"/>
          <w:sz w:val="20"/>
          <w:szCs w:val="20"/>
        </w:rPr>
        <w:t>ученика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t>, способствовать развитию его соб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ственных мотивационных механизмов. </w:t>
      </w:r>
    </w:p>
    <w:p w:rsidR="00B83FB5" w:rsidRDefault="00B83FB5" w:rsidP="00B83FB5">
      <w:pPr>
        <w:tabs>
          <w:tab w:val="left" w:pos="10305"/>
        </w:tabs>
        <w:spacing w:after="0"/>
        <w:ind w:firstLine="68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</w:p>
    <w:p w:rsidR="00B83FB5" w:rsidRDefault="0085102A" w:rsidP="00B83FB5">
      <w:pPr>
        <w:tabs>
          <w:tab w:val="left" w:pos="10305"/>
        </w:tabs>
        <w:spacing w:after="0"/>
        <w:ind w:firstLine="680"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color w:val="000000"/>
          <w:sz w:val="20"/>
          <w:szCs w:val="20"/>
        </w:rPr>
        <w:t>Н</w:t>
      </w:r>
      <w:r w:rsidR="00B83FB5" w:rsidRPr="00B83FB5">
        <w:rPr>
          <w:rFonts w:ascii="Times New Roman" w:hAnsi="Times New Roman" w:cs="Times New Roman"/>
          <w:b/>
          <w:color w:val="000000"/>
          <w:sz w:val="20"/>
          <w:szCs w:val="20"/>
        </w:rPr>
        <w:t>егативная мотивация</w:t>
      </w:r>
    </w:p>
    <w:p w:rsidR="00B83FB5" w:rsidRDefault="00B83FB5" w:rsidP="00B83FB5">
      <w:pPr>
        <w:tabs>
          <w:tab w:val="left" w:pos="10305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Негативная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hAnsi="Times New Roman" w:cs="Times New Roman"/>
          <w:color w:val="000000"/>
          <w:sz w:val="20"/>
          <w:szCs w:val="20"/>
        </w:rPr>
        <w:t>мотивация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t xml:space="preserve"> по сути своей является стрессом, и, как следствие, в начальных фазах сти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softHyphen/>
        <w:t>мулирует нервную систему, а в дальнейшем приводит к ее угнетению и торможению.</w:t>
      </w:r>
    </w:p>
    <w:p w:rsidR="00B83FB5" w:rsidRPr="00B83FB5" w:rsidRDefault="00B83FB5" w:rsidP="00B83FB5">
      <w:pPr>
        <w:pStyle w:val="Pa9"/>
        <w:ind w:firstLine="2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cs="Ubuntu"/>
          <w:color w:val="000000"/>
          <w:sz w:val="22"/>
          <w:szCs w:val="22"/>
        </w:rPr>
        <w:t xml:space="preserve">— 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t>стресс ухудшает работу мышления и памяти, а в силу характера воздействия стресса на внимание можно говорить о том, что это ком</w:t>
      </w:r>
      <w:r w:rsidRPr="00B83FB5">
        <w:rPr>
          <w:rFonts w:ascii="Times New Roman" w:hAnsi="Times New Roman" w:cs="Times New Roman"/>
          <w:color w:val="000000"/>
          <w:sz w:val="20"/>
          <w:szCs w:val="20"/>
        </w:rPr>
        <w:softHyphen/>
        <w:t xml:space="preserve">плексное угнетающее воздействие на все психические процессы; </w:t>
      </w:r>
    </w:p>
    <w:p w:rsidR="00B83FB5" w:rsidRDefault="00B83FB5" w:rsidP="00B83FB5">
      <w:pPr>
        <w:tabs>
          <w:tab w:val="left" w:pos="10305"/>
        </w:tabs>
        <w:spacing w:after="0"/>
        <w:ind w:firstLine="68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B83FB5">
        <w:rPr>
          <w:rFonts w:ascii="Times New Roman" w:hAnsi="Times New Roman" w:cs="Times New Roman"/>
          <w:color w:val="000000"/>
          <w:sz w:val="20"/>
          <w:szCs w:val="20"/>
        </w:rPr>
        <w:t>— воздействие стрессом на человека приводит его в замкнутый круг: чем сильнее стресс, тем ниже продуктивность, чем ниже продуктивность, тем сильнее человек переживает о том, что у него ничего не получается, что, в свою очередь, усиливает исходный стресс.</w:t>
      </w:r>
    </w:p>
    <w:p w:rsidR="0085102A" w:rsidRPr="0085102A" w:rsidRDefault="0085102A" w:rsidP="00B83FB5">
      <w:pPr>
        <w:tabs>
          <w:tab w:val="left" w:pos="10305"/>
        </w:tabs>
        <w:spacing w:after="0"/>
        <w:ind w:firstLine="680"/>
        <w:jc w:val="both"/>
        <w:rPr>
          <w:rFonts w:ascii="Times New Roman" w:hAnsi="Times New Roman" w:cs="Times New Roman"/>
          <w:noProof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Н</w:t>
      </w:r>
      <w:r w:rsidRPr="0085102A">
        <w:rPr>
          <w:rFonts w:ascii="Times New Roman" w:hAnsi="Times New Roman" w:cs="Times New Roman"/>
          <w:color w:val="000000"/>
          <w:sz w:val="20"/>
          <w:szCs w:val="20"/>
        </w:rPr>
        <w:t>егативная мотивация работает только на прими</w:t>
      </w:r>
      <w:r w:rsidRPr="0085102A">
        <w:rPr>
          <w:rFonts w:ascii="Times New Roman" w:hAnsi="Times New Roman" w:cs="Times New Roman"/>
          <w:color w:val="000000"/>
          <w:sz w:val="20"/>
          <w:szCs w:val="20"/>
        </w:rPr>
        <w:softHyphen/>
        <w:t>тивных видах деятельности, ничего по</w:t>
      </w:r>
      <w:r w:rsidRPr="0085102A">
        <w:rPr>
          <w:rFonts w:ascii="Times New Roman" w:hAnsi="Times New Roman" w:cs="Times New Roman"/>
          <w:color w:val="000000"/>
          <w:sz w:val="20"/>
          <w:szCs w:val="20"/>
        </w:rPr>
        <w:noBreakHyphen/>
        <w:t>настоящему великого человек на ней сделать не сможет. Свойство, которое делает использование нега</w:t>
      </w:r>
      <w:r w:rsidRPr="0085102A">
        <w:rPr>
          <w:rFonts w:ascii="Times New Roman" w:hAnsi="Times New Roman" w:cs="Times New Roman"/>
          <w:color w:val="000000"/>
          <w:sz w:val="20"/>
          <w:szCs w:val="20"/>
        </w:rPr>
        <w:softHyphen/>
        <w:t>тивной мотивации опасным — это способность накапливаться, оседать и сохраняться в человеке и формировать неосознанные деструктивные установки. И уж точно негативная мотивация исключает партнерские отношения у обучающего и обучаемого.</w:t>
      </w:r>
    </w:p>
    <w:p w:rsidR="0085403D" w:rsidRDefault="0085403D" w:rsidP="0085403D">
      <w:pPr>
        <w:tabs>
          <w:tab w:val="left" w:pos="10305"/>
        </w:tabs>
        <w:jc w:val="both"/>
        <w:rPr>
          <w:rFonts w:ascii="Times New Roman" w:hAnsi="Times New Roman" w:cs="Times New Roman"/>
          <w:noProof/>
          <w:color w:val="000000" w:themeColor="text1"/>
        </w:rPr>
      </w:pPr>
    </w:p>
    <w:p w:rsidR="0085403D" w:rsidRDefault="0085403D" w:rsidP="0085403D">
      <w:pPr>
        <w:tabs>
          <w:tab w:val="left" w:pos="10305"/>
        </w:tabs>
        <w:jc w:val="both"/>
        <w:rPr>
          <w:rFonts w:ascii="Times New Roman" w:hAnsi="Times New Roman" w:cs="Times New Roman"/>
          <w:color w:val="000000" w:themeColor="text1"/>
        </w:rPr>
      </w:pPr>
    </w:p>
    <w:p w:rsidR="00B83FB5" w:rsidRDefault="006134E5" w:rsidP="006134E5">
      <w:pPr>
        <w:tabs>
          <w:tab w:val="left" w:pos="10305"/>
        </w:tabs>
        <w:ind w:left="1416"/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noProof/>
          <w:color w:val="000000" w:themeColor="text1"/>
        </w:rPr>
        <w:drawing>
          <wp:inline distT="0" distB="0" distL="0" distR="0">
            <wp:extent cx="3187340" cy="1971675"/>
            <wp:effectExtent l="19050" t="0" r="0" b="0"/>
            <wp:docPr id="8" name="Рисунок 7" descr="Без имен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 имени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90534" cy="1973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34E5" w:rsidRDefault="006134E5" w:rsidP="006134E5">
      <w:pPr>
        <w:tabs>
          <w:tab w:val="left" w:pos="10305"/>
        </w:tabs>
        <w:ind w:left="1416"/>
        <w:jc w:val="both"/>
        <w:rPr>
          <w:rFonts w:ascii="Times New Roman" w:hAnsi="Times New Roman" w:cs="Times New Roman"/>
          <w:color w:val="000000" w:themeColor="text1"/>
        </w:rPr>
      </w:pPr>
    </w:p>
    <w:p w:rsidR="006134E5" w:rsidRDefault="006134E5" w:rsidP="006134E5">
      <w:pPr>
        <w:tabs>
          <w:tab w:val="left" w:pos="10305"/>
        </w:tabs>
        <w:ind w:left="1416"/>
        <w:jc w:val="both"/>
        <w:rPr>
          <w:rFonts w:ascii="Times New Roman" w:hAnsi="Times New Roman" w:cs="Times New Roman"/>
          <w:color w:val="000000" w:themeColor="text1"/>
        </w:rPr>
      </w:pPr>
    </w:p>
    <w:p w:rsidR="006134E5" w:rsidRPr="005206F5" w:rsidRDefault="005206F5" w:rsidP="005206F5">
      <w:pPr>
        <w:tabs>
          <w:tab w:val="left" w:pos="10305"/>
        </w:tabs>
        <w:ind w:left="1416"/>
        <w:jc w:val="center"/>
        <w:rPr>
          <w:rFonts w:ascii="Times New Roman" w:hAnsi="Times New Roman" w:cs="Times New Roman"/>
          <w:b/>
          <w:color w:val="000000" w:themeColor="text1"/>
        </w:rPr>
      </w:pPr>
      <w:r w:rsidRPr="005206F5">
        <w:rPr>
          <w:rFonts w:ascii="Times New Roman" w:hAnsi="Times New Roman" w:cs="Times New Roman"/>
          <w:b/>
          <w:color w:val="000000" w:themeColor="text1"/>
        </w:rPr>
        <w:t>Советы по повышению мотивации: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</w:rPr>
      </w:pPr>
      <w:r w:rsidRPr="005206F5">
        <w:rPr>
          <w:rFonts w:ascii="Verdana" w:hAnsi="Verdana"/>
          <w:color w:val="000000"/>
          <w:sz w:val="20"/>
          <w:szCs w:val="20"/>
          <w:shd w:val="clear" w:color="auto" w:fill="FFFFFF"/>
        </w:rPr>
        <w:t>С</w:t>
      </w: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оздавайте ситуации успеха через выполнение заданий, посильных для всех учащихся, изучение нового материала с опорой на старые знания.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Помните, что очень важен положительный эмоциональный настрой через создание на уроке доброжелательной атмосферы доверия и сотрудничества, яркую и эмоциональную речь учителя.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Предоставляйте частичную свободу выбора (не в ущерб знаниям).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Помните, что значительно повышают учебную мотивацию: занимательность, необычное начало урока, использование музыкальных фрагментов, игровых и соревновательных форм, юмористических фраз и расслабляющих минуток.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Не наказывайте за неудачу, неудача сама по себе является наказанием. Страх и напряжённость затрудняет процесс обучения. Неудачи снижают мотивацию</w:t>
      </w:r>
    </w:p>
    <w:p w:rsidR="005206F5" w:rsidRPr="005206F5" w:rsidRDefault="005206F5" w:rsidP="008C2D29">
      <w:pPr>
        <w:pStyle w:val="a6"/>
        <w:numPr>
          <w:ilvl w:val="0"/>
          <w:numId w:val="2"/>
        </w:numPr>
        <w:spacing w:after="0" w:afterAutospacing="0"/>
        <w:ind w:left="777" w:hanging="357"/>
        <w:rPr>
          <w:sz w:val="20"/>
          <w:szCs w:val="20"/>
        </w:rPr>
      </w:pPr>
      <w:r w:rsidRPr="005206F5">
        <w:rPr>
          <w:sz w:val="20"/>
          <w:szCs w:val="20"/>
        </w:rPr>
        <w:t>Самый мощный стимул в обучении «Получилось!!!» Отсутствие этого стимула, означает отсутствие смысла учебы. </w:t>
      </w:r>
    </w:p>
    <w:p w:rsidR="005206F5" w:rsidRPr="005206F5" w:rsidRDefault="005206F5" w:rsidP="008C2D29">
      <w:pPr>
        <w:pStyle w:val="a6"/>
        <w:numPr>
          <w:ilvl w:val="0"/>
          <w:numId w:val="2"/>
        </w:numPr>
        <w:spacing w:after="0" w:afterAutospacing="0"/>
        <w:ind w:left="777" w:hanging="357"/>
        <w:rPr>
          <w:sz w:val="20"/>
          <w:szCs w:val="20"/>
        </w:rPr>
      </w:pPr>
      <w:r w:rsidRPr="005206F5">
        <w:rPr>
          <w:sz w:val="20"/>
          <w:szCs w:val="20"/>
        </w:rPr>
        <w:t xml:space="preserve">Помните, </w:t>
      </w:r>
      <w:r w:rsidR="008C2D29">
        <w:rPr>
          <w:sz w:val="20"/>
          <w:szCs w:val="20"/>
        </w:rPr>
        <w:t> </w:t>
      </w:r>
      <w:r w:rsidRPr="005206F5">
        <w:rPr>
          <w:sz w:val="20"/>
          <w:szCs w:val="20"/>
        </w:rPr>
        <w:t xml:space="preserve">что </w:t>
      </w:r>
      <w:r w:rsidR="008C2D29">
        <w:rPr>
          <w:sz w:val="20"/>
          <w:szCs w:val="20"/>
        </w:rPr>
        <w:t> </w:t>
      </w:r>
      <w:r w:rsidRPr="005206F5">
        <w:rPr>
          <w:sz w:val="20"/>
          <w:szCs w:val="20"/>
        </w:rPr>
        <w:t>рост уверенности в себе, своих силах способствует усилению внутренней мотивации.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Сотрудничайте на уроке через совместное решение проблемы и разрешение противоречий, эвристическую беседу, учебную дискуссию, выделение существенных признаков предметов, классификацию, обобщение, моделирование.</w:t>
      </w:r>
    </w:p>
    <w:p w:rsidR="005206F5" w:rsidRPr="005206F5" w:rsidRDefault="005206F5" w:rsidP="008C2D29">
      <w:pPr>
        <w:pStyle w:val="a6"/>
        <w:numPr>
          <w:ilvl w:val="0"/>
          <w:numId w:val="2"/>
        </w:numPr>
        <w:spacing w:after="0" w:afterAutospacing="0"/>
        <w:ind w:left="777" w:hanging="357"/>
        <w:rPr>
          <w:sz w:val="20"/>
          <w:szCs w:val="20"/>
        </w:rPr>
      </w:pPr>
      <w:r w:rsidRPr="005206F5">
        <w:rPr>
          <w:sz w:val="20"/>
          <w:szCs w:val="20"/>
        </w:rPr>
        <w:t>По возможности старайтесь на уроке чаще обращаться к каждому ученику, осуществляя постоянную «обратную связь» –</w:t>
      </w:r>
      <w:r w:rsidR="008C2D29">
        <w:rPr>
          <w:sz w:val="20"/>
          <w:szCs w:val="20"/>
        </w:rPr>
        <w:t xml:space="preserve"> к</w:t>
      </w:r>
      <w:r w:rsidRPr="005206F5">
        <w:rPr>
          <w:sz w:val="20"/>
          <w:szCs w:val="20"/>
        </w:rPr>
        <w:t>орректировать непонятное или неправильно понятое.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Отмечайте достижения ребенка. Оценка его достижений поможет продолжить обучение. 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Постоянно и целенаправленно занимайтесь развитием качеств, лежащих в основе развития познавательных способностей: быстроты реакций, всех видов памяти, внимания, воображения и т. д. Основная задача каждого учителя – не только научить, а и развить мышление ребенка средствами своего предмета.</w:t>
      </w:r>
    </w:p>
    <w:p w:rsidR="005206F5" w:rsidRPr="005206F5" w:rsidRDefault="005206F5" w:rsidP="008C2D29">
      <w:pPr>
        <w:pStyle w:val="a6"/>
        <w:numPr>
          <w:ilvl w:val="0"/>
          <w:numId w:val="2"/>
        </w:numPr>
        <w:spacing w:after="0" w:afterAutospacing="0"/>
        <w:ind w:left="777" w:hanging="357"/>
        <w:rPr>
          <w:sz w:val="20"/>
          <w:szCs w:val="20"/>
        </w:rPr>
      </w:pPr>
      <w:r w:rsidRPr="005206F5">
        <w:rPr>
          <w:sz w:val="20"/>
          <w:szCs w:val="20"/>
        </w:rPr>
        <w:t xml:space="preserve">Старайтесь </w:t>
      </w:r>
      <w:r w:rsidR="008C2D29">
        <w:rPr>
          <w:sz w:val="20"/>
          <w:szCs w:val="20"/>
        </w:rPr>
        <w:t> </w:t>
      </w:r>
      <w:r w:rsidRPr="005206F5">
        <w:rPr>
          <w:sz w:val="20"/>
          <w:szCs w:val="20"/>
        </w:rPr>
        <w:t xml:space="preserve">создавать </w:t>
      </w:r>
      <w:r w:rsidR="008C2D29">
        <w:rPr>
          <w:sz w:val="20"/>
          <w:szCs w:val="20"/>
        </w:rPr>
        <w:t xml:space="preserve">  </w:t>
      </w:r>
      <w:r w:rsidRPr="005206F5">
        <w:rPr>
          <w:sz w:val="20"/>
          <w:szCs w:val="20"/>
        </w:rPr>
        <w:t xml:space="preserve">положительный эмоциональный настрой через создание на уроке </w:t>
      </w:r>
      <w:r w:rsidR="008C2D29">
        <w:rPr>
          <w:sz w:val="20"/>
          <w:szCs w:val="20"/>
        </w:rPr>
        <w:t> </w:t>
      </w:r>
      <w:r w:rsidRPr="005206F5">
        <w:rPr>
          <w:sz w:val="20"/>
          <w:szCs w:val="20"/>
        </w:rPr>
        <w:t>доброжелательной атмосферы доверия и сотрудничества, яркую и эмоциональную речь учителя.</w:t>
      </w:r>
    </w:p>
    <w:p w:rsidR="005206F5" w:rsidRPr="005206F5" w:rsidRDefault="005206F5" w:rsidP="008C2D29">
      <w:pPr>
        <w:pStyle w:val="a5"/>
        <w:numPr>
          <w:ilvl w:val="0"/>
          <w:numId w:val="2"/>
        </w:numPr>
        <w:tabs>
          <w:tab w:val="left" w:pos="10305"/>
        </w:tabs>
        <w:spacing w:after="0"/>
        <w:ind w:left="777" w:hanging="357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5206F5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 Создавайте атмосферу энтузиазма, оптимизма и веры детей в свои способности и возможности. Уважайте личность каждого ребенка.</w:t>
      </w:r>
    </w:p>
    <w:sectPr w:rsidR="005206F5" w:rsidRPr="005206F5" w:rsidSect="005206F5">
      <w:pgSz w:w="16838" w:h="11906" w:orient="landscape"/>
      <w:pgMar w:top="567" w:right="567" w:bottom="567" w:left="567" w:header="709" w:footer="709" w:gutter="0"/>
      <w:cols w:num="2" w:space="70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buntu">
    <w:altName w:val="Ubuntu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97A24"/>
    <w:multiLevelType w:val="hybridMultilevel"/>
    <w:tmpl w:val="149E788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1A7D60EB"/>
    <w:multiLevelType w:val="hybridMultilevel"/>
    <w:tmpl w:val="D62CEA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6C5EFF"/>
    <w:rsid w:val="005206F5"/>
    <w:rsid w:val="005B02E9"/>
    <w:rsid w:val="005C64F7"/>
    <w:rsid w:val="006134E5"/>
    <w:rsid w:val="006C5EFF"/>
    <w:rsid w:val="00812D19"/>
    <w:rsid w:val="0085102A"/>
    <w:rsid w:val="0085403D"/>
    <w:rsid w:val="008C2D29"/>
    <w:rsid w:val="00B83F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D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5E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5EF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403D"/>
    <w:pPr>
      <w:ind w:left="720"/>
      <w:contextualSpacing/>
    </w:pPr>
  </w:style>
  <w:style w:type="paragraph" w:customStyle="1" w:styleId="Pa9">
    <w:name w:val="Pa9"/>
    <w:basedOn w:val="a"/>
    <w:next w:val="a"/>
    <w:uiPriority w:val="99"/>
    <w:rsid w:val="00B83FB5"/>
    <w:pPr>
      <w:autoSpaceDE w:val="0"/>
      <w:autoSpaceDN w:val="0"/>
      <w:adjustRightInd w:val="0"/>
      <w:spacing w:after="0" w:line="221" w:lineRule="atLeast"/>
    </w:pPr>
    <w:rPr>
      <w:rFonts w:ascii="Ubuntu" w:hAnsi="Ubuntu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520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035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C7C03C-3F50-468E-9ED6-24142F48F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723</Words>
  <Characters>4126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Диляра</dc:creator>
  <cp:lastModifiedBy>Диляра</cp:lastModifiedBy>
  <cp:revision>2</cp:revision>
  <cp:lastPrinted>2021-11-11T07:36:00Z</cp:lastPrinted>
  <dcterms:created xsi:type="dcterms:W3CDTF">2022-01-14T08:31:00Z</dcterms:created>
  <dcterms:modified xsi:type="dcterms:W3CDTF">2022-01-14T08:31:00Z</dcterms:modified>
</cp:coreProperties>
</file>