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ED" w:rsidRDefault="002C5006" w:rsidP="003D179F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</w:rPr>
        <w:t>Интерактивный плакат – как сов</w:t>
      </w:r>
      <w:r w:rsidR="003D179F">
        <w:rPr>
          <w:rFonts w:ascii="Times New Roman" w:hAnsi="Times New Roman" w:cs="Times New Roman"/>
          <w:b/>
          <w:i/>
          <w:sz w:val="28"/>
        </w:rPr>
        <w:t>ременное средство обучения в ДО</w:t>
      </w:r>
      <w:bookmarkEnd w:id="0"/>
    </w:p>
    <w:p w:rsidR="001465ED" w:rsidRDefault="001465ED">
      <w:pPr>
        <w:rPr>
          <w:rFonts w:ascii="Times New Roman" w:hAnsi="Times New Roman" w:cs="Times New Roman"/>
          <w:sz w:val="28"/>
        </w:rPr>
      </w:pP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условиях современного общественного развития система дошкольного образования меняется, ориентируясь на опережающее развитие системы образования. Разрабатываются новые качественные методы, программы и подходы. Именно поэтому использование ИКТ стало неотъемлемой частью образовательного процесса в дошкольном образовании. Для этого разрабатываются новые технологии и методы представления информации.</w:t>
      </w:r>
    </w:p>
    <w:p w:rsidR="001465ED" w:rsidRDefault="002C5006" w:rsidP="002C500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Использование компьютерного оборудования делает образовательный процесс привлекательным и по-настоящему современным, расширяет возможности учебной информации и может повысить мотивацию детей. Применение информационных и коммуникационных технологий (цвет, графика, звук, современные средства видеотехники) позволяет моделировать различные ситуации. Игровые составляющие, включенные в мультимедийные программы, активизирует познавательную деятельность дошкольников и способствует лучшему усвоению материала. Использование компьютеров в дошкольных учреждениях возможно и необходимо для повышения интереса и эффективности обучения и общего развития ребенка.</w:t>
      </w:r>
    </w:p>
    <w:p w:rsidR="001465ED" w:rsidRDefault="002C5006" w:rsidP="002C500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Один из самых эффективных и доступных цифровых инструментов - интерактивный плакат". Слово "интерактивный" в переводе с английского означает" влечение к действию</w:t>
      </w:r>
      <w:proofErr w:type="gramStart"/>
      <w:r>
        <w:rPr>
          <w:rFonts w:ascii="Times New Roman" w:hAnsi="Times New Roman" w:cs="Times New Roman"/>
          <w:sz w:val="28"/>
        </w:rPr>
        <w:t>" .</w:t>
      </w:r>
      <w:proofErr w:type="gramEnd"/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Интерактивные плакаты - это инструмент, позволяющий предоставить информацию в привлекательном для детей виде, способное активно и гибко откликаться на действия пользователя. Интерактивность достигается с помощью применения различных элементов: ссылок, кнопок навигации, текстовых или цифровых областей ввода и т.д. Подобного рода плакаты более содержательные по количеству учебного материала, чем традиционные мультимедийные плакаты, и представлены более интуитивно понятным и эффективным способом. </w:t>
      </w:r>
    </w:p>
    <w:p w:rsidR="001465ED" w:rsidRDefault="002C5006" w:rsidP="002C500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Преимуществами интерактивных плакатов являются.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Высокая интерактивность - в рамках этой программы происходит диалог между педагогом и учеником (новый способ работы в программах ECE).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Простота в использовании - интерактивный плакат не требует установки и имеет понятный интерфейс.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Богатый визуальный материал - яркие анимации, фотографии и иллюстрации явлений и процессов, что дает ему преимущество перед другими продуктами и учебными пособиями.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Групповой и индивидуальный подход - позволяет организовать работу всей группы (с помощью интерактивной доски) и работу каждого ученика.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 Материал курса представлен в виде логически завершенных отдельных сегментов, что позволяет преподавателю разрабатывать ИОП в соответствии со своими целями.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Рентабельность использования интерактивных плакатов определяется, как минимум достижением двух очень важных результатов в процессе обучения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Вовлекает учащихся в процесс приобретения знаний с помощью интерактивных элементов.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Максимальная наглядность информации за счет применения различных мультимедийных и 3D объектов.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нашем детском саду мы активно применяем интерактивные плакаты в учебном процессе, чтобы сделать его более эффективным и увлекательным для воспитанников. Этот инструмент позволяет педагогам продемонстрировать явления в природе и взаимосвязи между объектами, но и дает детям возможность самим добывать информацию, манипулировать этой информацией, проверять и закреплять свои знания.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Мы разработали серию интерактивных плакатов и игр, предназначенных для применения в дошкольных классах, которые можно применять со старшей и подготовительной возрастной группой дошкольников. С помощью этих материалов детсадовцы знакомятся с живыми объектами в природе, а дети постарше закрепляют свои знания и проходят тестирование с помощью игровых упражнений.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Педагоги планируют расширить применение интерактивных плакатов путем создание единой базы, имеющей градацию по возрастным группам в соответствии с образовательной программой, реализуемой в ДО.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создания пособия нужно быть уверенным пользователем в среде </w:t>
      </w:r>
      <w:proofErr w:type="spellStart"/>
      <w:r>
        <w:rPr>
          <w:rFonts w:ascii="Times New Roman" w:hAnsi="Times New Roman" w:cs="Times New Roman"/>
          <w:sz w:val="28"/>
        </w:rPr>
        <w:t>Power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Point</w:t>
      </w:r>
      <w:proofErr w:type="spellEnd"/>
      <w:r>
        <w:rPr>
          <w:rFonts w:ascii="Times New Roman" w:hAnsi="Times New Roman" w:cs="Times New Roman"/>
          <w:sz w:val="28"/>
        </w:rPr>
        <w:t xml:space="preserve"> для возможности применения техники "одного экрана", так чтобы плакаты визуально воспринимались как один слайд, без акцента на переход по слайдам. Каждый постер состоит из нескольких слайдов. Количество слайдов варьируется в зависимости от количества объектов, представленных на плакате, плюс титульный слайд и слайд с тестовым заданием. Переключение между слайдами осуществляется щелчком по гиперссылке на изображении (миниатюре) одного из объектов. Щелкнув по слайду с выбранным объектом, можно увидеть его увеличенное изображение в центральной части плаката. В любой момент вы можете завершить слайд-шоу, нажав на круг с перекрестием.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Повышение мотивации детей к сложной деятельности (за счет сочетания движения, звука, анимации) </w:t>
      </w:r>
    </w:p>
    <w:p w:rsidR="001465ED" w:rsidRDefault="002C500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Таким образом, интерактивный плакат является мотивационной обучающей, игровой программной системой комплексного назначения, обеспечивающей непрерывность и целостность перцептивного процесса в дидактическом цикле. На наш взгляд, интерактивные плакаты являются отличным подспорьем для педагогов. Они повышают активность и </w:t>
      </w:r>
      <w:r>
        <w:rPr>
          <w:rFonts w:ascii="Times New Roman" w:hAnsi="Times New Roman" w:cs="Times New Roman"/>
          <w:sz w:val="28"/>
        </w:rPr>
        <w:lastRenderedPageBreak/>
        <w:t>любознательность дошкольников, позволяют разрабатывать различные задания для детей с разными индивидуальными особенностями и делают нашу работу с детьми насыщенной, понятной и увлекательной.</w:t>
      </w:r>
    </w:p>
    <w:sectPr w:rsidR="001465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26D"/>
    <w:multiLevelType w:val="hybridMultilevel"/>
    <w:tmpl w:val="CE788F34"/>
    <w:lvl w:ilvl="0" w:tplc="22789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2E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24A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D21D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AA5E65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1C29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AACE4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D82CD2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EA88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261309"/>
    <w:multiLevelType w:val="hybridMultilevel"/>
    <w:tmpl w:val="C5AC024E"/>
    <w:lvl w:ilvl="0" w:tplc="C0D2D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22348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1B2E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380EF4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14E63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E2A85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B35C8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415A96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9E5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2FF5390"/>
    <w:multiLevelType w:val="multilevel"/>
    <w:tmpl w:val="DEF61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08B0A9D"/>
    <w:multiLevelType w:val="hybridMultilevel"/>
    <w:tmpl w:val="9552EB32"/>
    <w:lvl w:ilvl="0" w:tplc="83BE77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 w:tplc="92C87F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FFCEA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829E85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6C52E3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2F89E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4AF4F4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108C19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E42E7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B711926"/>
    <w:multiLevelType w:val="hybridMultilevel"/>
    <w:tmpl w:val="062033D0"/>
    <w:lvl w:ilvl="0" w:tplc="0BEE2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 w:tplc="1180B8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90B85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FF806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56A0BE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6548A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A87AE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DD3E2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AE282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5256818"/>
    <w:multiLevelType w:val="multilevel"/>
    <w:tmpl w:val="5D783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4AA4382A"/>
    <w:multiLevelType w:val="multilevel"/>
    <w:tmpl w:val="B02E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83CBB"/>
    <w:multiLevelType w:val="multilevel"/>
    <w:tmpl w:val="30A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7D3124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5ED"/>
    <w:rsid w:val="001465ED"/>
    <w:rsid w:val="002C5006"/>
    <w:rsid w:val="003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B95E0"/>
  <w15:docId w15:val="{39A5945C-806F-4CE3-8D78-D42DA65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/>
    </w:rPr>
  </w:style>
  <w:style w:type="character" w:styleId="ae">
    <w:name w:val="Subtle Reference"/>
    <w:uiPriority w:val="31"/>
    <w:qFormat/>
    <w:rPr>
      <w:smallCaps/>
      <w:color w:val="C0504D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2025-02-21T06:01:00Z</dcterms:created>
  <dcterms:modified xsi:type="dcterms:W3CDTF">2025-02-21T06:04:00Z</dcterms:modified>
</cp:coreProperties>
</file>