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BB" w:rsidRPr="00D50E53" w:rsidRDefault="00E64C23" w:rsidP="00C050F5">
      <w:pPr>
        <w:jc w:val="right"/>
        <w:rPr>
          <w:sz w:val="24"/>
          <w:szCs w:val="24"/>
        </w:rPr>
      </w:pPr>
      <w:r w:rsidRPr="00D50E53">
        <w:rPr>
          <w:sz w:val="24"/>
          <w:szCs w:val="24"/>
        </w:rPr>
        <w:t>Ильина Н.В.</w:t>
      </w:r>
    </w:p>
    <w:p w:rsidR="00C050F5" w:rsidRPr="00D50E53" w:rsidRDefault="00E64C23" w:rsidP="00C050F5">
      <w:pPr>
        <w:jc w:val="center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>Реализация формы наставничества «учитель - учитель» в преподавании математики в основной и средне</w:t>
      </w:r>
      <w:r w:rsidR="00E715FB" w:rsidRPr="00D50E53">
        <w:rPr>
          <w:b/>
          <w:sz w:val="24"/>
          <w:szCs w:val="24"/>
        </w:rPr>
        <w:t>й</w:t>
      </w:r>
      <w:r w:rsidRPr="00D50E53">
        <w:rPr>
          <w:b/>
          <w:sz w:val="24"/>
          <w:szCs w:val="24"/>
        </w:rPr>
        <w:t xml:space="preserve"> школе</w:t>
      </w:r>
    </w:p>
    <w:p w:rsidR="00E64C23" w:rsidRPr="00D50E53" w:rsidRDefault="00E64C23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Современная образовательная парадигма, определяемая федеральными государственными образовательными стандартами (ФГОС) основного и среднего общего образования, предъявляет принципиально новые требования к профессиональной компетентности педагога. Учитель математики сегодня – это не транслятор готовых знаний, а конструктор образовательной среды, фасилитатор учебной деятельности, способный мотивировать учащихся на освоение сложного абстрактного материала, развитие функциональной грамотности и критического мышления. Стремительная цифровизация, появление новых педагогических технологий и постоянное обновление содержания образования обуславливают необходимость непрерывного профессионального совершенствования.</w:t>
      </w:r>
    </w:p>
    <w:p w:rsidR="00E64C23" w:rsidRPr="00D50E53" w:rsidRDefault="00E64C23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В этом контексте традиционные формы повышения квалификации, зачастую носящие эпизодический и теоретизированный характер, оказываются недостаточно эффективными для оперативного реагирования на конкретные профессиональные затруднения педагога. На первый план выходят внутрикорпоративные, институциональные механизмы профессионального развития. Одной из наиболее продуктивных и гибких форм такого развития является наставничество по модели «учитель–учитель». Данная модель представляет собой целенаправленный, процесс взаимодействия двух педагогов (наставника и наставляемого), ориентированный на передачу практического опыта, совместное преодоление профессиональных трудностей и достижение конкретных образовательных результатов.</w:t>
      </w:r>
    </w:p>
    <w:p w:rsidR="00E64C23" w:rsidRPr="00D50E53" w:rsidRDefault="00E64C23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Реализация этой модели в области преподавания математики имеет свою ярко выраженную специфику, обусловленную особенностями самого предмета: высокой степенью абстракции, логической строгостью, последовательностью формирования понятийного аппарата, а также традиционно высокой долей учащихся, испытывающих трудности в его освоении. Следовательно, организация наставничества в данной предметной области требует глубокого содержательного наполнения и методической проработки.</w:t>
      </w:r>
    </w:p>
    <w:p w:rsidR="00E64C23" w:rsidRPr="00D50E53" w:rsidRDefault="00E64C23" w:rsidP="003D5E40">
      <w:pPr>
        <w:ind w:firstLine="709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>1. Теоретико-методологические основания наставничества в педагогической практике</w:t>
      </w:r>
    </w:p>
    <w:p w:rsidR="00E64C23" w:rsidRPr="00D50E53" w:rsidRDefault="00E64C23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Наставничество (менторинг) как феномен имеет глубокие исторические корни, однако в современной педагогике оно приобрело формализованные черты технологии профессионального взаимодействия. С методологической точки зрения, наставничество </w:t>
      </w:r>
      <w:r w:rsidRPr="00D50E53">
        <w:rPr>
          <w:sz w:val="24"/>
          <w:szCs w:val="24"/>
        </w:rPr>
        <w:lastRenderedPageBreak/>
        <w:t xml:space="preserve">«учитель–учитель» следует отличать от традиционного сопровождения молодых специалистов. Хотя работа с начинающими учителями остается важнейшей функцией наставника, потенциальный круг </w:t>
      </w:r>
      <w:proofErr w:type="gramStart"/>
      <w:r w:rsidRPr="00D50E53">
        <w:rPr>
          <w:sz w:val="24"/>
          <w:szCs w:val="24"/>
        </w:rPr>
        <w:t>наставляемых</w:t>
      </w:r>
      <w:proofErr w:type="gramEnd"/>
      <w:r w:rsidRPr="00D50E53">
        <w:rPr>
          <w:sz w:val="24"/>
          <w:szCs w:val="24"/>
        </w:rPr>
        <w:t xml:space="preserve"> значительно шире. В него могут входить опытные педагоги, осваивающие новую образовательную технологию, переходящие на преподавание по обновленным программам или желающие решить конкретную педагогическую задачу (например, подготовку учащихся к олимпиадам или устранение систематических ошибок в классах с низкой успеваемостью).</w:t>
      </w:r>
    </w:p>
    <w:p w:rsidR="00E64C23" w:rsidRPr="00D50E53" w:rsidRDefault="00E64C23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Таким образом, ключевой принцип современного наставничества – его адресность и проблемно-ориентированный характер. В основе взаимодействия лежит не обмен опытом «вообще», а фокусировка на индивидуальных запросах и дефицитах конкретного учителя. Это переводит наставничество из плоскости простого</w:t>
      </w:r>
      <w:r w:rsidR="000A0E84" w:rsidRPr="00D50E53">
        <w:rPr>
          <w:sz w:val="24"/>
          <w:szCs w:val="24"/>
        </w:rPr>
        <w:t>,</w:t>
      </w:r>
      <w:r w:rsidRPr="00D50E53">
        <w:rPr>
          <w:sz w:val="24"/>
          <w:szCs w:val="24"/>
        </w:rPr>
        <w:t xml:space="preserve"> показательных уроков</w:t>
      </w:r>
      <w:r w:rsidR="000A0E84" w:rsidRPr="00D50E53">
        <w:rPr>
          <w:sz w:val="24"/>
          <w:szCs w:val="24"/>
        </w:rPr>
        <w:t>,</w:t>
      </w:r>
      <w:r w:rsidRPr="00D50E53">
        <w:rPr>
          <w:sz w:val="24"/>
          <w:szCs w:val="24"/>
        </w:rPr>
        <w:t xml:space="preserve"> в плоскость совместного исследования, проектирования и рефлексии. Эффективная модель наставничества базируется на нескольких фундаментальных подходах: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Рефлексивный подход:</w:t>
      </w:r>
      <w:r w:rsidRPr="00D50E53">
        <w:rPr>
          <w:sz w:val="24"/>
          <w:szCs w:val="24"/>
        </w:rPr>
        <w:t xml:space="preserve"> Процесс взаимодействия строится на основе совместного анализа педагогической деятельности, выявления причин успехов и неудач, осмысления применяемых методов и их альтернатив.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Деятельностный подход:</w:t>
      </w:r>
      <w:r w:rsidRPr="00D50E53">
        <w:rPr>
          <w:sz w:val="24"/>
          <w:szCs w:val="24"/>
        </w:rPr>
        <w:t xml:space="preserve"> Освоение новых компетенций происходит не через пассивное восприятие информации, а через включение в проектирование и апробацию учебных занятий, диагностических материалов, элементов образовательной среды.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proofErr w:type="gramStart"/>
      <w:r w:rsidRPr="00D50E53">
        <w:rPr>
          <w:b/>
          <w:sz w:val="24"/>
          <w:szCs w:val="24"/>
        </w:rPr>
        <w:t>Субъект-субъектный</w:t>
      </w:r>
      <w:proofErr w:type="gramEnd"/>
      <w:r w:rsidRPr="00D50E53">
        <w:rPr>
          <w:b/>
          <w:sz w:val="24"/>
          <w:szCs w:val="24"/>
        </w:rPr>
        <w:t xml:space="preserve"> подход:</w:t>
      </w:r>
      <w:r w:rsidRPr="00D50E53">
        <w:rPr>
          <w:sz w:val="24"/>
          <w:szCs w:val="24"/>
        </w:rPr>
        <w:t xml:space="preserve"> Наставник и наставляемый являются равноправными партнерами в диалоге. Наставник выступает не в роли контролера или единственного носителя истины, а в роли фасилитатора, коуча, более опытного коллеги, способного задавать правильные вопросы и актуализировать внутренний потенциал наставляемого.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Контекстный подход:</w:t>
      </w:r>
      <w:r w:rsidRPr="00D50E53">
        <w:rPr>
          <w:sz w:val="24"/>
          <w:szCs w:val="24"/>
        </w:rPr>
        <w:t xml:space="preserve"> Вся работа ведется с учетом конкретных условий: контингента учащихся, материально-технического оснащения, особенностей учебного плана и программного обеспечения образовательной организации.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proofErr w:type="gramStart"/>
      <w:r w:rsidRPr="00D50E53">
        <w:rPr>
          <w:sz w:val="24"/>
          <w:szCs w:val="24"/>
        </w:rPr>
        <w:t>Реализация этих подходов в преподавании математики означает, что предметом совместной работы становятся не только общие педагогические техники, но и глубокая содержательно-методическая проработка тем: как формировать понятие производной, как подвести учащихся к самостоятельному выводу формулы, как работать с типовыми ошибками в доказательствах теорем стереометрии, как интегрировать задачи прикладного характера в курс основной школы.</w:t>
      </w:r>
      <w:proofErr w:type="gramEnd"/>
    </w:p>
    <w:p w:rsidR="000A0E84" w:rsidRPr="00D50E53" w:rsidRDefault="000A0E84" w:rsidP="003D5E40">
      <w:pPr>
        <w:ind w:firstLine="709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>2. Целеполагание и задачи наставничества в преподавании математики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lastRenderedPageBreak/>
        <w:t xml:space="preserve"> Четкое определение целей является краеугольным камнем для построения эффективной программы наставничества. Цели должны быть конкретными, измеримыми, достижимыми, релевантными и ограниченными во времени (технология SMART). </w:t>
      </w:r>
    </w:p>
    <w:p w:rsidR="003D5E40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Стратегическая цель</w:t>
      </w:r>
      <w:r w:rsidRPr="00D50E53">
        <w:rPr>
          <w:sz w:val="24"/>
          <w:szCs w:val="24"/>
        </w:rPr>
        <w:t xml:space="preserve"> – повышение качества математического образования в конкретной образовательной организации через рост профессионального мастерства каждого педагога, вовлеченного в программу.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Тактические цели</w:t>
      </w:r>
      <w:r w:rsidRPr="00D50E53">
        <w:rPr>
          <w:sz w:val="24"/>
          <w:szCs w:val="24"/>
        </w:rPr>
        <w:t xml:space="preserve"> могут быть дифференцированы в зависимости от роли участника.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i/>
          <w:sz w:val="24"/>
          <w:szCs w:val="24"/>
        </w:rPr>
        <w:t>Для наставляемого педагога</w:t>
      </w:r>
      <w:r w:rsidRPr="00D50E53">
        <w:rPr>
          <w:sz w:val="24"/>
          <w:szCs w:val="24"/>
        </w:rPr>
        <w:t xml:space="preserve">: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• Преодоление конкретных профессиональных дефицитов (например, «неумение организовать групповую работу при решении геометрических задач», «сложности в объяснении темы «Вероятность» учащимся 9-х классов», «низкий уровень вовлеченности на уроках алгебры в 7-х классах»).</w:t>
      </w:r>
    </w:p>
    <w:p w:rsidR="000A0E84" w:rsidRPr="00D50E53" w:rsidRDefault="003D5E40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 • </w:t>
      </w:r>
      <w:r w:rsidR="000A0E84" w:rsidRPr="00D50E53">
        <w:rPr>
          <w:sz w:val="24"/>
          <w:szCs w:val="24"/>
        </w:rPr>
        <w:t xml:space="preserve">Освоение и внедрение новой педагогической технологии или цифрового инструмента (гаджета, программного обеспечения, платформы) в преподавание конкретного раздела математики.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Повышение предметной компетентности (актуально для учителей, не имеющих профильного математического образования, но преподающих предмет).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Разработка и апробация системы подготовки к государственной итоговой аттестации (ОГЭ, ЕГЭ) как базового, так и профильного уровня.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• Формирование навыков проектирования современного урока в соответствии с требованиями ФГОС (определение UUD, подбор заданий на развитие функциональной грамотности).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i/>
          <w:sz w:val="24"/>
          <w:szCs w:val="24"/>
        </w:rPr>
        <w:t>Для наставника:</w:t>
      </w:r>
      <w:r w:rsidRPr="00D50E53">
        <w:rPr>
          <w:sz w:val="24"/>
          <w:szCs w:val="24"/>
        </w:rPr>
        <w:t xml:space="preserve">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Систематизация и структурирование собственного педагогического опыта.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Развитие коучинговых и коммуникативных компетенций.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• Получение внешнего импульса для профессионального роста через необходимость анализа и объяснения своих методов работы.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Формирование кадрового резерва и укрепление профессионального сообщества внутри школы. </w:t>
      </w:r>
    </w:p>
    <w:p w:rsidR="000A0E84" w:rsidRPr="00D50E53" w:rsidRDefault="000A0E84" w:rsidP="00861E91">
      <w:pPr>
        <w:ind w:firstLine="709"/>
        <w:rPr>
          <w:i/>
          <w:sz w:val="24"/>
          <w:szCs w:val="24"/>
        </w:rPr>
      </w:pPr>
      <w:r w:rsidRPr="00D50E53">
        <w:rPr>
          <w:i/>
          <w:sz w:val="24"/>
          <w:szCs w:val="24"/>
        </w:rPr>
        <w:t xml:space="preserve">Для образовательной организации в целом: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Создание устойчивой системы непрерывного внутрикорпоративного профессионального развития.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Культивирование коллаборативной среды, преодоление профессиональной изоляции учителей. </w:t>
      </w:r>
    </w:p>
    <w:p w:rsidR="000A0E84" w:rsidRPr="00D50E53" w:rsidRDefault="000A0E84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lastRenderedPageBreak/>
        <w:t xml:space="preserve">•     Повышение образовательных результатов учащихся по математике. </w:t>
      </w:r>
    </w:p>
    <w:p w:rsidR="009A450C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Формирование позитивного имиджа школы как центра педагогического </w:t>
      </w:r>
      <w:r w:rsidR="009A450C" w:rsidRPr="00D50E53">
        <w:rPr>
          <w:sz w:val="24"/>
          <w:szCs w:val="24"/>
        </w:rPr>
        <w:t>превосходства</w:t>
      </w:r>
      <w:r w:rsidRPr="00D50E53">
        <w:rPr>
          <w:sz w:val="24"/>
          <w:szCs w:val="24"/>
        </w:rPr>
        <w:t xml:space="preserve">. </w:t>
      </w:r>
    </w:p>
    <w:p w:rsidR="000A0E84" w:rsidRPr="00D50E53" w:rsidRDefault="000A0E84" w:rsidP="00861E91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На основе поставленных целей формулируются конкретные задачи, которые лягут в основу индивидуального плана работы пары (или группы) «наставник – наставляемый».</w:t>
      </w:r>
    </w:p>
    <w:p w:rsidR="000A0E84" w:rsidRPr="00D50E53" w:rsidRDefault="000A0E84" w:rsidP="000A0E84">
      <w:pPr>
        <w:ind w:firstLine="709"/>
        <w:jc w:val="center"/>
        <w:rPr>
          <w:sz w:val="24"/>
          <w:szCs w:val="24"/>
        </w:rPr>
      </w:pPr>
      <w:r w:rsidRPr="00D50E53">
        <w:rPr>
          <w:b/>
          <w:sz w:val="24"/>
          <w:szCs w:val="24"/>
        </w:rPr>
        <w:t>3. Модели и форматы организации взаимодействия</w:t>
      </w:r>
      <w:r w:rsidRPr="00D50E53">
        <w:rPr>
          <w:sz w:val="24"/>
          <w:szCs w:val="24"/>
        </w:rPr>
        <w:t xml:space="preserve"> </w:t>
      </w:r>
    </w:p>
    <w:p w:rsidR="000A0E84" w:rsidRPr="00D50E53" w:rsidRDefault="000A0E84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Модель «учитель–учитель» является гибкой и может реализовываться в различных организационных форматах, которые зачастую комбинируются друг с другом.</w:t>
      </w:r>
    </w:p>
    <w:p w:rsidR="000A0E84" w:rsidRPr="00D50E53" w:rsidRDefault="000A0E84" w:rsidP="000A0E84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 xml:space="preserve">Классическая модель «опытный – начинающий». </w:t>
      </w:r>
      <w:r w:rsidRPr="00D50E53">
        <w:rPr>
          <w:sz w:val="24"/>
          <w:szCs w:val="24"/>
        </w:rPr>
        <w:t>Наиболее распространенный формат, направленный на адаптацию молодого специалиста. В рамках математики наставник помогает выстроить систему уроков, освоить базовый методический инструментарий, сформировать навыки работы с классным журналом, планирования домашних заданий, а также оказывает психологическую поддержку. Акцент делается на фундаментальных аспектах педагогической деятельности.</w:t>
      </w:r>
    </w:p>
    <w:p w:rsidR="000A0E84" w:rsidRPr="00D50E53" w:rsidRDefault="000A0E84" w:rsidP="000A0E84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Модель «</w:t>
      </w:r>
      <w:proofErr w:type="gramStart"/>
      <w:r w:rsidRPr="00D50E53">
        <w:rPr>
          <w:b/>
          <w:sz w:val="24"/>
          <w:szCs w:val="24"/>
        </w:rPr>
        <w:t>равный</w:t>
      </w:r>
      <w:proofErr w:type="gramEnd"/>
      <w:r w:rsidRPr="00D50E53">
        <w:rPr>
          <w:b/>
          <w:sz w:val="24"/>
          <w:szCs w:val="24"/>
        </w:rPr>
        <w:t xml:space="preserve"> – равному» (Peer-to-Peer).</w:t>
      </w:r>
      <w:r w:rsidRPr="00D50E53">
        <w:rPr>
          <w:sz w:val="24"/>
          <w:szCs w:val="24"/>
        </w:rPr>
        <w:t xml:space="preserve"> В данной модели взаимодействуют коллеги с сопоставимым опытом и статусом. Целью является взаимное обогащение и решение определенной задачи. Например, два учителя математики совместно разрабатывают элективный курс по комбинаторике, обмениваются эффективными приемами объяснения тригонометрических уравнений или проводят перекрестный анализ контрольных работ для выявления общих тенденций в ошибках учащихся. Эта модель эффективна для создания атмосферы сотрудничества и предотвращения профессионального выгорания.</w:t>
      </w:r>
    </w:p>
    <w:p w:rsidR="000A0E84" w:rsidRPr="00D50E53" w:rsidRDefault="000A0E84" w:rsidP="000A0E84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Модель «коучинг».</w:t>
      </w:r>
      <w:r w:rsidRPr="00D50E53">
        <w:rPr>
          <w:sz w:val="24"/>
          <w:szCs w:val="24"/>
        </w:rPr>
        <w:t xml:space="preserve"> Здесь наставник выступает </w:t>
      </w:r>
      <w:r w:rsidR="009A450C" w:rsidRPr="00D50E53">
        <w:rPr>
          <w:sz w:val="24"/>
          <w:szCs w:val="24"/>
        </w:rPr>
        <w:t>преимущественно</w:t>
      </w:r>
      <w:r w:rsidRPr="00D50E53">
        <w:rPr>
          <w:sz w:val="24"/>
          <w:szCs w:val="24"/>
        </w:rPr>
        <w:t xml:space="preserve"> в роли коуча. Он не дает готовых ответов, а с помощью специальных вопросов и технологий помогает </w:t>
      </w:r>
      <w:proofErr w:type="gramStart"/>
      <w:r w:rsidRPr="00D50E53">
        <w:rPr>
          <w:sz w:val="24"/>
          <w:szCs w:val="24"/>
        </w:rPr>
        <w:t>наставляемому</w:t>
      </w:r>
      <w:proofErr w:type="gramEnd"/>
      <w:r w:rsidRPr="00D50E53">
        <w:rPr>
          <w:sz w:val="24"/>
          <w:szCs w:val="24"/>
        </w:rPr>
        <w:t xml:space="preserve"> самостоятельно сформулировать свою проблему, найти внутренние ресурсы для ее решения и разработать план действий. Это особенно эффективно для опытных учителей, столкнувшихся с «плато» в своем развитии. Например, коуч-наставник может помочь учителю, который годами стабильно готовит хороших results, но хочет выйти на новый уровень и начать готовить победителей олимпиад.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b/>
          <w:sz w:val="24"/>
          <w:szCs w:val="24"/>
        </w:rPr>
        <w:t>Модель «проектная группа».</w:t>
      </w:r>
      <w:r w:rsidRPr="00D50E53">
        <w:rPr>
          <w:sz w:val="24"/>
          <w:szCs w:val="24"/>
        </w:rPr>
        <w:t xml:space="preserve"> Наставничество организуется вокруг реализации конкретного проекта: внедрения новой УМК, создания цифровой образовательной ресурсной базы по предмету, организации школьного математического кружка. В группу могут входить педагоги с разным опытом и функционалом, где более опытные берут на себя роль наставников.</w:t>
      </w:r>
    </w:p>
    <w:p w:rsidR="000A50B0" w:rsidRPr="00D50E53" w:rsidRDefault="000A50B0" w:rsidP="000A0E84">
      <w:pPr>
        <w:ind w:firstLine="709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 xml:space="preserve">Конкретные форматы работы выбранной модели: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lastRenderedPageBreak/>
        <w:t xml:space="preserve">• </w:t>
      </w:r>
      <w:r w:rsidRPr="00D50E53">
        <w:rPr>
          <w:b/>
          <w:sz w:val="24"/>
          <w:szCs w:val="24"/>
        </w:rPr>
        <w:t>Взаимопосещение уроков</w:t>
      </w:r>
      <w:r w:rsidRPr="00D50E53">
        <w:rPr>
          <w:sz w:val="24"/>
          <w:szCs w:val="24"/>
        </w:rPr>
        <w:t xml:space="preserve"> с последующим структурированным анализом (не критика, а разбор с позиции «что произошло?», «почему?», «какие были альтернативы?», «как можно улучшить?»).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Совместное планирование уроков и учебных модулей:</w:t>
      </w:r>
      <w:r w:rsidRPr="00D50E53">
        <w:rPr>
          <w:sz w:val="24"/>
          <w:szCs w:val="24"/>
        </w:rPr>
        <w:t xml:space="preserve"> разработка технологических карт, подбор дидактических материалов, создание системы дифференцированных заданий.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«Примерочные» уроки:</w:t>
      </w:r>
      <w:r w:rsidRPr="00D50E53">
        <w:rPr>
          <w:sz w:val="24"/>
          <w:szCs w:val="24"/>
        </w:rPr>
        <w:t xml:space="preserve"> наставляемый проводит фрагмент или весь урок в присутствии наставника, который выступает в роли наблюдателя и «ученика», задающего каверзные вопросы.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Анализ учебных достижений учащихся:</w:t>
      </w:r>
      <w:r w:rsidRPr="00D50E53">
        <w:rPr>
          <w:sz w:val="24"/>
          <w:szCs w:val="24"/>
        </w:rPr>
        <w:t xml:space="preserve"> совместная работа над ошибками, выявление закономерностей, разработка корректирующих мероприятий.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Семинары-практикумы микро-группы:</w:t>
      </w:r>
      <w:r w:rsidRPr="00D50E53">
        <w:rPr>
          <w:sz w:val="24"/>
          <w:szCs w:val="24"/>
        </w:rPr>
        <w:t xml:space="preserve"> наставник проводит для небольшой группы коллег практическое занятие по отработке конкретного метода (например, использование </w:t>
      </w:r>
      <w:proofErr w:type="gramStart"/>
      <w:r w:rsidRPr="00D50E53">
        <w:rPr>
          <w:sz w:val="24"/>
          <w:szCs w:val="24"/>
        </w:rPr>
        <w:t>кейс-технологии</w:t>
      </w:r>
      <w:proofErr w:type="gramEnd"/>
      <w:r w:rsidRPr="00D50E53">
        <w:rPr>
          <w:sz w:val="24"/>
          <w:szCs w:val="24"/>
        </w:rPr>
        <w:t xml:space="preserve"> в преподавании теории вероятностей).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Супервизия:</w:t>
      </w:r>
      <w:r w:rsidRPr="00D50E53">
        <w:rPr>
          <w:sz w:val="24"/>
          <w:szCs w:val="24"/>
        </w:rPr>
        <w:t xml:space="preserve"> разбор сложных, «тупиковых» педагогических ситуаций, связанных с конкретным классом или учеником.</w:t>
      </w:r>
    </w:p>
    <w:p w:rsidR="000A50B0" w:rsidRPr="00D50E53" w:rsidRDefault="000A50B0" w:rsidP="00AF319C">
      <w:pPr>
        <w:ind w:firstLine="709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>4. Содержательное наполнение деятельности в предметной области «Математика»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Содержание работы наставнической пары должно быть напрямую увязано со спецификой математики как учебной дисциплины. Условно его можно разделить на несколько блоков. </w:t>
      </w:r>
    </w:p>
    <w:p w:rsidR="000A50B0" w:rsidRPr="00D50E53" w:rsidRDefault="000A50B0" w:rsidP="00776D32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 xml:space="preserve">Методический блок: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Анализ и выбор УМК:</w:t>
      </w:r>
      <w:r w:rsidRPr="00D50E53">
        <w:rPr>
          <w:sz w:val="24"/>
          <w:szCs w:val="24"/>
        </w:rPr>
        <w:t xml:space="preserve"> Обоснованный выбор учебника и дидактических материалов, их адаптация под конкретные условия.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Разработка систем заданий:</w:t>
      </w:r>
      <w:r w:rsidRPr="00D50E53">
        <w:rPr>
          <w:sz w:val="24"/>
          <w:szCs w:val="24"/>
        </w:rPr>
        <w:t xml:space="preserve"> Создание банка задач разного уровня сложности (базовые, продвинутые, олимпиадные), задач с практико-ориентированным и межпредметным содержанием.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Технологии объяснения сложных тем:</w:t>
      </w:r>
      <w:r w:rsidRPr="00D50E53">
        <w:rPr>
          <w:sz w:val="24"/>
          <w:szCs w:val="24"/>
        </w:rPr>
        <w:t xml:space="preserve"> Как доступно объяснить доказательство теоремы? Как визуализировать стереометрическую задачу? Как подвести учащихся к самостоятельному открытию свойства логарифмической функции? Какие метафоры и аналогии использовать?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Организация контроля и оценки:</w:t>
      </w:r>
      <w:r w:rsidRPr="00D50E53">
        <w:rPr>
          <w:sz w:val="24"/>
          <w:szCs w:val="24"/>
        </w:rPr>
        <w:t xml:space="preserve"> Разработка эффективных диагностических работ, критериев оценки развернутых ответов, формирование навыков сам</w:t>
      </w:r>
      <w:proofErr w:type="gramStart"/>
      <w:r w:rsidRPr="00D50E53">
        <w:rPr>
          <w:sz w:val="24"/>
          <w:szCs w:val="24"/>
        </w:rPr>
        <w:t>о-</w:t>
      </w:r>
      <w:proofErr w:type="gramEnd"/>
      <w:r w:rsidRPr="00D50E53">
        <w:rPr>
          <w:sz w:val="24"/>
          <w:szCs w:val="24"/>
        </w:rPr>
        <w:t xml:space="preserve"> и взаимооценки у учащихся.</w:t>
      </w:r>
    </w:p>
    <w:p w:rsidR="000A50B0" w:rsidRPr="00D50E53" w:rsidRDefault="000A50B0" w:rsidP="009A450C">
      <w:pPr>
        <w:pStyle w:val="a3"/>
        <w:numPr>
          <w:ilvl w:val="0"/>
          <w:numId w:val="9"/>
        </w:numPr>
        <w:ind w:hanging="11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 xml:space="preserve">Предметный блок: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lastRenderedPageBreak/>
        <w:t xml:space="preserve">• </w:t>
      </w:r>
      <w:r w:rsidRPr="00D50E53">
        <w:rPr>
          <w:b/>
          <w:sz w:val="24"/>
          <w:szCs w:val="24"/>
        </w:rPr>
        <w:t>Глубокое погружение в сложные разделы:</w:t>
      </w:r>
      <w:r w:rsidRPr="00D50E53">
        <w:rPr>
          <w:sz w:val="24"/>
          <w:szCs w:val="24"/>
        </w:rPr>
        <w:t xml:space="preserve"> Для многих учителей актуальны консультации по углублению собственных знаний в </w:t>
      </w:r>
      <w:r w:rsidR="009A450C" w:rsidRPr="00D50E53">
        <w:rPr>
          <w:sz w:val="24"/>
          <w:szCs w:val="24"/>
        </w:rPr>
        <w:t>области</w:t>
      </w:r>
      <w:r w:rsidRPr="00D50E53">
        <w:rPr>
          <w:sz w:val="24"/>
          <w:szCs w:val="24"/>
        </w:rPr>
        <w:t xml:space="preserve">, таких как математический анализ, теория вероятностей и математическая статистика, элементы высшей алгебры.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Разбор нестандартных и олимпиадных задач:</w:t>
      </w:r>
      <w:r w:rsidRPr="00D50E53">
        <w:rPr>
          <w:sz w:val="24"/>
          <w:szCs w:val="24"/>
        </w:rPr>
        <w:t xml:space="preserve"> Совместное решение задач, обсуждение различных методов их решения, выстраивание траектории подготовки одаренных учащихся.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Исторический и культурологический контекст:</w:t>
      </w:r>
      <w:r w:rsidRPr="00D50E53">
        <w:rPr>
          <w:sz w:val="24"/>
          <w:szCs w:val="24"/>
        </w:rPr>
        <w:t xml:space="preserve"> Интеграция истории математики в урок для повышения мотивации и расширения кругозора учеников.</w:t>
      </w:r>
    </w:p>
    <w:p w:rsidR="000A50B0" w:rsidRPr="00D50E53" w:rsidRDefault="000A50B0" w:rsidP="009A450C">
      <w:pPr>
        <w:pStyle w:val="a3"/>
        <w:numPr>
          <w:ilvl w:val="0"/>
          <w:numId w:val="9"/>
        </w:numPr>
        <w:ind w:hanging="11"/>
        <w:rPr>
          <w:sz w:val="24"/>
          <w:szCs w:val="24"/>
        </w:rPr>
      </w:pPr>
      <w:r w:rsidRPr="00D50E53">
        <w:rPr>
          <w:b/>
          <w:sz w:val="24"/>
          <w:szCs w:val="24"/>
        </w:rPr>
        <w:t>Психолого-педагогический блок:</w:t>
      </w:r>
      <w:r w:rsidRPr="00D50E53">
        <w:rPr>
          <w:sz w:val="24"/>
          <w:szCs w:val="24"/>
        </w:rPr>
        <w:t xml:space="preserve"> </w:t>
      </w:r>
    </w:p>
    <w:p w:rsidR="000A50B0" w:rsidRPr="00D50E53" w:rsidRDefault="000A50B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Работа с мотивацией учащихся:</w:t>
      </w:r>
      <w:r w:rsidRPr="00D50E53">
        <w:rPr>
          <w:sz w:val="24"/>
          <w:szCs w:val="24"/>
        </w:rPr>
        <w:t xml:space="preserve"> Приемы борьбы с «математической тревожностью», создание ситуаций успеха для слабоуспевающих учеников, поддержание интереса </w:t>
      </w:r>
      <w:proofErr w:type="gramStart"/>
      <w:r w:rsidRPr="00D50E53">
        <w:rPr>
          <w:sz w:val="24"/>
          <w:szCs w:val="24"/>
        </w:rPr>
        <w:t>у</w:t>
      </w:r>
      <w:proofErr w:type="gramEnd"/>
      <w:r w:rsidRPr="00D50E53">
        <w:rPr>
          <w:sz w:val="24"/>
          <w:szCs w:val="24"/>
        </w:rPr>
        <w:t xml:space="preserve"> мотивированных.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Дифференциация и индивидуализация:</w:t>
      </w:r>
      <w:r w:rsidRPr="00D50E53">
        <w:rPr>
          <w:sz w:val="24"/>
          <w:szCs w:val="24"/>
        </w:rPr>
        <w:t xml:space="preserve"> Как построить урок в разноуровневом классе? Как организовать работу с отстающими и одаренными детьми одновременно?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Формирование математического мышления:</w:t>
      </w:r>
      <w:r w:rsidRPr="00D50E53">
        <w:rPr>
          <w:sz w:val="24"/>
          <w:szCs w:val="24"/>
        </w:rPr>
        <w:t xml:space="preserve"> Развитие логики, пространственного воображения, алгоритмического и комбинаторного мышления.</w:t>
      </w:r>
    </w:p>
    <w:p w:rsidR="009F7E5E" w:rsidRPr="00D50E53" w:rsidRDefault="009F7E5E" w:rsidP="009A450C">
      <w:pPr>
        <w:pStyle w:val="a3"/>
        <w:numPr>
          <w:ilvl w:val="0"/>
          <w:numId w:val="9"/>
        </w:numPr>
        <w:ind w:hanging="11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 xml:space="preserve">Цифровой блок: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 xml:space="preserve">Эффективное использование </w:t>
      </w:r>
      <w:proofErr w:type="gramStart"/>
      <w:r w:rsidRPr="00D50E53">
        <w:rPr>
          <w:b/>
          <w:sz w:val="24"/>
          <w:szCs w:val="24"/>
        </w:rPr>
        <w:t>ПО</w:t>
      </w:r>
      <w:proofErr w:type="gramEnd"/>
      <w:r w:rsidRPr="00D50E53">
        <w:rPr>
          <w:b/>
          <w:sz w:val="24"/>
          <w:szCs w:val="24"/>
        </w:rPr>
        <w:t>:</w:t>
      </w:r>
      <w:r w:rsidRPr="00D50E53">
        <w:rPr>
          <w:sz w:val="24"/>
          <w:szCs w:val="24"/>
        </w:rPr>
        <w:t xml:space="preserve"> Освоение и внедрение в практику динамических геометрических сред (GeoGebra), систем компьютерной алгебры, интерактивных онлайн-тренажеров, инструментов для создания образовательного видео.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Цифровая дидактика:</w:t>
      </w:r>
      <w:r w:rsidRPr="00D50E53">
        <w:rPr>
          <w:sz w:val="24"/>
          <w:szCs w:val="24"/>
        </w:rPr>
        <w:t xml:space="preserve"> Методически грамотное включение цифровых инструментов в канву традиционного урока, а не их использование ради галочки.</w:t>
      </w:r>
    </w:p>
    <w:p w:rsidR="009F7E5E" w:rsidRPr="00D50E53" w:rsidRDefault="009F7E5E" w:rsidP="00AF319C">
      <w:pPr>
        <w:ind w:firstLine="709"/>
        <w:rPr>
          <w:b/>
          <w:sz w:val="24"/>
          <w:szCs w:val="24"/>
        </w:rPr>
      </w:pPr>
      <w:r w:rsidRPr="00D50E53">
        <w:rPr>
          <w:b/>
          <w:sz w:val="24"/>
          <w:szCs w:val="24"/>
        </w:rPr>
        <w:t>5. Критерии эффективности и оценка результатов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Оценка эффективности наставничества не должна сводиться к субъективным впечатлениям участников. Необходим</w:t>
      </w:r>
      <w:r w:rsidR="009A450C" w:rsidRPr="00D50E53">
        <w:rPr>
          <w:sz w:val="24"/>
          <w:szCs w:val="24"/>
        </w:rPr>
        <w:t>а</w:t>
      </w:r>
      <w:r w:rsidRPr="00D50E53">
        <w:rPr>
          <w:sz w:val="24"/>
          <w:szCs w:val="24"/>
        </w:rPr>
        <w:t xml:space="preserve"> комплексн</w:t>
      </w:r>
      <w:r w:rsidR="009A450C" w:rsidRPr="00D50E53">
        <w:rPr>
          <w:sz w:val="24"/>
          <w:szCs w:val="24"/>
        </w:rPr>
        <w:t>ая</w:t>
      </w:r>
      <w:r w:rsidRPr="00D50E53">
        <w:rPr>
          <w:sz w:val="24"/>
          <w:szCs w:val="24"/>
        </w:rPr>
        <w:t xml:space="preserve"> </w:t>
      </w:r>
      <w:r w:rsidR="009A450C" w:rsidRPr="00D50E53">
        <w:rPr>
          <w:sz w:val="24"/>
          <w:szCs w:val="24"/>
        </w:rPr>
        <w:t>система</w:t>
      </w:r>
      <w:r w:rsidRPr="00D50E53">
        <w:rPr>
          <w:sz w:val="24"/>
          <w:szCs w:val="24"/>
        </w:rPr>
        <w:t xml:space="preserve"> мониторинга, включающ</w:t>
      </w:r>
      <w:r w:rsidR="009A450C" w:rsidRPr="00D50E53">
        <w:rPr>
          <w:sz w:val="24"/>
          <w:szCs w:val="24"/>
        </w:rPr>
        <w:t>ая</w:t>
      </w:r>
      <w:r w:rsidRPr="00D50E53">
        <w:rPr>
          <w:sz w:val="24"/>
          <w:szCs w:val="24"/>
        </w:rPr>
        <w:t xml:space="preserve"> количественные и качественные показатели.</w:t>
      </w:r>
    </w:p>
    <w:p w:rsidR="009F7E5E" w:rsidRPr="00D50E53" w:rsidRDefault="009F7E5E" w:rsidP="000A0E84">
      <w:pPr>
        <w:ind w:firstLine="709"/>
        <w:rPr>
          <w:i/>
          <w:sz w:val="24"/>
          <w:szCs w:val="24"/>
        </w:rPr>
      </w:pPr>
      <w:r w:rsidRPr="00D50E53">
        <w:rPr>
          <w:i/>
          <w:sz w:val="24"/>
          <w:szCs w:val="24"/>
        </w:rPr>
        <w:t xml:space="preserve">Критерии эффективности для </w:t>
      </w:r>
      <w:proofErr w:type="gramStart"/>
      <w:r w:rsidRPr="00D50E53">
        <w:rPr>
          <w:i/>
          <w:sz w:val="24"/>
          <w:szCs w:val="24"/>
        </w:rPr>
        <w:t>наставляемого</w:t>
      </w:r>
      <w:proofErr w:type="gramEnd"/>
      <w:r w:rsidRPr="00D50E53">
        <w:rPr>
          <w:i/>
          <w:sz w:val="24"/>
          <w:szCs w:val="24"/>
        </w:rPr>
        <w:t xml:space="preserve">: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Динамика учебных достижений учащихся:</w:t>
      </w:r>
      <w:r w:rsidRPr="00D50E53">
        <w:rPr>
          <w:sz w:val="24"/>
          <w:szCs w:val="24"/>
        </w:rPr>
        <w:t xml:space="preserve"> Рост среднего балла, повышение качества знаний, уменьшение количества неуспевающих по предмету, улучшение результатов диагностических работ (ВПР) и государственной итоговой аттестации.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Поведенческие изменения:</w:t>
      </w:r>
      <w:r w:rsidRPr="00D50E53">
        <w:rPr>
          <w:sz w:val="24"/>
          <w:szCs w:val="24"/>
        </w:rPr>
        <w:t xml:space="preserve"> Повышение уровня вовлеченности и активности учащихся на уроках, снижение дисциплинарных проблем.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Реализация индивидуального плана развития:</w:t>
      </w:r>
      <w:r w:rsidRPr="00D50E53">
        <w:rPr>
          <w:sz w:val="24"/>
          <w:szCs w:val="24"/>
        </w:rPr>
        <w:t xml:space="preserve"> Достижение конкретных, заранее определенных целей (например, «провел открытый урок с использованием </w:t>
      </w:r>
      <w:r w:rsidRPr="00D50E53">
        <w:rPr>
          <w:sz w:val="24"/>
          <w:szCs w:val="24"/>
        </w:rPr>
        <w:lastRenderedPageBreak/>
        <w:t xml:space="preserve">технологии смешанного обучения», «разработал и апробировал систему задач по теме «Производная» для классов гуманитарного профиля»).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Рост профессиональной уверенности:</w:t>
      </w:r>
      <w:r w:rsidRPr="00D50E53">
        <w:rPr>
          <w:sz w:val="24"/>
          <w:szCs w:val="24"/>
        </w:rPr>
        <w:t xml:space="preserve"> Снижение уровня тревожности, готовность к инновациям, активное участие в методической работе школы. </w:t>
      </w:r>
    </w:p>
    <w:p w:rsidR="009F7E5E" w:rsidRPr="00D50E53" w:rsidRDefault="009F7E5E" w:rsidP="000A0E84">
      <w:pPr>
        <w:ind w:firstLine="709"/>
        <w:rPr>
          <w:b/>
          <w:sz w:val="24"/>
          <w:szCs w:val="24"/>
        </w:rPr>
      </w:pPr>
      <w:r w:rsidRPr="00D50E53">
        <w:rPr>
          <w:sz w:val="24"/>
          <w:szCs w:val="24"/>
        </w:rPr>
        <w:t xml:space="preserve">• </w:t>
      </w:r>
      <w:r w:rsidRPr="00D50E53">
        <w:rPr>
          <w:b/>
          <w:sz w:val="24"/>
          <w:szCs w:val="24"/>
        </w:rPr>
        <w:t>Качество разработанных учебно-методических материалов.</w:t>
      </w:r>
    </w:p>
    <w:p w:rsidR="009F7E5E" w:rsidRPr="00D50E53" w:rsidRDefault="009F7E5E" w:rsidP="000A0E84">
      <w:pPr>
        <w:ind w:firstLine="709"/>
        <w:rPr>
          <w:i/>
          <w:sz w:val="24"/>
          <w:szCs w:val="24"/>
        </w:rPr>
      </w:pPr>
      <w:r w:rsidRPr="00D50E53">
        <w:rPr>
          <w:i/>
          <w:sz w:val="24"/>
          <w:szCs w:val="24"/>
        </w:rPr>
        <w:t xml:space="preserve">Критерии эффективности для наставника: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  Развитие коучинговых и коммуникативных навыков.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Систематизация и обобщение собственного опыта (публикации, выступления на конференциях, проведение мастер-классов).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• Удовлетворенность от процесса и желание продолжать данную деятельность.</w:t>
      </w:r>
    </w:p>
    <w:p w:rsidR="009F7E5E" w:rsidRPr="00D50E53" w:rsidRDefault="009F7E5E" w:rsidP="000A0E84">
      <w:pPr>
        <w:ind w:firstLine="709"/>
        <w:rPr>
          <w:i/>
          <w:sz w:val="24"/>
          <w:szCs w:val="24"/>
        </w:rPr>
      </w:pPr>
      <w:r w:rsidRPr="00D50E53">
        <w:rPr>
          <w:i/>
          <w:sz w:val="24"/>
          <w:szCs w:val="24"/>
        </w:rPr>
        <w:t xml:space="preserve">Критерии эффективности для организации: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  Создание банка лучших практик и методических разработок.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•   Снижение текучести кадров, особенно среди молодых специалистов.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• Формирование позитивного психологического климата в педагогическом коллективе.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• Повышение рейтинга школы на основе объективных показателей качества образования.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Инструментами оценки могут служить: анализ статистических данных об успеваемости, анкетирование и интервьюирование участников процесса, экспертная оценка проведенных уроков и разработанных материалов, портфолио профессиональных достижений наставляемого педагога.</w:t>
      </w:r>
    </w:p>
    <w:p w:rsidR="003D5E40" w:rsidRPr="00D50E53" w:rsidRDefault="00D50E53" w:rsidP="000A0E84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Заключение: </w:t>
      </w:r>
      <w:r w:rsidR="009F7E5E" w:rsidRPr="00D50E53">
        <w:rPr>
          <w:sz w:val="24"/>
          <w:szCs w:val="24"/>
        </w:rPr>
        <w:t xml:space="preserve">Реализация модели наставничества «учитель–учитель» в преподавании математики представляет собой не дань моде, а стратегическую необходимость и мощный ресурс развития образовательной организации. Это сложный, многогранный процесс, требующий системного подхода, административной поддержки и готовности педагогического </w:t>
      </w:r>
      <w:r w:rsidR="003D5E40" w:rsidRPr="00D50E53">
        <w:rPr>
          <w:sz w:val="24"/>
          <w:szCs w:val="24"/>
        </w:rPr>
        <w:t xml:space="preserve">коллектива к открытому </w:t>
      </w:r>
      <w:r w:rsidR="009F7E5E" w:rsidRPr="00D50E53">
        <w:rPr>
          <w:sz w:val="24"/>
          <w:szCs w:val="24"/>
        </w:rPr>
        <w:t xml:space="preserve">профессиональному диалогу. </w:t>
      </w:r>
    </w:p>
    <w:p w:rsidR="009F7E5E" w:rsidRPr="00D50E53" w:rsidRDefault="009F7E5E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Успех </w:t>
      </w:r>
      <w:r w:rsidR="000D725D" w:rsidRPr="00D50E53">
        <w:rPr>
          <w:sz w:val="24"/>
          <w:szCs w:val="24"/>
        </w:rPr>
        <w:t>начинания</w:t>
      </w:r>
      <w:r w:rsidRPr="00D50E53">
        <w:rPr>
          <w:sz w:val="24"/>
          <w:szCs w:val="24"/>
        </w:rPr>
        <w:t xml:space="preserve"> зависит от преодоления ключевых рисков: формального подхода («наставничество для галочки»), сопротивления изменениям со стороны части коллектива, недостатка временных ресурсов и отсутствия продуманной системы мотивации для наставников.</w:t>
      </w:r>
    </w:p>
    <w:p w:rsidR="003D5E40" w:rsidRPr="00D50E53" w:rsidRDefault="003D5E40" w:rsidP="000A0E84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Однако инвестиции в создание такой системы окупаются многократно. Они приводят не только к росту предметных результатов учащихся, но и к формированию новой профессиональной культуры – культуры сотрудничества, взаимной ответственности и непрерывного стремления к педагогическому мастерству. В конечном итоге, именно такие сообщества практикующих профессионалов становятся драйверами </w:t>
      </w:r>
      <w:r w:rsidR="000D725D" w:rsidRPr="00D50E53">
        <w:rPr>
          <w:sz w:val="24"/>
          <w:szCs w:val="24"/>
        </w:rPr>
        <w:lastRenderedPageBreak/>
        <w:t>подлинной</w:t>
      </w:r>
      <w:r w:rsidRPr="00D50E53">
        <w:rPr>
          <w:sz w:val="24"/>
          <w:szCs w:val="24"/>
        </w:rPr>
        <w:t xml:space="preserve"> модернизации математического образования, отвечая на вызовы современности не отдельными точечными улучшениями, а целостным, осознанным развитием.</w:t>
      </w:r>
    </w:p>
    <w:p w:rsidR="00C050F5" w:rsidRPr="00D50E53" w:rsidRDefault="00861E91" w:rsidP="00861E91">
      <w:pPr>
        <w:jc w:val="center"/>
        <w:rPr>
          <w:b/>
          <w:color w:val="000000" w:themeColor="text1"/>
          <w:sz w:val="24"/>
          <w:szCs w:val="24"/>
        </w:rPr>
      </w:pPr>
      <w:r w:rsidRPr="00D50E53">
        <w:rPr>
          <w:b/>
          <w:color w:val="000000" w:themeColor="text1"/>
          <w:sz w:val="24"/>
          <w:szCs w:val="24"/>
        </w:rPr>
        <w:t>Библиографический список</w:t>
      </w:r>
    </w:p>
    <w:p w:rsidR="00DD0B73" w:rsidRPr="00D50E53" w:rsidRDefault="00DD0B73" w:rsidP="00372C40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>1. О национальных целях развития Российской Федерации на период до 2030 года [Электронный ресурс]</w:t>
      </w:r>
      <w:proofErr w:type="gramStart"/>
      <w:r w:rsidRPr="00D50E53">
        <w:rPr>
          <w:color w:val="FF0000"/>
          <w:sz w:val="24"/>
          <w:szCs w:val="24"/>
        </w:rPr>
        <w:t xml:space="preserve"> </w:t>
      </w:r>
      <w:r w:rsidRPr="00D50E53">
        <w:rPr>
          <w:sz w:val="24"/>
          <w:szCs w:val="24"/>
        </w:rPr>
        <w:t>:</w:t>
      </w:r>
      <w:proofErr w:type="gramEnd"/>
      <w:r w:rsidRPr="00D50E53">
        <w:rPr>
          <w:sz w:val="24"/>
          <w:szCs w:val="24"/>
        </w:rPr>
        <w:t xml:space="preserve"> указ Президента Российской Федерации от 21 июля 2020 года № 474. – URL: http://kremlin.ru/events/president/news/63728 (дата обращения: 20.08.2025). </w:t>
      </w:r>
    </w:p>
    <w:p w:rsidR="00FA779F" w:rsidRPr="00D50E53" w:rsidRDefault="002E0EAA" w:rsidP="00FA779F">
      <w:pPr>
        <w:ind w:firstLine="709"/>
        <w:rPr>
          <w:color w:val="0C0C0C"/>
          <w:sz w:val="24"/>
          <w:szCs w:val="24"/>
          <w:shd w:val="clear" w:color="auto" w:fill="FBFBFB"/>
        </w:rPr>
      </w:pPr>
      <w:r w:rsidRPr="00D50E53">
        <w:rPr>
          <w:sz w:val="24"/>
          <w:szCs w:val="24"/>
        </w:rPr>
        <w:t>2.</w:t>
      </w:r>
      <w:r w:rsidR="00FA779F" w:rsidRPr="00D50E53">
        <w:rPr>
          <w:sz w:val="24"/>
          <w:szCs w:val="24"/>
        </w:rPr>
        <w:t xml:space="preserve"> </w:t>
      </w:r>
      <w:r w:rsidR="00FA779F" w:rsidRPr="00D50E53">
        <w:rPr>
          <w:color w:val="0C0C0C"/>
          <w:sz w:val="24"/>
          <w:szCs w:val="24"/>
          <w:shd w:val="clear" w:color="auto" w:fill="FBFBFB"/>
        </w:rPr>
        <w:t>Наставничество в образовательной организации / сост.: С. В. Бондаренко, М. Ю. Ефимочкина и др. ; под общ</w:t>
      </w:r>
      <w:proofErr w:type="gramStart"/>
      <w:r w:rsidR="00FA779F" w:rsidRPr="00D50E53">
        <w:rPr>
          <w:color w:val="0C0C0C"/>
          <w:sz w:val="24"/>
          <w:szCs w:val="24"/>
          <w:shd w:val="clear" w:color="auto" w:fill="FBFBFB"/>
        </w:rPr>
        <w:t>.</w:t>
      </w:r>
      <w:proofErr w:type="gramEnd"/>
      <w:r w:rsidR="00FA779F" w:rsidRPr="00D50E53">
        <w:rPr>
          <w:color w:val="0C0C0C"/>
          <w:sz w:val="24"/>
          <w:szCs w:val="24"/>
          <w:shd w:val="clear" w:color="auto" w:fill="FBFBFB"/>
        </w:rPr>
        <w:t xml:space="preserve"> </w:t>
      </w:r>
      <w:proofErr w:type="gramStart"/>
      <w:r w:rsidR="00FA779F" w:rsidRPr="00D50E53">
        <w:rPr>
          <w:color w:val="0C0C0C"/>
          <w:sz w:val="24"/>
          <w:szCs w:val="24"/>
          <w:shd w:val="clear" w:color="auto" w:fill="FBFBFB"/>
        </w:rPr>
        <w:t>р</w:t>
      </w:r>
      <w:proofErr w:type="gramEnd"/>
      <w:r w:rsidR="00FA779F" w:rsidRPr="00D50E53">
        <w:rPr>
          <w:color w:val="0C0C0C"/>
          <w:sz w:val="24"/>
          <w:szCs w:val="24"/>
          <w:shd w:val="clear" w:color="auto" w:fill="FBFBFB"/>
        </w:rPr>
        <w:t>ед. Г. А. Вашкиной. – Кемерово</w:t>
      </w:r>
      <w:proofErr w:type="gramStart"/>
      <w:r w:rsidR="00FA779F" w:rsidRPr="00D50E53">
        <w:rPr>
          <w:color w:val="0C0C0C"/>
          <w:sz w:val="24"/>
          <w:szCs w:val="24"/>
          <w:shd w:val="clear" w:color="auto" w:fill="FBFBFB"/>
        </w:rPr>
        <w:t xml:space="preserve"> :</w:t>
      </w:r>
      <w:proofErr w:type="gramEnd"/>
      <w:r w:rsidR="00FA779F" w:rsidRPr="00D50E53">
        <w:rPr>
          <w:color w:val="0C0C0C"/>
          <w:sz w:val="24"/>
          <w:szCs w:val="24"/>
          <w:shd w:val="clear" w:color="auto" w:fill="FBFBFB"/>
        </w:rPr>
        <w:t xml:space="preserve"> изд-во МБОУ ДПО «Научно-методический центр», 2017.</w:t>
      </w:r>
    </w:p>
    <w:p w:rsidR="00FA779F" w:rsidRPr="00D50E53" w:rsidRDefault="00FA779F" w:rsidP="00FA779F">
      <w:pPr>
        <w:ind w:firstLine="709"/>
        <w:rPr>
          <w:color w:val="0C0C0C"/>
          <w:sz w:val="24"/>
          <w:szCs w:val="24"/>
          <w:shd w:val="clear" w:color="auto" w:fill="FBFBFB"/>
        </w:rPr>
      </w:pPr>
      <w:r w:rsidRPr="00D50E53">
        <w:rPr>
          <w:color w:val="0C0C0C"/>
          <w:sz w:val="24"/>
          <w:szCs w:val="24"/>
          <w:shd w:val="clear" w:color="auto" w:fill="FBFBFB"/>
        </w:rPr>
        <w:t>3. Наставничество в системе образования России. Практическое пособие для кураторов в образовательных организациях</w:t>
      </w:r>
      <w:proofErr w:type="gramStart"/>
      <w:r w:rsidRPr="00D50E53">
        <w:rPr>
          <w:color w:val="0C0C0C"/>
          <w:sz w:val="24"/>
          <w:szCs w:val="24"/>
          <w:shd w:val="clear" w:color="auto" w:fill="FBFBFB"/>
        </w:rPr>
        <w:t xml:space="preserve"> / П</w:t>
      </w:r>
      <w:proofErr w:type="gramEnd"/>
      <w:r w:rsidRPr="00D50E53">
        <w:rPr>
          <w:color w:val="0C0C0C"/>
          <w:sz w:val="24"/>
          <w:szCs w:val="24"/>
          <w:shd w:val="clear" w:color="auto" w:fill="FBFBFB"/>
        </w:rPr>
        <w:t>од ред. Н.Ю. Синягиной, Т.Ю. Райфшнайдер. - М.: Рыбаков Фонд, 2016.</w:t>
      </w:r>
    </w:p>
    <w:p w:rsidR="00FA779F" w:rsidRPr="00D50E53" w:rsidRDefault="00FA779F" w:rsidP="00FA779F">
      <w:pPr>
        <w:ind w:firstLine="709"/>
        <w:rPr>
          <w:color w:val="0C0C0C"/>
          <w:sz w:val="24"/>
          <w:szCs w:val="24"/>
          <w:shd w:val="clear" w:color="auto" w:fill="FBFBFB"/>
        </w:rPr>
      </w:pPr>
      <w:r w:rsidRPr="00D50E53">
        <w:rPr>
          <w:color w:val="0C0C0C"/>
          <w:sz w:val="24"/>
          <w:szCs w:val="24"/>
          <w:shd w:val="clear" w:color="auto" w:fill="FBFBFB"/>
        </w:rPr>
        <w:t>4. Лучшие практики наставничества в образовательных организациях</w:t>
      </w:r>
      <w:proofErr w:type="gramStart"/>
      <w:r w:rsidRPr="00D50E53">
        <w:rPr>
          <w:color w:val="0C0C0C"/>
          <w:sz w:val="24"/>
          <w:szCs w:val="24"/>
          <w:shd w:val="clear" w:color="auto" w:fill="FBFBFB"/>
        </w:rPr>
        <w:t xml:space="preserve"> :</w:t>
      </w:r>
      <w:proofErr w:type="gramEnd"/>
      <w:r w:rsidRPr="00D50E53">
        <w:rPr>
          <w:color w:val="0C0C0C"/>
          <w:sz w:val="24"/>
          <w:szCs w:val="24"/>
          <w:shd w:val="clear" w:color="auto" w:fill="FBFBFB"/>
        </w:rPr>
        <w:t xml:space="preserve"> сборник методических материалов / ОГАОУ ДПО «БелИРО»; Ж. М. Яхтанигова, Е. В. Чуприкова, К. С. Лагода, Е. А. Фатнева; под ред. Е. Н. Мясищевой. – Белгород</w:t>
      </w:r>
      <w:proofErr w:type="gramStart"/>
      <w:r w:rsidRPr="00D50E53">
        <w:rPr>
          <w:color w:val="0C0C0C"/>
          <w:sz w:val="24"/>
          <w:szCs w:val="24"/>
          <w:shd w:val="clear" w:color="auto" w:fill="FBFBFB"/>
        </w:rPr>
        <w:t xml:space="preserve"> :</w:t>
      </w:r>
      <w:proofErr w:type="gramEnd"/>
      <w:r w:rsidRPr="00D50E53">
        <w:rPr>
          <w:color w:val="0C0C0C"/>
          <w:sz w:val="24"/>
          <w:szCs w:val="24"/>
          <w:shd w:val="clear" w:color="auto" w:fill="FBFBFB"/>
        </w:rPr>
        <w:t xml:space="preserve"> ОГАОУ ДПО «БелИРО», 2021. </w:t>
      </w:r>
    </w:p>
    <w:p w:rsidR="00FA779F" w:rsidRPr="00D50E53" w:rsidRDefault="00FA779F" w:rsidP="00FA779F">
      <w:pPr>
        <w:ind w:firstLine="709"/>
        <w:rPr>
          <w:color w:val="0C0C0C"/>
          <w:sz w:val="24"/>
          <w:szCs w:val="24"/>
        </w:rPr>
      </w:pPr>
      <w:r w:rsidRPr="00D50E53">
        <w:rPr>
          <w:color w:val="0C0C0C"/>
          <w:sz w:val="24"/>
          <w:szCs w:val="24"/>
          <w:shd w:val="clear" w:color="auto" w:fill="FBFBFB"/>
        </w:rPr>
        <w:t xml:space="preserve">7. </w:t>
      </w:r>
      <w:r w:rsidRPr="00D50E53">
        <w:rPr>
          <w:color w:val="0C0C0C"/>
          <w:sz w:val="24"/>
          <w:szCs w:val="24"/>
        </w:rPr>
        <w:t>Коучинг и наставничество. Практические методы обучения и развития. </w:t>
      </w:r>
      <w:hyperlink r:id="rId5" w:history="1">
        <w:r w:rsidRPr="00D50E53">
          <w:rPr>
            <w:rStyle w:val="a6"/>
            <w:color w:val="auto"/>
            <w:sz w:val="24"/>
            <w:szCs w:val="24"/>
            <w:u w:val="none"/>
          </w:rPr>
          <w:t>Эрик Парслоу</w:t>
        </w:r>
      </w:hyperlink>
      <w:r w:rsidRPr="00D50E53">
        <w:rPr>
          <w:sz w:val="24"/>
          <w:szCs w:val="24"/>
        </w:rPr>
        <w:t>.</w:t>
      </w:r>
      <w:r w:rsidRPr="00D50E53">
        <w:rPr>
          <w:color w:val="0C0C0C"/>
          <w:sz w:val="24"/>
          <w:szCs w:val="24"/>
        </w:rPr>
        <w:t xml:space="preserve"> Издательство «Библос», 2020.</w:t>
      </w:r>
    </w:p>
    <w:p w:rsidR="00FA779F" w:rsidRPr="00D50E53" w:rsidRDefault="00FA779F" w:rsidP="00FA779F">
      <w:pPr>
        <w:ind w:firstLine="709"/>
        <w:rPr>
          <w:sz w:val="24"/>
          <w:szCs w:val="24"/>
        </w:rPr>
      </w:pPr>
      <w:r w:rsidRPr="00D50E53">
        <w:rPr>
          <w:sz w:val="24"/>
          <w:szCs w:val="24"/>
        </w:rPr>
        <w:t xml:space="preserve">8. </w:t>
      </w:r>
      <w:hyperlink r:id="rId6" w:history="1">
        <w:r w:rsidRPr="00D50E53">
          <w:rPr>
            <w:rStyle w:val="a6"/>
            <w:sz w:val="24"/>
            <w:szCs w:val="24"/>
          </w:rPr>
          <w:t>https://phsreda.com/ru/article/106406/discussion_platform</w:t>
        </w:r>
      </w:hyperlink>
      <w:r w:rsidRPr="00D50E53">
        <w:rPr>
          <w:sz w:val="24"/>
          <w:szCs w:val="24"/>
        </w:rPr>
        <w:t xml:space="preserve"> [Электронный ресурс] (дата обращения: 20.08.2025).</w:t>
      </w:r>
    </w:p>
    <w:p w:rsidR="00483E4D" w:rsidRPr="00D50E53" w:rsidRDefault="00FA779F" w:rsidP="00FA779F">
      <w:pPr>
        <w:ind w:firstLine="709"/>
        <w:jc w:val="left"/>
        <w:rPr>
          <w:color w:val="FF0000"/>
          <w:sz w:val="24"/>
          <w:szCs w:val="24"/>
        </w:rPr>
      </w:pPr>
      <w:r w:rsidRPr="00D50E53">
        <w:rPr>
          <w:sz w:val="24"/>
          <w:szCs w:val="24"/>
        </w:rPr>
        <w:t xml:space="preserve">9. </w:t>
      </w:r>
      <w:hyperlink r:id="rId7" w:history="1">
        <w:r w:rsidRPr="00D50E53">
          <w:rPr>
            <w:rStyle w:val="a6"/>
            <w:sz w:val="24"/>
            <w:szCs w:val="24"/>
          </w:rPr>
          <w:t>http://biblioteka.poipkro.ru/наставничество-в-образовании/</w:t>
        </w:r>
      </w:hyperlink>
      <w:r w:rsidRPr="00D50E53">
        <w:rPr>
          <w:sz w:val="24"/>
          <w:szCs w:val="24"/>
        </w:rPr>
        <w:t xml:space="preserve">  [Электронный ресурс] (дата обращения: 20.08.2025).</w:t>
      </w:r>
    </w:p>
    <w:sectPr w:rsidR="00483E4D" w:rsidRPr="00D50E53" w:rsidSect="0034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2E7"/>
    <w:multiLevelType w:val="hybridMultilevel"/>
    <w:tmpl w:val="A0C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49CD"/>
    <w:multiLevelType w:val="hybridMultilevel"/>
    <w:tmpl w:val="08CC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D3483"/>
    <w:multiLevelType w:val="multilevel"/>
    <w:tmpl w:val="899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040EA"/>
    <w:multiLevelType w:val="hybridMultilevel"/>
    <w:tmpl w:val="29F859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7E78D4"/>
    <w:multiLevelType w:val="multilevel"/>
    <w:tmpl w:val="790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8410E"/>
    <w:multiLevelType w:val="multilevel"/>
    <w:tmpl w:val="016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4"/>
    </w:lvlOverride>
  </w:num>
  <w:num w:numId="4">
    <w:abstractNumId w:val="2"/>
    <w:lvlOverride w:ilvl="0"/>
    <w:lvlOverride w:ilvl="1">
      <w:startOverride w:val="6"/>
    </w:lvlOverride>
  </w:num>
  <w:num w:numId="5">
    <w:abstractNumId w:val="2"/>
    <w:lvlOverride w:ilvl="0"/>
    <w:lvlOverride w:ilvl="1">
      <w:startOverride w:val="7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97"/>
    <w:rsid w:val="000A0E84"/>
    <w:rsid w:val="000A41BB"/>
    <w:rsid w:val="000A50B0"/>
    <w:rsid w:val="000D725D"/>
    <w:rsid w:val="001043B9"/>
    <w:rsid w:val="002E0EAA"/>
    <w:rsid w:val="00340C6D"/>
    <w:rsid w:val="00372C40"/>
    <w:rsid w:val="00387972"/>
    <w:rsid w:val="003D5E40"/>
    <w:rsid w:val="003E54BB"/>
    <w:rsid w:val="00483E4D"/>
    <w:rsid w:val="004F3F23"/>
    <w:rsid w:val="00554553"/>
    <w:rsid w:val="00776D32"/>
    <w:rsid w:val="00861E91"/>
    <w:rsid w:val="009141EF"/>
    <w:rsid w:val="009A450C"/>
    <w:rsid w:val="009F7E5E"/>
    <w:rsid w:val="00A40A48"/>
    <w:rsid w:val="00AF319C"/>
    <w:rsid w:val="00B232E7"/>
    <w:rsid w:val="00C050F5"/>
    <w:rsid w:val="00C31997"/>
    <w:rsid w:val="00D261B9"/>
    <w:rsid w:val="00D50E53"/>
    <w:rsid w:val="00DD0B73"/>
    <w:rsid w:val="00E64C23"/>
    <w:rsid w:val="00E715FB"/>
    <w:rsid w:val="00FA779F"/>
    <w:rsid w:val="00FC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B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1043B9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04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043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3B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3B9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3B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141E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41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63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379">
              <w:marLeft w:val="0"/>
              <w:marRight w:val="0"/>
              <w:marTop w:val="0"/>
              <w:marBottom w:val="0"/>
              <w:divBdr>
                <w:top w:val="single" w:sz="6" w:space="0" w:color="E6E9EC"/>
                <w:left w:val="single" w:sz="6" w:space="0" w:color="E6E9EC"/>
                <w:bottom w:val="single" w:sz="6" w:space="0" w:color="E6E9EC"/>
                <w:right w:val="single" w:sz="6" w:space="0" w:color="E6E9EC"/>
              </w:divBdr>
            </w:div>
          </w:divsChild>
        </w:div>
      </w:divsChild>
    </w:div>
    <w:div w:id="822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teka.poipkro.ru/&#1085;&#1072;&#1089;&#1090;&#1072;&#1074;&#1085;&#1080;&#1095;&#1077;&#1089;&#1090;&#1074;&#1086;-&#1074;-&#1086;&#1073;&#1088;&#1072;&#1079;&#1086;&#1074;&#1072;&#1085;&#108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sreda.com/ru/article/106406/discussion_platform" TargetMode="External"/><Relationship Id="rId5" Type="http://schemas.openxmlformats.org/officeDocument/2006/relationships/hyperlink" Target="https://www.chitai-gorod.ru/author/parslou-erik-90646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2019-07-01T13:25:00Z</dcterms:created>
  <dcterms:modified xsi:type="dcterms:W3CDTF">2025-08-25T18:40:00Z</dcterms:modified>
</cp:coreProperties>
</file>