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5C6D" w:rsidRDefault="00000000">
      <w:pPr>
        <w:pStyle w:val="1"/>
      </w:pPr>
      <w:r>
        <w:rPr>
          <w:rFonts w:ascii="Times New Roman" w:hAnsi="Times New Roman"/>
        </w:rPr>
        <w:t>Роль математики в подготовке современного специалиста, применение современных методик как средство повышения уровня математической подготовки обучающихся</w:t>
      </w:r>
    </w:p>
    <w:p w:rsidR="00485C6D" w:rsidRDefault="00000000">
      <w:pPr>
        <w:pStyle w:val="21"/>
      </w:pPr>
      <w:r>
        <w:rPr>
          <w:rFonts w:ascii="Times New Roman" w:hAnsi="Times New Roman"/>
        </w:rPr>
        <w:t>Аннотация</w:t>
      </w:r>
    </w:p>
    <w:p w:rsidR="00485C6D" w:rsidRDefault="00000000">
      <w:r>
        <w:t>Статья посвящена исследованию роли математики в системе профессиональной подготовки современного специалиста. Обосновывается актуальность проблемы повышения уровня математической компетентности в условиях цифровой трансформации экономики и общества. Выявлено противоречие между возрастающей потребностью в специалистах, владеющих математическим аппаратом, и снижением мотивации обучающихся к изучению математики. Целью работы является теоретическое обоснование и методическая разработка подходов к применению современных образовательных технологий для повышения эффективности математической подготовки. В работе рассматриваются теоретические основы формирования математического мышления, анализируются методические приемы, включающие проблемное обучение, кейс-метод, информационно-коммуникационные технологии и проектные формы работы. Особое внимание уделяется возрастным особенностям обучающихся на этапе высшего образования. В заключении формулируются выводы о необходимости интеграции традиционных и инновационных методов обучения для достижения устойчивых образовательных результатов.</w:t>
      </w:r>
    </w:p>
    <w:p w:rsidR="00485C6D" w:rsidRDefault="00000000">
      <w:pPr>
        <w:pStyle w:val="21"/>
      </w:pPr>
      <w:r>
        <w:rPr>
          <w:rFonts w:ascii="Times New Roman" w:hAnsi="Times New Roman"/>
        </w:rPr>
        <w:lastRenderedPageBreak/>
        <w:t>Ключевые слова</w:t>
      </w:r>
    </w:p>
    <w:p w:rsidR="00485C6D" w:rsidRDefault="00000000">
      <w:r>
        <w:t>Математическая подготовка, профессиональная компетентность, современные методики обучения, проблемное обучение, кейс-метод, информационно-коммуникационные технологии, мотивация обучения, математическое мышление, высшее образование, цифровая трансформация.</w:t>
      </w:r>
    </w:p>
    <w:p w:rsidR="00485C6D" w:rsidRDefault="00000000">
      <w:pPr>
        <w:pStyle w:val="21"/>
      </w:pPr>
      <w:r>
        <w:rPr>
          <w:rFonts w:ascii="Times New Roman" w:hAnsi="Times New Roman"/>
        </w:rPr>
        <w:t>Введение</w:t>
      </w:r>
    </w:p>
    <w:p w:rsidR="00485C6D" w:rsidRDefault="00000000">
      <w:r>
        <w:t>Современное общество характеризуется стремительным развитием технологий, автоматизацией производственных процессов и повсеместным внедрением цифровых инструментов. В этих условиях математика перестает быть только фундаментальной наукой, изучаемой в академических целях. Она становится базовым инструментом анализа, моделирования и прогнозирования в самых разных сферах — от экономики и инженерии до медицины и гуманитарных наук. Подготовка специалиста, способного эффективно работать в условиях информационной насыщенности, требует высокого уровня математической грамотности.</w:t>
      </w:r>
    </w:p>
    <w:p w:rsidR="00485C6D" w:rsidRDefault="00000000">
      <w:r>
        <w:t>Однако практика высшего образования сталкивается с серьезной проблемой: у значительной части студентов наблюдается снижение интереса к изучению математических дисциплин. Это связано с восприятием математики как абстрактной, оторванной от реальной жизни науки. Традиционные методы преподавания, основанные на лекционно-семинарской системе с преобладанием формальных алгоритмов, не всегда способствуют формированию устойчивой мотивации и глубокого понимания предмета. Возникает противоречие между объективной потребностью общества в математически компетентных кадрах и субъективной готовностью обучающихся осваивать этот сложный материал.</w:t>
      </w:r>
    </w:p>
    <w:p w:rsidR="00485C6D" w:rsidRDefault="00000000">
      <w:r>
        <w:t xml:space="preserve">Данное противоречие определяет актуальность поиска и внедрения современных методик обучения, которые позволили бы не только передать </w:t>
      </w:r>
      <w:r>
        <w:lastRenderedPageBreak/>
        <w:t>необходимый объем знаний, но и сформировать у студентов математическое мышление, умение видеть математические закономерности в профессиональных задачах. Цель данной статьи — проанализировать роль математики в подготовке современного специалиста и обосновать применение современных педагогических методик как средства повышения уровня математической подготовки обучающихся в системе высшего образования.</w:t>
      </w:r>
    </w:p>
    <w:p w:rsidR="00485C6D" w:rsidRDefault="00000000">
      <w:pPr>
        <w:pStyle w:val="21"/>
      </w:pPr>
      <w:r>
        <w:rPr>
          <w:rFonts w:ascii="Times New Roman" w:hAnsi="Times New Roman"/>
        </w:rPr>
        <w:t>Основная часть</w:t>
      </w:r>
    </w:p>
    <w:p w:rsidR="00485C6D" w:rsidRDefault="00000000">
      <w:pPr>
        <w:pStyle w:val="31"/>
        <w:spacing w:before="400" w:after="160"/>
      </w:pPr>
      <w:r>
        <w:rPr>
          <w:rFonts w:ascii="Times New Roman" w:hAnsi="Times New Roman"/>
        </w:rPr>
        <w:t>Теоретические основы математической подготовки специалиста</w:t>
      </w:r>
    </w:p>
    <w:p w:rsidR="00485C6D" w:rsidRDefault="00000000">
      <w:r>
        <w:t>Математика как учебная дисциплина занимает уникальное место в структуре высшего образования. Ее значение не ограничивается формированием вычислительных навыков. Как отмечал Л.С. Выготский в своих работах, посвященных мышлению и речи, математика является мощным средством развития абстрактного мышления, логики и способности к анализу. Изучение математических структур способствует формированию у обучающегося таких качеств, как системность, доказательность, критичность и точность. Эти качества являются ключевыми для любого специалиста, независимо от его профессиональной направленности.</w:t>
      </w:r>
    </w:p>
    <w:p w:rsidR="00485C6D" w:rsidRDefault="00000000">
      <w:r>
        <w:t>В современной педагогической науке под математической подготовкой понимается не просто усвоение суммы знаний по алгебре, геометрии, математическому анализу или теории вероятностей. Это процесс формирования математической компетентности, которая включает в себя:</w:t>
      </w:r>
    </w:p>
    <w:p w:rsidR="00485C6D" w:rsidRDefault="00000000">
      <w:pPr>
        <w:pStyle w:val="a0"/>
        <w:ind w:firstLine="0"/>
      </w:pPr>
      <w:r>
        <w:t>владение математическим аппаратом, необходимым для решения профессиональных задач;</w:t>
      </w:r>
    </w:p>
    <w:p w:rsidR="00485C6D" w:rsidRDefault="00000000">
      <w:pPr>
        <w:pStyle w:val="a0"/>
        <w:ind w:firstLine="0"/>
      </w:pPr>
      <w:r>
        <w:t>умение строить математические модели реальных процессов;</w:t>
      </w:r>
    </w:p>
    <w:p w:rsidR="00485C6D" w:rsidRDefault="00000000">
      <w:pPr>
        <w:pStyle w:val="a0"/>
        <w:ind w:firstLine="0"/>
      </w:pPr>
      <w:r>
        <w:t>способность интерпретировать результаты математических расчетов;</w:t>
      </w:r>
    </w:p>
    <w:p w:rsidR="00485C6D" w:rsidRDefault="00000000">
      <w:pPr>
        <w:pStyle w:val="a0"/>
        <w:ind w:firstLine="0"/>
      </w:pPr>
      <w:r>
        <w:lastRenderedPageBreak/>
        <w:t>готовность к самообучению и освоению новых математических методов.</w:t>
      </w:r>
    </w:p>
    <w:p w:rsidR="00485C6D" w:rsidRDefault="00000000">
      <w:r>
        <w:t>Исследования в области педагогики и психологии показывают, что эффективность математической подготовки напрямую связана с мотивацией обучающегося. Если студент не видит связи между изучаемым материалом и своей будущей профессией, его познавательная активность резко снижается. Это подтверждает необходимость пересмотра методических подходов к преподаванию математики в вузе.</w:t>
      </w:r>
    </w:p>
    <w:p w:rsidR="00485C6D" w:rsidRDefault="00000000">
      <w:pPr>
        <w:pStyle w:val="31"/>
        <w:spacing w:before="400" w:after="160"/>
      </w:pPr>
      <w:r>
        <w:rPr>
          <w:rFonts w:ascii="Times New Roman" w:hAnsi="Times New Roman"/>
        </w:rPr>
        <w:t>Современные методики как средство повышения уровня математической подготовки</w:t>
      </w:r>
    </w:p>
    <w:p w:rsidR="00485C6D" w:rsidRDefault="00000000">
      <w:r>
        <w:t>Традиционное обучение математике, построенное на принципах последовательности, наглядности и доступности, остается основой образовательного процесса. Однако для преодоления кризиса мотивации и повышения качества знаний требуется его дополнение современными активными и интерактивными методами. Анализ методической литературы последних лет позволяет выделить несколько наиболее эффективных направлений.</w:t>
      </w:r>
    </w:p>
    <w:p w:rsidR="00485C6D" w:rsidRDefault="00000000">
      <w:pPr>
        <w:pStyle w:val="31"/>
        <w:spacing w:before="400" w:after="160"/>
      </w:pPr>
      <w:r>
        <w:rPr>
          <w:rFonts w:ascii="Times New Roman" w:hAnsi="Times New Roman"/>
        </w:rPr>
        <w:t>Проблемное обучение</w:t>
      </w:r>
    </w:p>
    <w:p w:rsidR="00485C6D" w:rsidRDefault="00000000">
      <w:r>
        <w:t xml:space="preserve">Одним из наиболее действенных подходов является проблемное обучение. Его суть заключается в создании преподавателем проблемной ситуации, которая стимулирует мыслительную активность студента. В отличие от традиционного изложения готовых знаний, проблемное обучение ставит обучающегося перед необходимостью самостоятельно искать пути решения. Например, при изучении темы «Производная функции» вместо формального введения правил дифференцирования можно предложить задачу: «Как определить мгновенную скорость автомобиля, если известен график его пути?». Студенты, анализируя задачу, приходят к необходимости введения понятия предела и производной. </w:t>
      </w:r>
      <w:r>
        <w:lastRenderedPageBreak/>
        <w:t>Такой подход не только углубляет понимание, но и формирует исследовательские навыки.</w:t>
      </w:r>
    </w:p>
    <w:p w:rsidR="00485C6D" w:rsidRDefault="00000000">
      <w:r>
        <w:t>Проблемное обучение может быть реализовано на разных этапах занятия:</w:t>
      </w:r>
    </w:p>
    <w:p w:rsidR="00485C6D" w:rsidRDefault="00000000">
      <w:pPr>
        <w:pStyle w:val="a0"/>
        <w:ind w:firstLine="0"/>
      </w:pPr>
      <w:r>
        <w:t>на этапе мотивации (создание интригующей проблемы);</w:t>
      </w:r>
    </w:p>
    <w:p w:rsidR="00485C6D" w:rsidRDefault="00000000">
      <w:pPr>
        <w:pStyle w:val="a0"/>
        <w:ind w:firstLine="0"/>
      </w:pPr>
      <w:r>
        <w:t>на этапе изучения нового материала (поиск решения);</w:t>
      </w:r>
    </w:p>
    <w:p w:rsidR="00485C6D" w:rsidRDefault="00000000">
      <w:pPr>
        <w:pStyle w:val="a0"/>
        <w:ind w:firstLine="0"/>
      </w:pPr>
      <w:r>
        <w:t>на этапе закрепления (решение проблемных задач).</w:t>
      </w:r>
    </w:p>
    <w:p w:rsidR="00485C6D" w:rsidRDefault="00000000">
      <w:pPr>
        <w:pStyle w:val="31"/>
        <w:spacing w:before="400" w:after="160"/>
      </w:pPr>
      <w:r>
        <w:rPr>
          <w:rFonts w:ascii="Times New Roman" w:hAnsi="Times New Roman"/>
        </w:rPr>
        <w:t>Кейс-метод (Case Study)</w:t>
      </w:r>
    </w:p>
    <w:p w:rsidR="00485C6D" w:rsidRDefault="00000000">
      <w:r>
        <w:t>Кейс-метод, или метод анализа конкретных ситуаций, особенно ценен для формирования профессиональной компетентности. Он предполагает использование реальных или смоделированных профессиональных ситуаций, требующих математического анализа. Для студентов экономических специальностей это может быть кейс по анализу финансовой отчетности предприятия с использованием методов математической статистики. Для будущих инженеров — задача оптимизации производственного процесса с помощью линейного программирования.</w:t>
      </w:r>
    </w:p>
    <w:p w:rsidR="00485C6D" w:rsidRDefault="00000000">
      <w:r>
        <w:t>Работа с кейсом включает несколько этапов:</w:t>
      </w:r>
    </w:p>
    <w:p w:rsidR="00485C6D" w:rsidRDefault="00000000">
      <w:pPr>
        <w:pStyle w:val="a"/>
        <w:ind w:firstLine="0"/>
      </w:pPr>
      <w:r>
        <w:t>Ознакомление с ситуацией (предоставление исходных данных).</w:t>
      </w:r>
    </w:p>
    <w:p w:rsidR="00485C6D" w:rsidRDefault="00000000">
      <w:pPr>
        <w:pStyle w:val="a"/>
        <w:ind w:firstLine="0"/>
      </w:pPr>
      <w:r>
        <w:t>Выявление проблемы, требующей математического решения.</w:t>
      </w:r>
    </w:p>
    <w:p w:rsidR="00485C6D" w:rsidRDefault="00000000">
      <w:pPr>
        <w:pStyle w:val="a"/>
        <w:ind w:firstLine="0"/>
      </w:pPr>
      <w:r>
        <w:t>Выбор адекватного математического аппарата.</w:t>
      </w:r>
    </w:p>
    <w:p w:rsidR="00485C6D" w:rsidRDefault="00000000">
      <w:pPr>
        <w:pStyle w:val="a"/>
        <w:ind w:firstLine="0"/>
      </w:pPr>
      <w:r>
        <w:t>Проведение расчетов и анализ полученных результатов.</w:t>
      </w:r>
    </w:p>
    <w:p w:rsidR="00485C6D" w:rsidRDefault="00000000">
      <w:pPr>
        <w:pStyle w:val="a"/>
        <w:ind w:firstLine="0"/>
      </w:pPr>
      <w:r>
        <w:t>Формулировка выводов и рекомендаций.</w:t>
      </w:r>
    </w:p>
    <w:p w:rsidR="00485C6D" w:rsidRDefault="00000000">
      <w:r>
        <w:t>Кейс-метод позволяет студентам увидеть практическую ценность математических знаний, что значительно повышает их мотивацию.</w:t>
      </w:r>
    </w:p>
    <w:p w:rsidR="00485C6D" w:rsidRDefault="00000000">
      <w:pPr>
        <w:pStyle w:val="31"/>
        <w:spacing w:before="400" w:after="160"/>
      </w:pPr>
      <w:r>
        <w:rPr>
          <w:rFonts w:ascii="Times New Roman" w:hAnsi="Times New Roman"/>
        </w:rPr>
        <w:lastRenderedPageBreak/>
        <w:t>Информационно-коммуникационные технологии (ИКТ)</w:t>
      </w:r>
    </w:p>
    <w:p w:rsidR="00485C6D" w:rsidRDefault="00000000">
      <w:r>
        <w:t>Современные ИКТ открывают широкие возможности для визуализации математических абстракций и автоматизации рутинных вычислений. Использование специализированного программного обеспечения, такого как математические пакеты (например, MathCAD, MATLAB, Wolfram Mathematica) и систем динамической геометрии, позволяет:</w:t>
      </w:r>
    </w:p>
    <w:p w:rsidR="00485C6D" w:rsidRDefault="00000000">
      <w:pPr>
        <w:pStyle w:val="a0"/>
        <w:ind w:firstLine="0"/>
      </w:pPr>
      <w:r>
        <w:t>строить трехмерные графики и поверхности, что облегчает понимание функций нескольких переменных;</w:t>
      </w:r>
    </w:p>
    <w:p w:rsidR="00485C6D" w:rsidRDefault="00000000">
      <w:pPr>
        <w:pStyle w:val="a0"/>
        <w:ind w:firstLine="0"/>
      </w:pPr>
      <w:r>
        <w:t>проводить сложные символьные вычисления, освобождая время для анализа;</w:t>
      </w:r>
    </w:p>
    <w:p w:rsidR="00485C6D" w:rsidRDefault="00000000">
      <w:pPr>
        <w:pStyle w:val="a0"/>
        <w:ind w:firstLine="0"/>
      </w:pPr>
      <w:r>
        <w:t>моделировать случайные процессы и демонстрировать закон больших чисел.</w:t>
      </w:r>
    </w:p>
    <w:p w:rsidR="00485C6D" w:rsidRDefault="00000000">
      <w:r>
        <w:t>Особое значение имеют онлайн-платформы и образовательные ресурсы. Они позволяют организовать индивидуальную траекторию обучения, проводить автоматизированное тестирование и обеспечивать обратную связь. Применение ИКТ не отменяет необходимости ручных вычислений, но делает процесс обучения более наглядным и динамичным.</w:t>
      </w:r>
    </w:p>
    <w:p w:rsidR="00485C6D" w:rsidRDefault="00000000">
      <w:pPr>
        <w:pStyle w:val="31"/>
        <w:spacing w:before="400" w:after="160"/>
      </w:pPr>
      <w:r>
        <w:rPr>
          <w:rFonts w:ascii="Times New Roman" w:hAnsi="Times New Roman"/>
        </w:rPr>
        <w:t>Проектная деятельность</w:t>
      </w:r>
    </w:p>
    <w:p w:rsidR="00485C6D" w:rsidRDefault="00000000">
      <w:r>
        <w:t xml:space="preserve">Метод проектов является комплексным подходом, который интегрирует в себе элементы проблемного обучения, кейс-метода и ИКТ. В рамках математической подготовки студенты могут выполнять проекты, связанные с исследованием реальных явлений. Например, проект «Статистический анализ демографической ситуации в регионе» требует от студента сбора данных, их обработки с помощью методов описательной статистики, построения графиков и формулировки выводов. Такой проект развивает навыки работы с </w:t>
      </w:r>
      <w:r>
        <w:lastRenderedPageBreak/>
        <w:t>информацией, математического моделирования и публичного представления результатов.</w:t>
      </w:r>
    </w:p>
    <w:p w:rsidR="00485C6D" w:rsidRDefault="00000000">
      <w:pPr>
        <w:pStyle w:val="31"/>
        <w:spacing w:before="400" w:after="160"/>
      </w:pPr>
      <w:r>
        <w:rPr>
          <w:rFonts w:ascii="Times New Roman" w:hAnsi="Times New Roman"/>
        </w:rPr>
        <w:t>Специфика применения методик на уровне высшего образования</w:t>
      </w:r>
    </w:p>
    <w:p w:rsidR="00485C6D" w:rsidRDefault="00000000">
      <w:r>
        <w:t>Применение описанных методик должно учитывать возрастные и психологические особенности студентов. Студенческий возраст (17-25 лет) характеризуется завершением формирования формально-логических операций, развитием теоретического мышления и профессиональным самоопределением. Обучающиеся уже способны к абстрактным рассуждениям, но нуждаются в практическом подкреплении получаемых знаний.</w:t>
      </w:r>
    </w:p>
    <w:p w:rsidR="00485C6D" w:rsidRDefault="00000000">
      <w:r>
        <w:t>В этой связи эффективным является принцип профессиональной направленности обучения математике. Это означает, что содержание задач, примеров и кейсов должно быть максимально приближено к будущей профессиональной деятельности студента. Для студентов технических специальностей акцент делается на математическом моделировании физических процессов. Для экономистов — на финансовой математике и статистике. Для гуманитариев — на логике и теории аргументации.</w:t>
      </w:r>
    </w:p>
    <w:p w:rsidR="00485C6D" w:rsidRDefault="00000000">
      <w:r>
        <w:t>Преподавателю необходимо выступать не только в роли транслятора знаний, но и в роли фасилитатора, организатора познавательной деятельности. Важно создавать на занятиях атмосферу сотрудничества и поощрять самостоятельный поиск решений. Использование групповых форм работы, дискуссий и взаимообучения также способствует повышению вовлеченности студентов.</w:t>
      </w:r>
    </w:p>
    <w:p w:rsidR="00485C6D" w:rsidRDefault="00000000">
      <w:pPr>
        <w:pStyle w:val="21"/>
      </w:pPr>
      <w:r>
        <w:rPr>
          <w:rFonts w:ascii="Times New Roman" w:hAnsi="Times New Roman"/>
        </w:rPr>
        <w:t>Практические рекомендации по организации учебного процесса</w:t>
      </w:r>
    </w:p>
    <w:p w:rsidR="00485C6D" w:rsidRDefault="00000000">
      <w:r>
        <w:t xml:space="preserve">Для успешной реализации современных методик необходимо соблюдать ряд условий. Во-первых, требуется пересмотр учебных программ и рабочих </w:t>
      </w:r>
      <w:r>
        <w:lastRenderedPageBreak/>
        <w:t>планов. Необходимо выделить достаточно времени на активные формы работы, сократив долю чистого лекционного материала. Во-вторых, преподаватель должен владеть не только математическим содержанием, но и методикой организации проблемного обучения, кейс-анализа и проектной деятельности. Это требует системы повышения квалификации.</w:t>
      </w:r>
    </w:p>
    <w:p w:rsidR="00485C6D" w:rsidRDefault="00000000">
      <w:r>
        <w:t>В-третьих, необходимо обеспечить материально-техническую базу: компьютерные классы с установленным программным обеспечением, доступ к электронным библиотекам и базам данных. В-четвертых, система оценивания должна быть адаптирована к новым формам работы. Оценка проекта или решения кейса должна учитывать не только правильность конечного результата, но и ход решения, аргументацию, умение работать в команде.</w:t>
      </w:r>
    </w:p>
    <w:p w:rsidR="00485C6D" w:rsidRDefault="00000000">
      <w:r>
        <w:t>Примерная структура занятия с использованием кейс-метода может выглядеть следующим образом:</w:t>
      </w:r>
    </w:p>
    <w:tbl>
      <w:tblPr>
        <w:tblW w:w="0" w:type="auto"/>
        <w:jc w:val="center"/>
        <w:tblLook w:val="04A0" w:firstRow="1" w:lastRow="0" w:firstColumn="1" w:lastColumn="0" w:noHBand="0" w:noVBand="1"/>
      </w:tblPr>
      <w:tblGrid>
        <w:gridCol w:w="2548"/>
        <w:gridCol w:w="2243"/>
        <w:gridCol w:w="2636"/>
        <w:gridCol w:w="2252"/>
      </w:tblGrid>
      <w:tr w:rsidR="00485C6D">
        <w:trPr>
          <w:jc w:val="center"/>
        </w:trPr>
        <w:tc>
          <w:tcPr>
            <w:tcW w:w="2422" w:type="dxa"/>
            <w:tcBorders>
              <w:top w:val="single" w:sz="4" w:space="0" w:color="1A3A5C"/>
              <w:left w:val="single" w:sz="4" w:space="0" w:color="1A3A5C"/>
              <w:bottom w:val="single" w:sz="4" w:space="0" w:color="1A3A5C"/>
              <w:right w:val="single" w:sz="4" w:space="0" w:color="1A3A5C"/>
            </w:tcBorders>
            <w:shd w:val="clear" w:color="auto" w:fill="1A3A5C"/>
          </w:tcPr>
          <w:p w:rsidR="00485C6D" w:rsidRDefault="00000000">
            <w:pPr>
              <w:spacing w:before="40" w:after="40"/>
              <w:jc w:val="center"/>
            </w:pPr>
            <w:r>
              <w:rPr>
                <w:b/>
                <w:color w:val="FFFFFF"/>
                <w:sz w:val="22"/>
              </w:rPr>
              <w:t>Этап занятия</w:t>
            </w:r>
          </w:p>
        </w:tc>
        <w:tc>
          <w:tcPr>
            <w:tcW w:w="2422" w:type="dxa"/>
            <w:tcBorders>
              <w:top w:val="single" w:sz="4" w:space="0" w:color="1A3A5C"/>
              <w:left w:val="single" w:sz="4" w:space="0" w:color="1A3A5C"/>
              <w:bottom w:val="single" w:sz="4" w:space="0" w:color="1A3A5C"/>
              <w:right w:val="single" w:sz="4" w:space="0" w:color="1A3A5C"/>
            </w:tcBorders>
            <w:shd w:val="clear" w:color="auto" w:fill="1A3A5C"/>
          </w:tcPr>
          <w:p w:rsidR="00485C6D" w:rsidRDefault="00000000">
            <w:pPr>
              <w:spacing w:before="40" w:after="40"/>
              <w:jc w:val="center"/>
            </w:pPr>
            <w:r>
              <w:rPr>
                <w:b/>
                <w:color w:val="FFFFFF"/>
                <w:sz w:val="22"/>
              </w:rPr>
              <w:t>Длительность (мин)</w:t>
            </w:r>
          </w:p>
        </w:tc>
        <w:tc>
          <w:tcPr>
            <w:tcW w:w="2422" w:type="dxa"/>
            <w:tcBorders>
              <w:top w:val="single" w:sz="4" w:space="0" w:color="1A3A5C"/>
              <w:left w:val="single" w:sz="4" w:space="0" w:color="1A3A5C"/>
              <w:bottom w:val="single" w:sz="4" w:space="0" w:color="1A3A5C"/>
              <w:right w:val="single" w:sz="4" w:space="0" w:color="1A3A5C"/>
            </w:tcBorders>
            <w:shd w:val="clear" w:color="auto" w:fill="1A3A5C"/>
          </w:tcPr>
          <w:p w:rsidR="00485C6D" w:rsidRDefault="00000000">
            <w:pPr>
              <w:spacing w:before="40" w:after="40"/>
              <w:jc w:val="center"/>
            </w:pPr>
            <w:r>
              <w:rPr>
                <w:b/>
                <w:color w:val="FFFFFF"/>
                <w:sz w:val="22"/>
              </w:rPr>
              <w:t>Деятельность преподавателя</w:t>
            </w:r>
          </w:p>
        </w:tc>
        <w:tc>
          <w:tcPr>
            <w:tcW w:w="2422" w:type="dxa"/>
            <w:tcBorders>
              <w:top w:val="single" w:sz="4" w:space="0" w:color="1A3A5C"/>
              <w:left w:val="single" w:sz="4" w:space="0" w:color="1A3A5C"/>
              <w:bottom w:val="single" w:sz="4" w:space="0" w:color="1A3A5C"/>
              <w:right w:val="single" w:sz="4" w:space="0" w:color="1A3A5C"/>
            </w:tcBorders>
            <w:shd w:val="clear" w:color="auto" w:fill="1A3A5C"/>
          </w:tcPr>
          <w:p w:rsidR="00485C6D" w:rsidRDefault="00000000">
            <w:pPr>
              <w:spacing w:before="40" w:after="40"/>
              <w:jc w:val="center"/>
            </w:pPr>
            <w:r>
              <w:rPr>
                <w:b/>
                <w:color w:val="FFFFFF"/>
                <w:sz w:val="22"/>
              </w:rPr>
              <w:t>Деятельность студентов</w:t>
            </w:r>
          </w:p>
        </w:tc>
      </w:tr>
      <w:tr w:rsidR="00485C6D">
        <w:trPr>
          <w:jc w:val="center"/>
        </w:trPr>
        <w:tc>
          <w:tcPr>
            <w:tcW w:w="2422" w:type="dxa"/>
            <w:tcBorders>
              <w:top w:val="single" w:sz="4" w:space="0" w:color="1A3A5C"/>
              <w:left w:val="single" w:sz="4" w:space="0" w:color="1A3A5C"/>
              <w:bottom w:val="single" w:sz="4" w:space="0" w:color="1A3A5C"/>
              <w:right w:val="single" w:sz="4" w:space="0" w:color="1A3A5C"/>
            </w:tcBorders>
          </w:tcPr>
          <w:p w:rsidR="00485C6D" w:rsidRDefault="00000000">
            <w:pPr>
              <w:spacing w:before="40" w:after="40"/>
            </w:pPr>
            <w:r>
              <w:rPr>
                <w:sz w:val="22"/>
              </w:rPr>
              <w:t>Организационный момент</w:t>
            </w:r>
          </w:p>
        </w:tc>
        <w:tc>
          <w:tcPr>
            <w:tcW w:w="2422" w:type="dxa"/>
            <w:tcBorders>
              <w:top w:val="single" w:sz="4" w:space="0" w:color="1A3A5C"/>
              <w:left w:val="single" w:sz="4" w:space="0" w:color="1A3A5C"/>
              <w:bottom w:val="single" w:sz="4" w:space="0" w:color="1A3A5C"/>
              <w:right w:val="single" w:sz="4" w:space="0" w:color="1A3A5C"/>
            </w:tcBorders>
          </w:tcPr>
          <w:p w:rsidR="00485C6D" w:rsidRDefault="00000000">
            <w:pPr>
              <w:spacing w:before="40" w:after="40"/>
              <w:jc w:val="right"/>
            </w:pPr>
            <w:r>
              <w:rPr>
                <w:sz w:val="22"/>
              </w:rPr>
              <w:t>2</w:t>
            </w:r>
          </w:p>
        </w:tc>
        <w:tc>
          <w:tcPr>
            <w:tcW w:w="2422" w:type="dxa"/>
            <w:tcBorders>
              <w:top w:val="single" w:sz="4" w:space="0" w:color="1A3A5C"/>
              <w:left w:val="single" w:sz="4" w:space="0" w:color="1A3A5C"/>
              <w:bottom w:val="single" w:sz="4" w:space="0" w:color="1A3A5C"/>
              <w:right w:val="single" w:sz="4" w:space="0" w:color="1A3A5C"/>
            </w:tcBorders>
          </w:tcPr>
          <w:p w:rsidR="00485C6D" w:rsidRDefault="00000000">
            <w:pPr>
              <w:spacing w:before="40" w:after="40"/>
              <w:jc w:val="right"/>
            </w:pPr>
            <w:r>
              <w:rPr>
                <w:sz w:val="22"/>
              </w:rPr>
              <w:t>Приветствие, объявление темы</w:t>
            </w:r>
          </w:p>
        </w:tc>
        <w:tc>
          <w:tcPr>
            <w:tcW w:w="2422" w:type="dxa"/>
            <w:tcBorders>
              <w:top w:val="single" w:sz="4" w:space="0" w:color="1A3A5C"/>
              <w:left w:val="single" w:sz="4" w:space="0" w:color="1A3A5C"/>
              <w:bottom w:val="single" w:sz="4" w:space="0" w:color="1A3A5C"/>
              <w:right w:val="single" w:sz="4" w:space="0" w:color="1A3A5C"/>
            </w:tcBorders>
          </w:tcPr>
          <w:p w:rsidR="00485C6D" w:rsidRDefault="00000000">
            <w:pPr>
              <w:spacing w:before="40" w:after="40"/>
              <w:jc w:val="right"/>
            </w:pPr>
            <w:r>
              <w:rPr>
                <w:sz w:val="22"/>
              </w:rPr>
              <w:t>Настрой на работу</w:t>
            </w:r>
          </w:p>
        </w:tc>
      </w:tr>
      <w:tr w:rsidR="00485C6D">
        <w:trPr>
          <w:jc w:val="center"/>
        </w:trPr>
        <w:tc>
          <w:tcPr>
            <w:tcW w:w="2422" w:type="dxa"/>
            <w:tcBorders>
              <w:top w:val="single" w:sz="4" w:space="0" w:color="1A3A5C"/>
              <w:left w:val="single" w:sz="4" w:space="0" w:color="1A3A5C"/>
              <w:bottom w:val="single" w:sz="4" w:space="0" w:color="1A3A5C"/>
              <w:right w:val="single" w:sz="4" w:space="0" w:color="1A3A5C"/>
            </w:tcBorders>
            <w:shd w:val="clear" w:color="auto" w:fill="F0F4F8"/>
          </w:tcPr>
          <w:p w:rsidR="00485C6D" w:rsidRDefault="00000000">
            <w:pPr>
              <w:spacing w:before="40" w:after="40"/>
            </w:pPr>
            <w:r>
              <w:rPr>
                <w:sz w:val="22"/>
              </w:rPr>
              <w:t>Введение в кейс</w:t>
            </w:r>
          </w:p>
        </w:tc>
        <w:tc>
          <w:tcPr>
            <w:tcW w:w="2422" w:type="dxa"/>
            <w:tcBorders>
              <w:top w:val="single" w:sz="4" w:space="0" w:color="1A3A5C"/>
              <w:left w:val="single" w:sz="4" w:space="0" w:color="1A3A5C"/>
              <w:bottom w:val="single" w:sz="4" w:space="0" w:color="1A3A5C"/>
              <w:right w:val="single" w:sz="4" w:space="0" w:color="1A3A5C"/>
            </w:tcBorders>
            <w:shd w:val="clear" w:color="auto" w:fill="F0F4F8"/>
          </w:tcPr>
          <w:p w:rsidR="00485C6D" w:rsidRDefault="00000000">
            <w:pPr>
              <w:spacing w:before="40" w:after="40"/>
              <w:jc w:val="right"/>
            </w:pPr>
            <w:r>
              <w:rPr>
                <w:sz w:val="22"/>
              </w:rPr>
              <w:t>8</w:t>
            </w:r>
          </w:p>
        </w:tc>
        <w:tc>
          <w:tcPr>
            <w:tcW w:w="2422" w:type="dxa"/>
            <w:tcBorders>
              <w:top w:val="single" w:sz="4" w:space="0" w:color="1A3A5C"/>
              <w:left w:val="single" w:sz="4" w:space="0" w:color="1A3A5C"/>
              <w:bottom w:val="single" w:sz="4" w:space="0" w:color="1A3A5C"/>
              <w:right w:val="single" w:sz="4" w:space="0" w:color="1A3A5C"/>
            </w:tcBorders>
            <w:shd w:val="clear" w:color="auto" w:fill="F0F4F8"/>
          </w:tcPr>
          <w:p w:rsidR="00485C6D" w:rsidRDefault="00000000">
            <w:pPr>
              <w:spacing w:before="40" w:after="40"/>
              <w:jc w:val="right"/>
            </w:pPr>
            <w:r>
              <w:rPr>
                <w:sz w:val="22"/>
              </w:rPr>
              <w:t>Предоставление описания ситуации, постановка проблемы</w:t>
            </w:r>
          </w:p>
        </w:tc>
        <w:tc>
          <w:tcPr>
            <w:tcW w:w="2422" w:type="dxa"/>
            <w:tcBorders>
              <w:top w:val="single" w:sz="4" w:space="0" w:color="1A3A5C"/>
              <w:left w:val="single" w:sz="4" w:space="0" w:color="1A3A5C"/>
              <w:bottom w:val="single" w:sz="4" w:space="0" w:color="1A3A5C"/>
              <w:right w:val="single" w:sz="4" w:space="0" w:color="1A3A5C"/>
            </w:tcBorders>
            <w:shd w:val="clear" w:color="auto" w:fill="F0F4F8"/>
          </w:tcPr>
          <w:p w:rsidR="00485C6D" w:rsidRDefault="00000000">
            <w:pPr>
              <w:spacing w:before="40" w:after="40"/>
              <w:jc w:val="right"/>
            </w:pPr>
            <w:r>
              <w:rPr>
                <w:sz w:val="22"/>
              </w:rPr>
              <w:t>Чтение кейса, уточнение вопросов</w:t>
            </w:r>
          </w:p>
        </w:tc>
      </w:tr>
      <w:tr w:rsidR="00485C6D">
        <w:trPr>
          <w:jc w:val="center"/>
        </w:trPr>
        <w:tc>
          <w:tcPr>
            <w:tcW w:w="2422" w:type="dxa"/>
            <w:tcBorders>
              <w:top w:val="single" w:sz="4" w:space="0" w:color="1A3A5C"/>
              <w:left w:val="single" w:sz="4" w:space="0" w:color="1A3A5C"/>
              <w:bottom w:val="single" w:sz="4" w:space="0" w:color="1A3A5C"/>
              <w:right w:val="single" w:sz="4" w:space="0" w:color="1A3A5C"/>
            </w:tcBorders>
          </w:tcPr>
          <w:p w:rsidR="00485C6D" w:rsidRDefault="00000000">
            <w:pPr>
              <w:spacing w:before="40" w:after="40"/>
            </w:pPr>
            <w:r>
              <w:rPr>
                <w:sz w:val="22"/>
              </w:rPr>
              <w:t>Работа в группах</w:t>
            </w:r>
          </w:p>
        </w:tc>
        <w:tc>
          <w:tcPr>
            <w:tcW w:w="2422" w:type="dxa"/>
            <w:tcBorders>
              <w:top w:val="single" w:sz="4" w:space="0" w:color="1A3A5C"/>
              <w:left w:val="single" w:sz="4" w:space="0" w:color="1A3A5C"/>
              <w:bottom w:val="single" w:sz="4" w:space="0" w:color="1A3A5C"/>
              <w:right w:val="single" w:sz="4" w:space="0" w:color="1A3A5C"/>
            </w:tcBorders>
          </w:tcPr>
          <w:p w:rsidR="00485C6D" w:rsidRDefault="00000000">
            <w:pPr>
              <w:spacing w:before="40" w:after="40"/>
              <w:jc w:val="right"/>
            </w:pPr>
            <w:r>
              <w:rPr>
                <w:sz w:val="22"/>
              </w:rPr>
              <w:t>20</w:t>
            </w:r>
          </w:p>
        </w:tc>
        <w:tc>
          <w:tcPr>
            <w:tcW w:w="2422" w:type="dxa"/>
            <w:tcBorders>
              <w:top w:val="single" w:sz="4" w:space="0" w:color="1A3A5C"/>
              <w:left w:val="single" w:sz="4" w:space="0" w:color="1A3A5C"/>
              <w:bottom w:val="single" w:sz="4" w:space="0" w:color="1A3A5C"/>
              <w:right w:val="single" w:sz="4" w:space="0" w:color="1A3A5C"/>
            </w:tcBorders>
          </w:tcPr>
          <w:p w:rsidR="00485C6D" w:rsidRDefault="00000000">
            <w:pPr>
              <w:spacing w:before="40" w:after="40"/>
              <w:jc w:val="right"/>
            </w:pPr>
            <w:r>
              <w:rPr>
                <w:sz w:val="22"/>
              </w:rPr>
              <w:t>Консультирование, направление дискуссии</w:t>
            </w:r>
          </w:p>
        </w:tc>
        <w:tc>
          <w:tcPr>
            <w:tcW w:w="2422" w:type="dxa"/>
            <w:tcBorders>
              <w:top w:val="single" w:sz="4" w:space="0" w:color="1A3A5C"/>
              <w:left w:val="single" w:sz="4" w:space="0" w:color="1A3A5C"/>
              <w:bottom w:val="single" w:sz="4" w:space="0" w:color="1A3A5C"/>
              <w:right w:val="single" w:sz="4" w:space="0" w:color="1A3A5C"/>
            </w:tcBorders>
          </w:tcPr>
          <w:p w:rsidR="00485C6D" w:rsidRDefault="00000000">
            <w:pPr>
              <w:spacing w:before="40" w:after="40"/>
              <w:jc w:val="right"/>
            </w:pPr>
            <w:r>
              <w:rPr>
                <w:sz w:val="22"/>
              </w:rPr>
              <w:t>Анализ данных, выбор метода, расчеты</w:t>
            </w:r>
          </w:p>
        </w:tc>
      </w:tr>
      <w:tr w:rsidR="00485C6D">
        <w:trPr>
          <w:jc w:val="center"/>
        </w:trPr>
        <w:tc>
          <w:tcPr>
            <w:tcW w:w="2422" w:type="dxa"/>
            <w:tcBorders>
              <w:top w:val="single" w:sz="4" w:space="0" w:color="1A3A5C"/>
              <w:left w:val="single" w:sz="4" w:space="0" w:color="1A3A5C"/>
              <w:bottom w:val="single" w:sz="4" w:space="0" w:color="1A3A5C"/>
              <w:right w:val="single" w:sz="4" w:space="0" w:color="1A3A5C"/>
            </w:tcBorders>
            <w:shd w:val="clear" w:color="auto" w:fill="F0F4F8"/>
          </w:tcPr>
          <w:p w:rsidR="00485C6D" w:rsidRDefault="00000000">
            <w:pPr>
              <w:spacing w:before="40" w:after="40"/>
            </w:pPr>
            <w:r>
              <w:rPr>
                <w:sz w:val="22"/>
              </w:rPr>
              <w:t>Презентация решений</w:t>
            </w:r>
          </w:p>
        </w:tc>
        <w:tc>
          <w:tcPr>
            <w:tcW w:w="2422" w:type="dxa"/>
            <w:tcBorders>
              <w:top w:val="single" w:sz="4" w:space="0" w:color="1A3A5C"/>
              <w:left w:val="single" w:sz="4" w:space="0" w:color="1A3A5C"/>
              <w:bottom w:val="single" w:sz="4" w:space="0" w:color="1A3A5C"/>
              <w:right w:val="single" w:sz="4" w:space="0" w:color="1A3A5C"/>
            </w:tcBorders>
            <w:shd w:val="clear" w:color="auto" w:fill="F0F4F8"/>
          </w:tcPr>
          <w:p w:rsidR="00485C6D" w:rsidRDefault="00000000">
            <w:pPr>
              <w:spacing w:before="40" w:after="40"/>
              <w:jc w:val="right"/>
            </w:pPr>
            <w:r>
              <w:rPr>
                <w:sz w:val="22"/>
              </w:rPr>
              <w:t>15</w:t>
            </w:r>
          </w:p>
        </w:tc>
        <w:tc>
          <w:tcPr>
            <w:tcW w:w="2422" w:type="dxa"/>
            <w:tcBorders>
              <w:top w:val="single" w:sz="4" w:space="0" w:color="1A3A5C"/>
              <w:left w:val="single" w:sz="4" w:space="0" w:color="1A3A5C"/>
              <w:bottom w:val="single" w:sz="4" w:space="0" w:color="1A3A5C"/>
              <w:right w:val="single" w:sz="4" w:space="0" w:color="1A3A5C"/>
            </w:tcBorders>
            <w:shd w:val="clear" w:color="auto" w:fill="F0F4F8"/>
          </w:tcPr>
          <w:p w:rsidR="00485C6D" w:rsidRDefault="00000000">
            <w:pPr>
              <w:spacing w:before="40" w:after="40"/>
              <w:jc w:val="right"/>
            </w:pPr>
            <w:r>
              <w:rPr>
                <w:sz w:val="22"/>
              </w:rPr>
              <w:t>Организация обсуждения, фиксация результатов</w:t>
            </w:r>
          </w:p>
        </w:tc>
        <w:tc>
          <w:tcPr>
            <w:tcW w:w="2422" w:type="dxa"/>
            <w:tcBorders>
              <w:top w:val="single" w:sz="4" w:space="0" w:color="1A3A5C"/>
              <w:left w:val="single" w:sz="4" w:space="0" w:color="1A3A5C"/>
              <w:bottom w:val="single" w:sz="4" w:space="0" w:color="1A3A5C"/>
              <w:right w:val="single" w:sz="4" w:space="0" w:color="1A3A5C"/>
            </w:tcBorders>
            <w:shd w:val="clear" w:color="auto" w:fill="F0F4F8"/>
          </w:tcPr>
          <w:p w:rsidR="00485C6D" w:rsidRDefault="00000000">
            <w:pPr>
              <w:spacing w:before="40" w:after="40"/>
              <w:jc w:val="right"/>
            </w:pPr>
            <w:r>
              <w:rPr>
                <w:sz w:val="22"/>
              </w:rPr>
              <w:t>Представление решения, ответы на вопросы</w:t>
            </w:r>
          </w:p>
        </w:tc>
      </w:tr>
      <w:tr w:rsidR="00485C6D">
        <w:trPr>
          <w:jc w:val="center"/>
        </w:trPr>
        <w:tc>
          <w:tcPr>
            <w:tcW w:w="2422" w:type="dxa"/>
            <w:tcBorders>
              <w:top w:val="single" w:sz="4" w:space="0" w:color="1A3A5C"/>
              <w:left w:val="single" w:sz="4" w:space="0" w:color="1A3A5C"/>
              <w:bottom w:val="single" w:sz="4" w:space="0" w:color="1A3A5C"/>
              <w:right w:val="single" w:sz="4" w:space="0" w:color="1A3A5C"/>
            </w:tcBorders>
          </w:tcPr>
          <w:p w:rsidR="00485C6D" w:rsidRDefault="00000000">
            <w:pPr>
              <w:spacing w:before="40" w:after="40"/>
            </w:pPr>
            <w:r>
              <w:rPr>
                <w:sz w:val="22"/>
              </w:rPr>
              <w:t>Подведение итогов</w:t>
            </w:r>
          </w:p>
        </w:tc>
        <w:tc>
          <w:tcPr>
            <w:tcW w:w="2422" w:type="dxa"/>
            <w:tcBorders>
              <w:top w:val="single" w:sz="4" w:space="0" w:color="1A3A5C"/>
              <w:left w:val="single" w:sz="4" w:space="0" w:color="1A3A5C"/>
              <w:bottom w:val="single" w:sz="4" w:space="0" w:color="1A3A5C"/>
              <w:right w:val="single" w:sz="4" w:space="0" w:color="1A3A5C"/>
            </w:tcBorders>
          </w:tcPr>
          <w:p w:rsidR="00485C6D" w:rsidRDefault="00000000">
            <w:pPr>
              <w:spacing w:before="40" w:after="40"/>
              <w:jc w:val="right"/>
            </w:pPr>
            <w:r>
              <w:rPr>
                <w:sz w:val="22"/>
              </w:rPr>
              <w:t>5</w:t>
            </w:r>
          </w:p>
        </w:tc>
        <w:tc>
          <w:tcPr>
            <w:tcW w:w="2422" w:type="dxa"/>
            <w:tcBorders>
              <w:top w:val="single" w:sz="4" w:space="0" w:color="1A3A5C"/>
              <w:left w:val="single" w:sz="4" w:space="0" w:color="1A3A5C"/>
              <w:bottom w:val="single" w:sz="4" w:space="0" w:color="1A3A5C"/>
              <w:right w:val="single" w:sz="4" w:space="0" w:color="1A3A5C"/>
            </w:tcBorders>
          </w:tcPr>
          <w:p w:rsidR="00485C6D" w:rsidRDefault="00000000">
            <w:pPr>
              <w:spacing w:before="40" w:after="40"/>
              <w:jc w:val="right"/>
            </w:pPr>
            <w:r>
              <w:rPr>
                <w:sz w:val="22"/>
              </w:rPr>
              <w:t xml:space="preserve">Анализ ошибок, формулировка выводов, выставление </w:t>
            </w:r>
            <w:r>
              <w:rPr>
                <w:sz w:val="22"/>
              </w:rPr>
              <w:lastRenderedPageBreak/>
              <w:t>оценок</w:t>
            </w:r>
          </w:p>
        </w:tc>
        <w:tc>
          <w:tcPr>
            <w:tcW w:w="2422" w:type="dxa"/>
            <w:tcBorders>
              <w:top w:val="single" w:sz="4" w:space="0" w:color="1A3A5C"/>
              <w:left w:val="single" w:sz="4" w:space="0" w:color="1A3A5C"/>
              <w:bottom w:val="single" w:sz="4" w:space="0" w:color="1A3A5C"/>
              <w:right w:val="single" w:sz="4" w:space="0" w:color="1A3A5C"/>
            </w:tcBorders>
          </w:tcPr>
          <w:p w:rsidR="00485C6D" w:rsidRDefault="00000000">
            <w:pPr>
              <w:spacing w:before="40" w:after="40"/>
              <w:jc w:val="right"/>
            </w:pPr>
            <w:r>
              <w:rPr>
                <w:sz w:val="22"/>
              </w:rPr>
              <w:lastRenderedPageBreak/>
              <w:t>Самооценка, рефлексия</w:t>
            </w:r>
          </w:p>
        </w:tc>
      </w:tr>
    </w:tbl>
    <w:p w:rsidR="00485C6D" w:rsidRDefault="00485C6D">
      <w:pPr>
        <w:spacing w:before="80" w:after="80" w:line="240" w:lineRule="auto"/>
        <w:ind w:firstLine="0"/>
      </w:pPr>
    </w:p>
    <w:p w:rsidR="00485C6D" w:rsidRDefault="00000000">
      <w:pPr>
        <w:spacing w:line="240" w:lineRule="auto"/>
        <w:ind w:firstLine="0"/>
        <w:jc w:val="center"/>
      </w:pPr>
      <w:r>
        <w:rPr>
          <w:i/>
          <w:color w:val="6B6B6B"/>
          <w:sz w:val="22"/>
        </w:rPr>
        <w:t>Таблица 1</w:t>
      </w:r>
    </w:p>
    <w:p w:rsidR="00485C6D" w:rsidRDefault="00000000">
      <w:pPr>
        <w:pStyle w:val="21"/>
      </w:pPr>
      <w:r>
        <w:rPr>
          <w:rFonts w:ascii="Times New Roman" w:hAnsi="Times New Roman"/>
        </w:rPr>
        <w:t>Заключение</w:t>
      </w:r>
    </w:p>
    <w:p w:rsidR="00485C6D" w:rsidRDefault="00000000">
      <w:r>
        <w:t>Роль математики в подготовке современного специалиста невозможно переоценить. Она является не только фундаментом для изучения специальных дисциплин, но и средством развития интеллектуальных способностей, необходимых для успешной профессиональной деятельности в условиях цифровой экономики. Однако традиционные методы обучения не всегда позволяют достичь желаемого уровня математической компетентности из-за снижения мотивации и недостаточной связи теории с практикой.</w:t>
      </w:r>
    </w:p>
    <w:p w:rsidR="00485C6D" w:rsidRDefault="00000000">
      <w:r>
        <w:t>Применение современных методик — проблемного обучения, кейс-метода, информационно-коммуникационных технологий и проектной деятельности — является эффективным средством повышения уровня математической подготовки. Эти методы позволяют активизировать познавательную деятельность студентов, сформировать у них устойчивый интерес к предмету, развить навыки анализа, моделирования и принятия решений.</w:t>
      </w:r>
    </w:p>
    <w:p w:rsidR="00485C6D" w:rsidRDefault="00000000">
      <w:r>
        <w:t>Для успешного внедрения этих методик требуется комплексный подход, включающий модернизацию учебных программ, повышение квалификации преподавателей, улучшение материально-технической базы и адаптацию системы оценивания. Только в этом случае математическая подготовка сможет соответствовать вызовам современного общества и обеспечить выпуск вузам конкурентоспособными специалистами, готовыми к решению сложных профессиональных задач.</w:t>
      </w:r>
    </w:p>
    <w:p w:rsidR="00485C6D" w:rsidRDefault="00000000">
      <w:pPr>
        <w:pStyle w:val="21"/>
      </w:pPr>
      <w:r>
        <w:rPr>
          <w:rFonts w:ascii="Times New Roman" w:hAnsi="Times New Roman"/>
        </w:rPr>
        <w:lastRenderedPageBreak/>
        <w:t>Список литературы</w:t>
      </w:r>
    </w:p>
    <w:p w:rsidR="00485C6D" w:rsidRDefault="00000000">
      <w:pPr>
        <w:pStyle w:val="a"/>
        <w:ind w:firstLine="0"/>
      </w:pPr>
      <w:r>
        <w:t>Выготский Л.С. Мышление и речь. — М.: Лабиринт, 1999. — 352 с.</w:t>
      </w:r>
    </w:p>
    <w:p w:rsidR="00485C6D" w:rsidRDefault="00000000">
      <w:pPr>
        <w:pStyle w:val="a"/>
        <w:ind w:firstLine="0"/>
      </w:pPr>
      <w:r>
        <w:t>Леонтьев А.Н. Деятельность. Сознание. Личность. — М.: Политиздат, 1975. — 304 с.</w:t>
      </w:r>
    </w:p>
    <w:p w:rsidR="00485C6D" w:rsidRDefault="00000000">
      <w:pPr>
        <w:pStyle w:val="a"/>
        <w:ind w:firstLine="0"/>
      </w:pPr>
      <w:r>
        <w:t>Рубинштейн С.Л. Основы общей психологии. — СПб.: Питер, 2002. — 720 с.</w:t>
      </w:r>
    </w:p>
    <w:p w:rsidR="00485C6D" w:rsidRDefault="00000000">
      <w:pPr>
        <w:pStyle w:val="a"/>
        <w:ind w:firstLine="0"/>
      </w:pPr>
      <w:r>
        <w:t>Эльконин Д.Б. Психология обучения младшего школьника. — М.: Знание, 1974. — 64 с.</w:t>
      </w:r>
    </w:p>
    <w:p w:rsidR="00485C6D" w:rsidRDefault="00000000">
      <w:pPr>
        <w:pStyle w:val="a"/>
        <w:ind w:firstLine="0"/>
      </w:pPr>
      <w:r>
        <w:t>Асмолов А.Г. Психология личности: культурно-историческое понимание развития человека. — М.: Смысл, 2007. — 528 с.</w:t>
      </w:r>
    </w:p>
    <w:p w:rsidR="00485C6D" w:rsidRDefault="00000000">
      <w:pPr>
        <w:pStyle w:val="a"/>
        <w:ind w:firstLine="0"/>
      </w:pPr>
      <w:r>
        <w:t>Кудрявцев В.Т. Проблемное обучение: истоки, сущность, перспективы. — М.: Знание, 1991. — 80 с.</w:t>
      </w:r>
    </w:p>
    <w:p w:rsidR="00485C6D" w:rsidRDefault="00000000">
      <w:pPr>
        <w:pStyle w:val="a"/>
        <w:ind w:firstLine="0"/>
      </w:pPr>
      <w:r>
        <w:t>Педагогика и психология высшей школы: современное состояние и перспективы развития: сборник научных трудов. — М.: Изд-во МГУ, 2023. — 180 с.</w:t>
      </w:r>
    </w:p>
    <w:p w:rsidR="00485C6D" w:rsidRDefault="00000000">
      <w:pPr>
        <w:pStyle w:val="a"/>
        <w:ind w:firstLine="0"/>
      </w:pPr>
      <w:r>
        <w:t>Инновационные методы обучения в высшей школе: материалы международной конференции. — СПб.: Изд-во СПбГУ, 2022. — 250 с.</w:t>
      </w:r>
    </w:p>
    <w:p w:rsidR="00485C6D" w:rsidRDefault="00000000">
      <w:pPr>
        <w:pStyle w:val="a"/>
        <w:ind w:firstLine="0"/>
      </w:pPr>
      <w:r>
        <w:t>Математическое образование в условиях цифровой трансформации: проблемы и решения: журнал. — 2023. — N 2. — С. 15-28.</w:t>
      </w:r>
    </w:p>
    <w:p w:rsidR="00485C6D" w:rsidRDefault="00000000">
      <w:pPr>
        <w:pStyle w:val="a"/>
        <w:ind w:firstLine="0"/>
      </w:pPr>
      <w:r>
        <w:t>Современные образовательные технологии в вузе: монография / под ред. И.В. Гребенщикова. — М.: Юрайт, 2021. — 350 с.</w:t>
      </w:r>
    </w:p>
    <w:p w:rsidR="00485C6D" w:rsidRDefault="00000000">
      <w:pPr>
        <w:pStyle w:val="a"/>
        <w:ind w:firstLine="0"/>
      </w:pPr>
      <w:r>
        <w:t>Федеральный государственный образовательный стандарт высшего образования (ФГОС ВО 3++). — М.: Министерство науки и высшего образования РФ, 2020.</w:t>
      </w:r>
    </w:p>
    <w:sectPr w:rsidR="00485C6D" w:rsidSect="00034616">
      <w:headerReference w:type="default" r:id="rId8"/>
      <w:footerReference w:type="default" r:id="rId9"/>
      <w:pgSz w:w="12240" w:h="15840"/>
      <w:pgMar w:top="1134" w:right="1134"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276D" w:rsidRDefault="001E276D">
      <w:pPr>
        <w:spacing w:after="0" w:line="240" w:lineRule="auto"/>
      </w:pPr>
      <w:r>
        <w:separator/>
      </w:r>
    </w:p>
  </w:endnote>
  <w:endnote w:type="continuationSeparator" w:id="0">
    <w:p w:rsidR="001E276D" w:rsidRDefault="001E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C6D" w:rsidRDefault="00000000">
    <w:pPr>
      <w:pStyle w:val="a7"/>
      <w:pBdr>
        <w:top w:val="single" w:sz="4" w:space="4" w:color="1A3A5C"/>
      </w:pBdr>
      <w:ind w:firstLine="0"/>
      <w:jc w:val="center"/>
    </w:pPr>
    <w:r>
      <w:rPr>
        <w:color w:val="6B6B6B"/>
        <w:sz w:val="20"/>
      </w:rPr>
      <w:t xml:space="preserve">Страница </w:t>
    </w:r>
    <w:r>
      <w:rPr>
        <w:color w:val="6B6B6B"/>
        <w:sz w:val="20"/>
      </w:rPr>
      <w:fldChar w:fldCharType="begin"/>
    </w:r>
    <w:r>
      <w:rPr>
        <w:color w:val="6B6B6B"/>
        <w:sz w:val="20"/>
      </w:rPr>
      <w:instrText xml:space="preserve"> PAGE </w:instrText>
    </w:r>
    <w:r w:rsidR="00374047">
      <w:rPr>
        <w:color w:val="6B6B6B"/>
        <w:sz w:val="20"/>
      </w:rPr>
      <w:fldChar w:fldCharType="separate"/>
    </w:r>
    <w:r w:rsidR="00374047">
      <w:rPr>
        <w:noProof/>
        <w:color w:val="6B6B6B"/>
        <w:sz w:val="20"/>
      </w:rPr>
      <w:t>1</w:t>
    </w:r>
    <w:r>
      <w:rPr>
        <w:color w:val="6B6B6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276D" w:rsidRDefault="001E276D">
      <w:pPr>
        <w:spacing w:after="0" w:line="240" w:lineRule="auto"/>
      </w:pPr>
      <w:r>
        <w:separator/>
      </w:r>
    </w:p>
  </w:footnote>
  <w:footnote w:type="continuationSeparator" w:id="0">
    <w:p w:rsidR="001E276D" w:rsidRDefault="001E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C6D" w:rsidRDefault="00000000">
    <w:pPr>
      <w:pStyle w:val="a5"/>
      <w:pBdr>
        <w:bottom w:val="single" w:sz="4" w:space="4" w:color="1A3A5C"/>
      </w:pBdr>
      <w:ind w:firstLine="0"/>
      <w:jc w:val="center"/>
    </w:pPr>
    <w:r>
      <w:rPr>
        <w:i/>
        <w:color w:val="6B6B6B"/>
        <w:sz w:val="20"/>
      </w:rPr>
      <w:t>Роль математики в подготовке современного специалиста, применение современных методик как средство повышения уровня математической подготовки обучающихся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5658990">
    <w:abstractNumId w:val="8"/>
  </w:num>
  <w:num w:numId="2" w16cid:durableId="1591888875">
    <w:abstractNumId w:val="6"/>
  </w:num>
  <w:num w:numId="3" w16cid:durableId="1732074220">
    <w:abstractNumId w:val="5"/>
  </w:num>
  <w:num w:numId="4" w16cid:durableId="632947940">
    <w:abstractNumId w:val="4"/>
  </w:num>
  <w:num w:numId="5" w16cid:durableId="2016567801">
    <w:abstractNumId w:val="7"/>
  </w:num>
  <w:num w:numId="6" w16cid:durableId="1566842099">
    <w:abstractNumId w:val="3"/>
  </w:num>
  <w:num w:numId="7" w16cid:durableId="1695039145">
    <w:abstractNumId w:val="2"/>
  </w:num>
  <w:num w:numId="8" w16cid:durableId="1657883192">
    <w:abstractNumId w:val="1"/>
  </w:num>
  <w:num w:numId="9" w16cid:durableId="74044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276D"/>
    <w:rsid w:val="0029639D"/>
    <w:rsid w:val="00326F90"/>
    <w:rsid w:val="00374047"/>
    <w:rsid w:val="00485C6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8055EAF-2C89-3740-A8D4-E1F8A331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line="360" w:lineRule="auto"/>
      <w:ind w:firstLine="709"/>
    </w:pPr>
    <w:rPr>
      <w:rFonts w:ascii="Times New Roman" w:eastAsia="Times New Roman" w:hAnsi="Times New Roman"/>
      <w:color w:val="2D2D2D"/>
      <w:sz w:val="28"/>
    </w:rPr>
  </w:style>
  <w:style w:type="paragraph" w:styleId="1">
    <w:name w:val="heading 1"/>
    <w:basedOn w:val="a1"/>
    <w:next w:val="a1"/>
    <w:link w:val="10"/>
    <w:uiPriority w:val="9"/>
    <w:qFormat/>
    <w:rsid w:val="00FC693F"/>
    <w:pPr>
      <w:keepNext/>
      <w:keepLines/>
      <w:spacing w:before="480" w:after="200" w:line="276" w:lineRule="auto"/>
      <w:ind w:firstLine="0"/>
      <w:jc w:val="center"/>
      <w:outlineLvl w:val="0"/>
    </w:pPr>
    <w:rPr>
      <w:rFonts w:asciiTheme="majorHAnsi" w:eastAsiaTheme="majorEastAsia" w:hAnsiTheme="majorHAnsi" w:cstheme="majorBidi"/>
      <w:b/>
      <w:bCs/>
      <w:color w:val="1A3A5C"/>
      <w:sz w:val="36"/>
      <w:szCs w:val="28"/>
    </w:rPr>
  </w:style>
  <w:style w:type="paragraph" w:styleId="21">
    <w:name w:val="heading 2"/>
    <w:basedOn w:val="a1"/>
    <w:next w:val="a1"/>
    <w:link w:val="22"/>
    <w:uiPriority w:val="9"/>
    <w:unhideWhenUsed/>
    <w:qFormat/>
    <w:rsid w:val="00FC693F"/>
    <w:pPr>
      <w:keepNext/>
      <w:keepLines/>
      <w:spacing w:before="480" w:after="200" w:line="276" w:lineRule="auto"/>
      <w:ind w:firstLine="0"/>
      <w:outlineLvl w:val="1"/>
    </w:pPr>
    <w:rPr>
      <w:rFonts w:asciiTheme="majorHAnsi" w:eastAsiaTheme="majorEastAsia" w:hAnsiTheme="majorHAnsi" w:cstheme="majorBidi"/>
      <w:b/>
      <w:bCs/>
      <w:color w:val="C95A2B"/>
      <w:sz w:val="30"/>
      <w:szCs w:val="26"/>
    </w:rPr>
  </w:style>
  <w:style w:type="paragraph" w:styleId="31">
    <w:name w:val="heading 3"/>
    <w:basedOn w:val="a1"/>
    <w:next w:val="a1"/>
    <w:link w:val="32"/>
    <w:uiPriority w:val="9"/>
    <w:unhideWhenUsed/>
    <w:qFormat/>
    <w:rsid w:val="00FC693F"/>
    <w:pPr>
      <w:keepNext/>
      <w:keepLines/>
      <w:spacing w:before="480" w:after="200" w:line="276" w:lineRule="auto"/>
      <w:ind w:firstLine="0"/>
      <w:outlineLvl w:val="2"/>
    </w:pPr>
    <w:rPr>
      <w:rFonts w:asciiTheme="majorHAnsi" w:eastAsiaTheme="majorEastAsia" w:hAnsiTheme="majorHAnsi" w:cstheme="majorBidi"/>
      <w:b/>
      <w:bCs/>
      <w:i/>
      <w:color w:val="1A3A5C"/>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Tatyana Ermakova</cp:lastModifiedBy>
  <cp:revision>2</cp:revision>
  <dcterms:created xsi:type="dcterms:W3CDTF">2026-05-17T14:17:00Z</dcterms:created>
  <dcterms:modified xsi:type="dcterms:W3CDTF">2026-05-17T14:17:00Z</dcterms:modified>
  <cp:category/>
</cp:coreProperties>
</file>