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4E709">
      <w:pPr>
        <w:jc w:val="center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«Малые фольклорные жанры как средство социально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коммуникативного развития детей раннего возраста (2–3 года)»</w:t>
      </w:r>
    </w:p>
    <w:p w14:paraId="5E6B74BA">
      <w:pPr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523E0367">
      <w:pPr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Воспитатель: Глушковская Ольга Анатольевна</w:t>
      </w:r>
    </w:p>
    <w:p w14:paraId="2B7FC454">
      <w:pPr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Каадеркина Наталья сергеевна</w:t>
      </w:r>
    </w:p>
    <w:p w14:paraId="262B03BB">
      <w:pPr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610782CE">
      <w:pPr>
        <w:rPr>
          <w:rFonts w:hint="default" w:ascii="Times New Roman" w:hAnsi="Times New Roman" w:cs="Times New Roman"/>
          <w:b w:val="0"/>
          <w:bCs w:val="0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ru-RU"/>
        </w:rPr>
        <w:t>Вступление</w:t>
      </w:r>
    </w:p>
    <w:p w14:paraId="5A26556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Уважаемые коллеги! Сегодня мы хотим поговорить с вами о том, как малые фольклорные жанры могут стать эффективным инструментом социально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коммуникативного развития детей 2–3 лет. Эта тема особенно актуальна, потому что именно в раннем возрасте закладываются основы взаимодействия ребёнка с окружающим миром, формируются первые социальные навыки и эмоциональный интеллект.</w:t>
      </w:r>
    </w:p>
    <w:p w14:paraId="55CDB7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22E08C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702" w:firstLineChars="333"/>
        <w:jc w:val="both"/>
        <w:textAlignment w:val="auto"/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Социально</w:t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b/>
          <w:bCs/>
          <w:sz w:val="21"/>
          <w:szCs w:val="21"/>
          <w:lang w:val="ru-RU"/>
        </w:rPr>
        <w:t>коммуникативное развитие в раннем возрасте: ключевые задачи</w:t>
      </w:r>
    </w:p>
    <w:p w14:paraId="5DF3EB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Социально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коммуникативное развитие детей 2–3 лет — это не только развитие речи, но и целый комплекс задач:</w:t>
      </w:r>
    </w:p>
    <w:p w14:paraId="381BD8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усвоение элементарных норм и правил поведения;</w:t>
      </w:r>
    </w:p>
    <w:p w14:paraId="7F3724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освоение навыков общения и взаимодействия со взрослыми и сверстниками;</w:t>
      </w:r>
    </w:p>
    <w:p w14:paraId="676081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формирование первых представлений о себе и социальном мире;</w:t>
      </w:r>
    </w:p>
    <w:p w14:paraId="09E1E0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развитие эмоционального интеллекта: умения понимать эмоции других людей, откликаться на них, проявлять сочувствие, договариваться, соблюдать простые правила.</w:t>
      </w:r>
    </w:p>
    <w:p w14:paraId="228323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В этом возрасте ребёнок активно учится считывать социальные сигналы, реагировать на интонации, мимику, жесты. И здесь на помощь приходит народная культура — естественный, проверенный временем инструмент воспитания.</w:t>
      </w:r>
    </w:p>
    <w:p w14:paraId="5D0DBD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12F74B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Малые фольклорные жанры: особенности и потенциал</w:t>
      </w:r>
    </w:p>
    <w:p w14:paraId="601A68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К малым фольклорным жанрам относятся потешки, прибаутки, колыбельные, короткие народные сказки, песенки, заклички. Их ценность для работы с детьми раннего возраста обусловлена рядом особенностей:</w:t>
      </w:r>
    </w:p>
    <w:p w14:paraId="4E3645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Ритмичность. Ритм помогает ребёнку легче воспринимать текст, запоминать слова, синхронизировать движения с речью.</w:t>
      </w:r>
    </w:p>
    <w:p w14:paraId="301871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Образность. Яркие, понятные образы (кошечка, солнышко, водичка) соответствуют уровню развития мышления малышей.</w:t>
      </w:r>
    </w:p>
    <w:p w14:paraId="32FAEA1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Эмоциональная насыщенность. Фольклорные тексты передают широкий спектр эмоций — от нежности в колыбельных до весёлой игры в потешках.</w:t>
      </w:r>
    </w:p>
    <w:p w14:paraId="234882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Простота формы. Короткие тексты, повторы, простая лексика делают их доступными для понимания и воспроизведения детьми.</w:t>
      </w:r>
    </w:p>
    <w:p w14:paraId="102A0B7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Благодаря этим качествам малые фольклорные жанры становятся естественной основой для совместной деятельности взрослого и ребёнка.</w:t>
      </w:r>
    </w:p>
    <w:p w14:paraId="65A5CF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3DCBF3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Как малые фольклорные жанры способствуют социально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 xml:space="preserve">коммуникативному развитию. </w:t>
      </w:r>
    </w:p>
    <w:p w14:paraId="4D0581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Организация повседневных действий. Потешки помогают структурировать рутинные моменты — умывание, одевание, приём пищи. Например, потешка «Водичка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водичка, умой моё личико» задаёт понятный алгоритм действий и превращает привычную процедуру в игру. Это учит ребёнка следовать инструкциям, понимать последовательность шагов, действовать согласованно со взрослым.</w:t>
      </w:r>
    </w:p>
    <w:p w14:paraId="0A1C34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Развитие навыков взаимодействия. Пальчиковые и подвижные народные игры («Ладушки», «Сорока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белобока») развивают не только мелкую и общую моторику, но и важные социальные умения: слушать партнёра, соблюдать очерёдность, действовать сообща.</w:t>
      </w:r>
    </w:p>
    <w:p w14:paraId="4D2881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Формирование эмоционального отклика. Колыбельные и ласковые потешки создают атмосферу безопасности и доверия. Ребёнок учится распознавать и принимать эмоциональные сигналы взрослого, а позже — выражать собственные чувства.</w:t>
      </w:r>
    </w:p>
    <w:p w14:paraId="0D67DE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Освоение социальных ролей и норм. В коротких народных сказках и игровых сценках дети знакомятся с базовыми моделями поведения: как проявлять заботу, как договариваться, как реагировать на разные ситуации.</w:t>
      </w:r>
    </w:p>
    <w:p w14:paraId="24C98D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Укрепление связи с семьёй и культурой. Использование фольклора в детском саду становится продолжением семейных традиций. Это создаёт единое воспитательное пространство, где ценности и нормы поведения последовательно транслируются и дома, и в группе.</w:t>
      </w:r>
    </w:p>
    <w:p w14:paraId="17628B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00FA24D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ru-RU"/>
        </w:rPr>
        <w:t>Практический опыт работы</w:t>
      </w:r>
    </w:p>
    <w:p w14:paraId="41A893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В нашей практике мы активно используем малые фольклорные жанры в разных формах:</w:t>
      </w:r>
    </w:p>
    <w:p w14:paraId="342CA3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читаем и обыгрываем короткие народные сказки;</w:t>
      </w:r>
    </w:p>
    <w:p w14:paraId="1B8653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поём колыбельные и песенки в режимные моменты;</w:t>
      </w:r>
    </w:p>
    <w:p w14:paraId="32DB37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играем в пальчиковые и подвижные игры на основе фольклорных текстов;</w:t>
      </w:r>
    </w:p>
    <w:p w14:paraId="5D3E43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включаем обрядовые и традиционные элементы в повседневную жизнь группы.</w:t>
      </w:r>
    </w:p>
    <w:p w14:paraId="3E5A0DC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Такой подход помогает детям чувствовать себя увереннее в коллективе, учиться взаимодействовать, выражать и понимать эмоции.</w:t>
      </w:r>
    </w:p>
    <w:p w14:paraId="7D4D88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Мы также провели анкетирование родителей, чтобы узнать, какие элементы народной культуры используются в семьях. Результаты показали, что многие родители интуитивно опираются на традиции: поют колыбельные, используют потешки в быту, читают народные сказки. Это ценный ресурс, который важно поддерживать и развивать.</w:t>
      </w:r>
    </w:p>
    <w:p w14:paraId="344C16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6D11B1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Формы взаимодействия с семьями</w:t>
      </w:r>
    </w:p>
    <w:p w14:paraId="394E437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Чтобы объединить усилия детского сада и семьи, мы запустили несколько инициатив:</w:t>
      </w:r>
    </w:p>
    <w:p w14:paraId="27090A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Челлендж «Семейный круг: потешки, сказки и колыбельные от сердца к сердцу». Родители вместе с детьми снимают короткие ролики, где обыгрывают потешку, читают сказку или поют колыбельную. Эти видео размещаются в родительской группе и становятся источником идей и вдохновения для всех участников сообщества.</w:t>
      </w:r>
    </w:p>
    <w:p w14:paraId="05BB8C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Образовательный маршрут для родителей. Мы подготовили список книг, ресурсов и материалов, которые помогают глубже понять влияние фольклора на развитие ребёнка. Маршрут включает подборки потешек и сказок по бытовым ситуациям, идеи для игр, рекомендации по чтению вслух и созданию семейных традиций совместного рассказывания.</w:t>
      </w:r>
    </w:p>
    <w:p w14:paraId="11248C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Эти формы работы позволяют сделать взаимодействие с семьями более живым и практико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ориентированным.</w:t>
      </w:r>
    </w:p>
    <w:p w14:paraId="4D3B30F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0F24714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Методические рекомендации для воспитателей</w:t>
      </w:r>
    </w:p>
    <w:p w14:paraId="7F0E78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Чтобы эффективно использовать малые фольклорные жанры в работе с детьми 2–3 лет, важно придерживаться следующих принципов:</w:t>
      </w:r>
    </w:p>
    <w:p w14:paraId="681D57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Эмоциональность. Произносите тексты выразительно, меняйте интонацию, используйте мимику и жесты — это усиливает воздействие на ребёнка.</w:t>
      </w:r>
    </w:p>
    <w:p w14:paraId="2B6D75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Наглядность. Сопровождайте тексты показом игрушек, картинок, предметов. Например, при чтении потешки про курочку можно использовать игрушку или картинку.</w:t>
      </w:r>
    </w:p>
    <w:p w14:paraId="14001C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Повторяемость. Повторяйте одни и те же тексты в разных ситуациях — это помогает детям запоминать слова и осваивать модели поведения.</w:t>
      </w:r>
    </w:p>
    <w:p w14:paraId="69E1B3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Интеграция. Включайте фольклорные элементы в разные виды деятельности: утренний круг, прогулки, режимные моменты, игры.</w:t>
      </w:r>
    </w:p>
    <w:p w14:paraId="5C7C72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Персонализация. Вставляйте в тексты имена детей, адаптируйте содержание под их интересы и опыт.</w:t>
      </w:r>
    </w:p>
    <w:p w14:paraId="0F858A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1ABBE75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Примеры использования фольклора в режимных моментах</w:t>
      </w:r>
    </w:p>
    <w:p w14:paraId="74C8E8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Режимный момент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Фольклорный жанр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Пример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Цель</w:t>
      </w:r>
    </w:p>
    <w:p w14:paraId="3F9430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Умывание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Потешка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«Водичка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водичка, умой моё личико…»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Организация действия, формирование гигиенических навыков, развитие речи</w:t>
      </w:r>
    </w:p>
    <w:p w14:paraId="68AABB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Приём пищи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Прибаутка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«Каша вкусная у нас, кушай, детка, каждый раз!»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Создание позитивного настроя, мотивация к приёму пищи</w:t>
      </w:r>
    </w:p>
    <w:p w14:paraId="257012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Подготовка ко сну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Колыбельная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«Баю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баюшки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баю, не ложися на краю…»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Снижение тревожности, формирование ритуала отхода ко сну</w:t>
      </w:r>
    </w:p>
    <w:p w14:paraId="4F7516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Игра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Пальчиковая игра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«Сорока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белобока кашку варила…»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ab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Развитие мелкой моторики, навыков взаимодействия, понимание очерёдности</w:t>
      </w:r>
    </w:p>
    <w:p w14:paraId="2BBD3D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762DEC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b w:val="0"/>
          <w:bCs w:val="0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ru-RU"/>
        </w:rPr>
        <w:t>Заключение</w:t>
      </w:r>
    </w:p>
    <w:p w14:paraId="32C6CE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Малые фольклорные жанры — это не просто наследие прошлого, а живой, доступный и очень эффективный инструмент социально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коммуникативного развития детей раннего возраста. Они помогают ребёнку освоить нормы поведения, научиться взаимодействовать с окружающими, понимать и выражать эмоции. А для воспитателя фольклор — это универсальный ресурс, который можно органично включать в повседневную работу с детьми.</w:t>
      </w:r>
    </w:p>
    <w:p w14:paraId="53C2C9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Важно, чтобы работа детского сада в этом направлении была продолжением семейной среды. Совместные инициативы, обмен опытом, поддержка семейных традиций делают воспитательный процесс более целостным и результативным.</w:t>
      </w:r>
    </w:p>
    <w:p w14:paraId="71C72EF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9" w:leftChars="0" w:firstLine="699" w:firstLineChars="333"/>
        <w:jc w:val="both"/>
        <w:textAlignment w:val="auto"/>
        <w:rPr>
          <w:rFonts w:hint="default" w:ascii="Times New Roman" w:hAnsi="Times New Roman" w:cs="Times New Roman"/>
          <w:sz w:val="21"/>
          <w:szCs w:val="21"/>
          <w:lang w:val="ru-RU"/>
        </w:rPr>
      </w:pPr>
      <w:r>
        <w:rPr>
          <w:rFonts w:hint="default" w:ascii="Times New Roman" w:hAnsi="Times New Roman" w:cs="Times New Roman"/>
          <w:sz w:val="21"/>
          <w:szCs w:val="21"/>
          <w:lang w:val="ru-RU"/>
        </w:rPr>
        <w:t>Народная культура — это тёплый, живой ресурс, который делает общение с ребёнком содержательным и радостным. Давайте использовать его в нашей ежедневной практике, чтобы развитие детей было ярким, насыщенным и по</w:t>
      </w:r>
      <w:r>
        <w:rPr>
          <w:rFonts w:hint="default" w:ascii="Times New Roman" w:hAnsi="Times New Roman" w:cs="Times New Roman"/>
          <w:sz w:val="21"/>
          <w:szCs w:val="21"/>
          <w:lang w:val="ru-RU"/>
        </w:rPr>
        <w:noBreakHyphen/>
      </w:r>
      <w:r>
        <w:rPr>
          <w:rFonts w:hint="default" w:ascii="Times New Roman" w:hAnsi="Times New Roman" w:cs="Times New Roman"/>
          <w:sz w:val="21"/>
          <w:szCs w:val="21"/>
          <w:lang w:val="ru-RU"/>
        </w:rPr>
        <w:t>настоящему тёплым.</w:t>
      </w:r>
    </w:p>
    <w:p w14:paraId="400660E5">
      <w:pPr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6CB9E804">
      <w:pPr>
        <w:rPr>
          <w:rFonts w:hint="default" w:ascii="Times New Roman" w:hAnsi="Times New Roman" w:cs="Times New Roman"/>
          <w:sz w:val="21"/>
          <w:szCs w:val="21"/>
          <w:lang w:val="ru-RU"/>
        </w:rPr>
      </w:pPr>
    </w:p>
    <w:p w14:paraId="246A1A34">
      <w:pPr>
        <w:rPr>
          <w:rFonts w:hint="default" w:ascii="Times New Roman" w:hAnsi="Times New Roman" w:cs="Times New Roman"/>
          <w:sz w:val="21"/>
          <w:szCs w:val="21"/>
          <w:lang w:val="ru-RU"/>
        </w:rPr>
      </w:pP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677B4"/>
    <w:rsid w:val="026B0845"/>
    <w:rsid w:val="044677B4"/>
    <w:rsid w:val="14E87A96"/>
    <w:rsid w:val="24F143BA"/>
    <w:rsid w:val="28077D4D"/>
    <w:rsid w:val="327E6664"/>
    <w:rsid w:val="584645E3"/>
    <w:rsid w:val="6690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20"/>
    <w:rPr>
      <w:i/>
      <w:iCs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Normal (Web)"/>
    <w:unhideWhenUsed/>
    <w:qFormat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2025-09-26T15:02:00Z</dcterms:created>
  <dc:creator>User</dc:creator>
  <cp:lastModifiedBy>User</cp:lastModifiedBy>
  <dcterms:modified xsi:type="dcterms:W3CDTF">2026-08-06T06:10:52Z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357032BFF19D47528284198534F7F66D_13</vt:lpwstr>
  </property>
  <property fmtid="{D5CDD505-2E9C-101B-9397-08002B2CF9AE}" pid="4" name="KSOTemplateDocerSaveRecord">
    <vt:lpwstr>eyJoZGlkIjoiMWJmYmVhMGQ2YWQwOTc0ZDFkYmVkZTE0NzFkNThlYzIifQ==</vt:lpwstr>
  </property>
</Properties>
</file>