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CB" w:rsidRPr="002A0CBC" w:rsidRDefault="002A0CBC" w:rsidP="002A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BC">
        <w:rPr>
          <w:rFonts w:ascii="Times New Roman" w:hAnsi="Times New Roman" w:cs="Times New Roman"/>
          <w:b/>
          <w:sz w:val="28"/>
          <w:szCs w:val="28"/>
        </w:rPr>
        <w:t>Работа над развитием диалога у старших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CBC" w:rsidRDefault="002A0CBC" w:rsidP="002A0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2A0CBC" w:rsidRDefault="002A0CBC" w:rsidP="002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Галина Васильевна</w:t>
      </w:r>
    </w:p>
    <w:p w:rsidR="002A0CBC" w:rsidRDefault="002A0CBC" w:rsidP="002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30</w:t>
      </w:r>
    </w:p>
    <w:p w:rsidR="002A0CBC" w:rsidRDefault="002A0CBC" w:rsidP="002A0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Глазов</w:t>
      </w:r>
    </w:p>
    <w:p w:rsidR="002A0CBC" w:rsidRPr="0040223F" w:rsidRDefault="002A0CBC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Особое значение в речевом развитии дошкольников имеет диалог сверстников. Именно здесь дети по 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>астоящему чувствуют себя равными, свободными, раскованными. Здесь они учатся самоорганизации, самодеятельности, самоконтролю. Здесь не уместны прямые указания, учебная мотивация, жесткая регламентация.</w:t>
      </w:r>
      <w:r w:rsidR="00B85A4D" w:rsidRPr="0040223F">
        <w:rPr>
          <w:rFonts w:ascii="Times New Roman" w:hAnsi="Times New Roman" w:cs="Times New Roman"/>
          <w:sz w:val="28"/>
          <w:szCs w:val="28"/>
        </w:rPr>
        <w:t xml:space="preserve"> И все-таки диалогу со сверстниками надо учить, учить языковым играм и словесному творчеству.</w:t>
      </w:r>
    </w:p>
    <w:p w:rsidR="00B85A4D" w:rsidRPr="0040223F" w:rsidRDefault="00B85A4D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Работа по обучению детей умению вести диалог проводилась по этапам: констатирующий, формирующий и контрольный.</w:t>
      </w:r>
    </w:p>
    <w:p w:rsidR="00B85A4D" w:rsidRPr="0040223F" w:rsidRDefault="00B85A4D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Задачи констатирующего этапа:</w:t>
      </w:r>
    </w:p>
    <w:p w:rsidR="00B85A4D" w:rsidRPr="0040223F" w:rsidRDefault="00B85A4D" w:rsidP="00B85A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Выявить у детей уровень </w:t>
      </w:r>
      <w:proofErr w:type="spellStart"/>
      <w:r w:rsidRPr="004022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0223F">
        <w:rPr>
          <w:rFonts w:ascii="Times New Roman" w:hAnsi="Times New Roman" w:cs="Times New Roman"/>
          <w:sz w:val="28"/>
          <w:szCs w:val="28"/>
        </w:rPr>
        <w:t xml:space="preserve"> умения вступать, поддерживать и завершать диалог.</w:t>
      </w:r>
    </w:p>
    <w:p w:rsidR="00B85A4D" w:rsidRPr="0040223F" w:rsidRDefault="00B85A4D" w:rsidP="00B85A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Определить оптимальные приемы для развития диалогической речи.</w:t>
      </w:r>
    </w:p>
    <w:p w:rsidR="00B85A4D" w:rsidRPr="0040223F" w:rsidRDefault="00B85A4D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Для изучения навыков и умений диалогической речи использовались наблюдения за свободным общением детей, обращалось внимание на характер общения, на инициативность ребенка, его умения вступать в диалог, поддерживать и вести его, ясно выражать свои мысли.</w:t>
      </w:r>
    </w:p>
    <w:p w:rsidR="00B85A4D" w:rsidRPr="0040223F" w:rsidRDefault="00B85A4D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Диагностика проводилась на основе методического пособия </w:t>
      </w:r>
      <w:r w:rsidR="00537C0A" w:rsidRPr="0040223F">
        <w:rPr>
          <w:rFonts w:ascii="Times New Roman" w:hAnsi="Times New Roman" w:cs="Times New Roman"/>
          <w:sz w:val="28"/>
          <w:szCs w:val="28"/>
        </w:rPr>
        <w:t xml:space="preserve"> Н.В. Кущ «Диагностика речевого развития дошкольников».</w:t>
      </w:r>
    </w:p>
    <w:p w:rsidR="00537C0A" w:rsidRPr="0040223F" w:rsidRDefault="00537C0A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Данные исследования показали, что дети старшей группы имеют навыки вступления в диалог, но умение поддерживать и завершать диалог умеют лишь 43%. На начало эксперимента не владели умением даже вступать в диалог 28%. Проанализировав данные результаты, мы сделали вывод, что в эту группу вошли дети, редко посещающие детсад (двое из ребят за год уезжали в санаторные сады), и ребята с дефектами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 речи (торе занимаются с логопедами).</w:t>
      </w:r>
    </w:p>
    <w:p w:rsidR="00537C0A" w:rsidRPr="0040223F" w:rsidRDefault="00537C0A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На формирующем этапе мы сделали упор в первую очередь на установление эмоциональных контактов между детьми, на налаживание социальных связей</w:t>
      </w:r>
      <w:r w:rsidR="00753A2F" w:rsidRPr="0040223F">
        <w:rPr>
          <w:rFonts w:ascii="Times New Roman" w:hAnsi="Times New Roman" w:cs="Times New Roman"/>
          <w:sz w:val="28"/>
          <w:szCs w:val="28"/>
        </w:rPr>
        <w:t xml:space="preserve"> детей и развитие коммуникативных умений у детей.</w:t>
      </w:r>
    </w:p>
    <w:p w:rsidR="00753A2F" w:rsidRPr="0040223F" w:rsidRDefault="00753A2F" w:rsidP="00B85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Работа проводилась как в свободное время, так и </w:t>
      </w:r>
      <w:proofErr w:type="spellStart"/>
      <w:proofErr w:type="gramStart"/>
      <w:r w:rsidRPr="0040223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 на специально организованных занятиях и включала:</w:t>
      </w:r>
    </w:p>
    <w:p w:rsidR="00753A2F" w:rsidRPr="0040223F" w:rsidRDefault="00753A2F" w:rsidP="00753A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утренние  встречи, беседы на темы: «Чем бы вы хотели заняться сегодня?», «Что интересного вы узнали?», игра «Комплимент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 т.д.;</w:t>
      </w:r>
    </w:p>
    <w:p w:rsidR="00753A2F" w:rsidRPr="0040223F" w:rsidRDefault="00753A2F" w:rsidP="00753A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на прогулках и в вечернее время проводились игры: «Клубочек», «Найди друга», «Сиамские близнецы», «Поводыри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40223F">
        <w:rPr>
          <w:rFonts w:ascii="Times New Roman" w:hAnsi="Times New Roman" w:cs="Times New Roman"/>
          <w:sz w:val="28"/>
          <w:szCs w:val="28"/>
        </w:rPr>
        <w:t>Нижнегородцева</w:t>
      </w:r>
      <w:proofErr w:type="spellEnd"/>
      <w:r w:rsidRPr="0040223F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40223F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40223F">
        <w:rPr>
          <w:rFonts w:ascii="Times New Roman" w:hAnsi="Times New Roman" w:cs="Times New Roman"/>
          <w:sz w:val="28"/>
          <w:szCs w:val="28"/>
        </w:rPr>
        <w:t xml:space="preserve"> «Психолого-педагогическая готовность ребенка к школе»);</w:t>
      </w:r>
    </w:p>
    <w:p w:rsidR="00753A2F" w:rsidRPr="0040223F" w:rsidRDefault="00753A2F" w:rsidP="00753A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игры «Спина к спине», «Сказка по кругу», «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Сидящий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 и стоящий», «Связующая нить», игры С.Ю. Чижовой из книги «Учим детей общению»;</w:t>
      </w:r>
    </w:p>
    <w:p w:rsidR="00753A2F" w:rsidRPr="0040223F" w:rsidRDefault="004A5CCA" w:rsidP="00753A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lastRenderedPageBreak/>
        <w:t xml:space="preserve">игры из книги М.А. Панфилова </w:t>
      </w:r>
      <w:r w:rsidR="00260318" w:rsidRPr="00402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0318" w:rsidRPr="0040223F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260318" w:rsidRPr="0040223F">
        <w:rPr>
          <w:rFonts w:ascii="Times New Roman" w:hAnsi="Times New Roman" w:cs="Times New Roman"/>
          <w:sz w:val="28"/>
          <w:szCs w:val="28"/>
        </w:rPr>
        <w:t xml:space="preserve"> общения»: «1 минута на разговор», «Продолжение фразы», «Где мы были мы не скажем, а что </w:t>
      </w:r>
      <w:proofErr w:type="gramStart"/>
      <w:r w:rsidR="00260318" w:rsidRPr="0040223F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 w:rsidR="00260318" w:rsidRPr="0040223F">
        <w:rPr>
          <w:rFonts w:ascii="Times New Roman" w:hAnsi="Times New Roman" w:cs="Times New Roman"/>
          <w:sz w:val="28"/>
          <w:szCs w:val="28"/>
        </w:rPr>
        <w:t xml:space="preserve"> покажем»и др.</w:t>
      </w:r>
    </w:p>
    <w:p w:rsidR="00260318" w:rsidRPr="0040223F" w:rsidRDefault="00260318" w:rsidP="00753A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беседы на темы дня: «Как мне интересно было сегодня играть с …», «Поговорим?», «Что или кто тебе сегодня больше всех понравился?». </w:t>
      </w:r>
    </w:p>
    <w:p w:rsidR="00260318" w:rsidRPr="0040223F" w:rsidRDefault="0026031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Это словесные игры, которые создают основу для совместных радостных переживаний, установление игрового и речевого взаимодействия.</w:t>
      </w:r>
    </w:p>
    <w:p w:rsidR="00260318" w:rsidRPr="0040223F" w:rsidRDefault="0026031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Использовали мы и 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сценарии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 xml:space="preserve"> активизирующие общения из книги А.Г. </w:t>
      </w:r>
      <w:proofErr w:type="spellStart"/>
      <w:r w:rsidRPr="0040223F">
        <w:rPr>
          <w:rFonts w:ascii="Times New Roman" w:hAnsi="Times New Roman" w:cs="Times New Roman"/>
          <w:sz w:val="28"/>
          <w:szCs w:val="28"/>
        </w:rPr>
        <w:t>Арушановой</w:t>
      </w:r>
      <w:proofErr w:type="spellEnd"/>
      <w:r w:rsidRPr="0040223F">
        <w:rPr>
          <w:rFonts w:ascii="Times New Roman" w:hAnsi="Times New Roman" w:cs="Times New Roman"/>
          <w:sz w:val="28"/>
          <w:szCs w:val="28"/>
        </w:rPr>
        <w:t xml:space="preserve"> «Речь и речевое общение детей».</w:t>
      </w:r>
    </w:p>
    <w:p w:rsidR="00424F58" w:rsidRPr="0040223F" w:rsidRDefault="00424F5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Проводилась кружковая работа по играм 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>раматизациям, постановке кукольных и музыкальных спектаклей для малышей.</w:t>
      </w:r>
    </w:p>
    <w:p w:rsidR="00424F58" w:rsidRPr="0040223F" w:rsidRDefault="00424F5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Каждодневная, систематическая работа дала свои результаты. Так, к концу старшей группы умение вступать в диалог выявилось у всех детей. </w:t>
      </w:r>
    </w:p>
    <w:p w:rsidR="00424F58" w:rsidRPr="0040223F" w:rsidRDefault="00424F5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Но в то же время умение поддерживать и завершать диалог у детей оставалось почти на том же уровне. По нашим наблюдениям, не имея навыка рассуждать, аргументировать, дети уходят к «коллективному монологу».</w:t>
      </w:r>
    </w:p>
    <w:p w:rsidR="00424F58" w:rsidRPr="0040223F" w:rsidRDefault="00424F58" w:rsidP="0026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Поэтому следующим шагом на формирующем этапе  стало обучение взаимодействию детей в парах. Оно проводилось:</w:t>
      </w:r>
    </w:p>
    <w:p w:rsidR="00424F58" w:rsidRPr="0040223F" w:rsidRDefault="00424F58" w:rsidP="00424F58">
      <w:pPr>
        <w:pStyle w:val="a3"/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на занятиях рисованием </w:t>
      </w:r>
    </w:p>
    <w:p w:rsidR="00D51604" w:rsidRPr="0040223F" w:rsidRDefault="00424F58" w:rsidP="00424F58">
      <w:pPr>
        <w:pStyle w:val="a3"/>
        <w:numPr>
          <w:ilvl w:val="0"/>
          <w:numId w:val="4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>на занятиях по ма</w:t>
      </w:r>
      <w:r w:rsidR="00D51604" w:rsidRPr="0040223F">
        <w:rPr>
          <w:rFonts w:ascii="Times New Roman" w:hAnsi="Times New Roman" w:cs="Times New Roman"/>
          <w:sz w:val="28"/>
          <w:szCs w:val="28"/>
        </w:rPr>
        <w:t>тематике в водной и заключительной части, где в играх детей настраивались на сотрудничество, а не на соревнование и поиск ошибок друг у друга.</w:t>
      </w:r>
    </w:p>
    <w:p w:rsidR="00D51604" w:rsidRPr="0040223F" w:rsidRDefault="00D51604" w:rsidP="00D5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  Игры парами, предложенные в книге А.Г. </w:t>
      </w:r>
      <w:proofErr w:type="spellStart"/>
      <w:r w:rsidRPr="0040223F">
        <w:rPr>
          <w:rFonts w:ascii="Times New Roman" w:hAnsi="Times New Roman" w:cs="Times New Roman"/>
          <w:sz w:val="28"/>
          <w:szCs w:val="28"/>
        </w:rPr>
        <w:t>Арушановой</w:t>
      </w:r>
      <w:proofErr w:type="spellEnd"/>
      <w:r w:rsidRPr="0040223F">
        <w:rPr>
          <w:rFonts w:ascii="Times New Roman" w:hAnsi="Times New Roman" w:cs="Times New Roman"/>
          <w:sz w:val="28"/>
          <w:szCs w:val="28"/>
        </w:rPr>
        <w:t xml:space="preserve"> «Речь и речевое общение детей», учили адресовано и доброжелательно </w:t>
      </w:r>
      <w:proofErr w:type="gramStart"/>
      <w:r w:rsidRPr="0040223F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40223F">
        <w:rPr>
          <w:rFonts w:ascii="Times New Roman" w:hAnsi="Times New Roman" w:cs="Times New Roman"/>
          <w:sz w:val="28"/>
          <w:szCs w:val="28"/>
        </w:rPr>
        <w:t>, отвечать на вопросы и реплики товарища, обосновывать свои высказывания.</w:t>
      </w:r>
    </w:p>
    <w:p w:rsidR="00424F58" w:rsidRPr="0040223F" w:rsidRDefault="00424F58" w:rsidP="00D5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</w:t>
      </w:r>
      <w:r w:rsidR="00D51604" w:rsidRPr="0040223F">
        <w:rPr>
          <w:rFonts w:ascii="Times New Roman" w:hAnsi="Times New Roman" w:cs="Times New Roman"/>
          <w:sz w:val="28"/>
          <w:szCs w:val="28"/>
        </w:rPr>
        <w:t xml:space="preserve">        Методику взаимодействия детей в парах на занятиях рисованием мы попробовали перенести на занятия по познавательному развитию. Проводились они не чаще 1 раза в месяц, в основном на итоговых занятиях, уже с хорошо знакомым материалом. Например:  Тема «Животный мир» - игры  парами «Какое животное я загадал?» (отгадать по наводящим вопросам и зарисовать) или «Устный кроссворд»- дается первая буква, используются наводящие вопросы.</w:t>
      </w:r>
    </w:p>
    <w:p w:rsidR="00D51604" w:rsidRPr="0040223F" w:rsidRDefault="00D51604" w:rsidP="00D5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 Как положительный фактор следует отметить то, что</w:t>
      </w:r>
      <w:r w:rsidR="002436B6" w:rsidRPr="0040223F">
        <w:rPr>
          <w:rFonts w:ascii="Times New Roman" w:hAnsi="Times New Roman" w:cs="Times New Roman"/>
          <w:sz w:val="28"/>
          <w:szCs w:val="28"/>
        </w:rPr>
        <w:t xml:space="preserve"> дети свободно пользуются сформированными навыками сотрудничества, полученными на занятиях по рисованию, в заданиях по познавательному развитию.</w:t>
      </w:r>
    </w:p>
    <w:p w:rsidR="002436B6" w:rsidRPr="0040223F" w:rsidRDefault="002436B6" w:rsidP="00D51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23F">
        <w:rPr>
          <w:rFonts w:ascii="Times New Roman" w:hAnsi="Times New Roman" w:cs="Times New Roman"/>
          <w:sz w:val="28"/>
          <w:szCs w:val="28"/>
        </w:rPr>
        <w:t xml:space="preserve">        Эффективность проведенной работы определилась посредством сравнения результатов констатирующего и контрольного этапов.</w:t>
      </w:r>
    </w:p>
    <w:p w:rsidR="002436B6" w:rsidRPr="002436B6" w:rsidRDefault="002436B6" w:rsidP="00D5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3" w:type="dxa"/>
        <w:tblInd w:w="-885" w:type="dxa"/>
        <w:tblLayout w:type="fixed"/>
        <w:tblLook w:val="04A0"/>
      </w:tblPr>
      <w:tblGrid>
        <w:gridCol w:w="2411"/>
        <w:gridCol w:w="1701"/>
        <w:gridCol w:w="1367"/>
        <w:gridCol w:w="1367"/>
        <w:gridCol w:w="1367"/>
        <w:gridCol w:w="1368"/>
        <w:gridCol w:w="1102"/>
      </w:tblGrid>
      <w:tr w:rsidR="0040223F" w:rsidTr="0040223F">
        <w:tc>
          <w:tcPr>
            <w:tcW w:w="2411" w:type="dxa"/>
            <w:vMerge w:val="restart"/>
          </w:tcPr>
          <w:p w:rsidR="0040223F" w:rsidRDefault="0040223F" w:rsidP="00D5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3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констатирующий</w:t>
            </w:r>
          </w:p>
        </w:tc>
        <w:tc>
          <w:tcPr>
            <w:tcW w:w="3837" w:type="dxa"/>
            <w:gridSpan w:val="3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</w:tr>
      <w:tr w:rsidR="0040223F" w:rsidTr="0040223F">
        <w:tc>
          <w:tcPr>
            <w:tcW w:w="2411" w:type="dxa"/>
            <w:vMerge/>
          </w:tcPr>
          <w:p w:rsidR="0040223F" w:rsidRDefault="0040223F" w:rsidP="00D51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23F" w:rsidRPr="009A49C1" w:rsidRDefault="0040223F" w:rsidP="00D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367" w:type="dxa"/>
          </w:tcPr>
          <w:p w:rsidR="0040223F" w:rsidRPr="009A49C1" w:rsidRDefault="0040223F" w:rsidP="00D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367" w:type="dxa"/>
          </w:tcPr>
          <w:p w:rsidR="0040223F" w:rsidRPr="009A49C1" w:rsidRDefault="0040223F" w:rsidP="00D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367" w:type="dxa"/>
          </w:tcPr>
          <w:p w:rsidR="0040223F" w:rsidRPr="009A49C1" w:rsidRDefault="0040223F" w:rsidP="0059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368" w:type="dxa"/>
          </w:tcPr>
          <w:p w:rsidR="0040223F" w:rsidRPr="009A49C1" w:rsidRDefault="0040223F" w:rsidP="0059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02" w:type="dxa"/>
          </w:tcPr>
          <w:p w:rsidR="0040223F" w:rsidRPr="009A49C1" w:rsidRDefault="0040223F" w:rsidP="0059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C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40223F" w:rsidTr="0040223F">
        <w:tc>
          <w:tcPr>
            <w:tcW w:w="2411" w:type="dxa"/>
          </w:tcPr>
          <w:p w:rsidR="0040223F" w:rsidRPr="009A49C1" w:rsidRDefault="0040223F" w:rsidP="0040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C1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</w:t>
            </w:r>
          </w:p>
        </w:tc>
        <w:tc>
          <w:tcPr>
            <w:tcW w:w="1701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68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02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223F" w:rsidTr="0040223F">
        <w:tc>
          <w:tcPr>
            <w:tcW w:w="2411" w:type="dxa"/>
          </w:tcPr>
          <w:p w:rsidR="0040223F" w:rsidRPr="009A49C1" w:rsidRDefault="0040223F" w:rsidP="00D51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C1">
              <w:rPr>
                <w:rFonts w:ascii="Times New Roman" w:hAnsi="Times New Roman" w:cs="Times New Roman"/>
                <w:sz w:val="28"/>
                <w:szCs w:val="28"/>
              </w:rPr>
              <w:t>Умение поддерживать и завершать диалог</w:t>
            </w:r>
          </w:p>
        </w:tc>
        <w:tc>
          <w:tcPr>
            <w:tcW w:w="1701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367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368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102" w:type="dxa"/>
          </w:tcPr>
          <w:p w:rsidR="0040223F" w:rsidRDefault="0040223F" w:rsidP="00402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260318" w:rsidRPr="0040223F" w:rsidRDefault="00260318" w:rsidP="00402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318" w:rsidRPr="0040223F" w:rsidSect="009A49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ED7"/>
    <w:multiLevelType w:val="hybridMultilevel"/>
    <w:tmpl w:val="1DF6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C4D90"/>
    <w:multiLevelType w:val="hybridMultilevel"/>
    <w:tmpl w:val="B55E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81927"/>
    <w:multiLevelType w:val="hybridMultilevel"/>
    <w:tmpl w:val="0126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B5171"/>
    <w:multiLevelType w:val="hybridMultilevel"/>
    <w:tmpl w:val="3E3E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0CBC"/>
    <w:rsid w:val="002436B6"/>
    <w:rsid w:val="00260318"/>
    <w:rsid w:val="002A0CBC"/>
    <w:rsid w:val="003E72CB"/>
    <w:rsid w:val="0040223F"/>
    <w:rsid w:val="00424F58"/>
    <w:rsid w:val="004A5CCA"/>
    <w:rsid w:val="00526864"/>
    <w:rsid w:val="00537C0A"/>
    <w:rsid w:val="00753A2F"/>
    <w:rsid w:val="009A49C1"/>
    <w:rsid w:val="00B85A4D"/>
    <w:rsid w:val="00D5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4D"/>
    <w:pPr>
      <w:ind w:left="720"/>
      <w:contextualSpacing/>
    </w:pPr>
  </w:style>
  <w:style w:type="table" w:styleId="a4">
    <w:name w:val="Table Grid"/>
    <w:basedOn w:val="a1"/>
    <w:uiPriority w:val="59"/>
    <w:rsid w:val="0024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2016-10-17T14:07:00Z</dcterms:created>
  <dcterms:modified xsi:type="dcterms:W3CDTF">2016-10-17T16:50:00Z</dcterms:modified>
</cp:coreProperties>
</file>