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="0"/>
        <w:jc w:val="center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ru-RU"/>
        </w:rPr>
        <w:t xml:space="preserve">Департамент по социальным вопросам администрации города Ишима       </w:t>
      </w: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ru-RU"/>
        </w:rPr>
        <w:t>Муниципальное автономное дошкольное образовательное учреждение                  «Детский сад № 9 общеразвивающего вида с приоритетным осуществлением художественно - эстетического развития детей»</w:t>
      </w:r>
    </w:p>
    <w:p>
      <w:pPr>
        <w:pStyle w:val="Normal"/>
        <w:spacing w:lineRule="auto" w:line="240" w:beforeAutospacing="1" w:after="0"/>
        <w:jc w:val="center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ru-RU"/>
        </w:rPr>
        <w:t>города Ишима (МАДОУ д/с № 9)</w:t>
      </w:r>
    </w:p>
    <w:p>
      <w:pPr>
        <w:pStyle w:val="Normal"/>
        <w:spacing w:lineRule="auto" w:line="144" w:beforeAutospacing="1" w:after="0"/>
        <w:ind w:left="-709" w:hanging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ind w:left="-709" w:firstLine="709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ind w:left="4678" w:hanging="0"/>
        <w:jc w:val="right"/>
        <w:rPr>
          <w:rFonts w:ascii="Arial" w:hAnsi="Arial" w:eastAsia="Times New Roman" w:cs="Arial"/>
          <w:color w:val="000000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jc w:val="center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ru-RU"/>
        </w:rPr>
        <w:t>Программа дополнительного образования детей 5-6 лет</w:t>
      </w:r>
    </w:p>
    <w:p>
      <w:pPr>
        <w:pStyle w:val="Normal"/>
        <w:spacing w:lineRule="auto" w:line="240" w:beforeAutospacing="1" w:after="0"/>
        <w:jc w:val="center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ru-RU"/>
        </w:rPr>
        <w:t>«Логика для дошкольников»</w:t>
      </w:r>
    </w:p>
    <w:p>
      <w:pPr>
        <w:pStyle w:val="Normal"/>
        <w:spacing w:lineRule="auto" w:line="240" w:beforeAutospacing="1" w:after="0"/>
        <w:jc w:val="center"/>
        <w:rPr/>
      </w:pPr>
      <w:r>
        <w:rPr>
          <w:rFonts w:eastAsia="Times New Roman" w:cs="Arial" w:ascii="Arial" w:hAnsi="Arial"/>
          <w:color w:val="000000"/>
          <w:sz w:val="20"/>
          <w:szCs w:val="20"/>
          <w:u w:val="single"/>
          <w:lang w:eastAsia="ru-RU"/>
        </w:rPr>
        <w:t>Познавательная деятельность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rPr/>
      </w:pPr>
      <w:r>
        <w:rPr>
          <w:rFonts w:eastAsia="Times New Roman" w:cs="Arial" w:ascii="Arial" w:hAnsi="Arial"/>
          <w:color w:val="000000"/>
          <w:sz w:val="20"/>
          <w:szCs w:val="20"/>
          <w:lang w:eastAsia="ru-RU"/>
        </w:rPr>
        <w:t>Возраст обучающихся: от 5 до 6 лет</w:t>
      </w:r>
    </w:p>
    <w:p>
      <w:pPr>
        <w:pStyle w:val="Normal"/>
        <w:spacing w:lineRule="auto" w:line="240" w:beforeAutospacing="1" w:after="0"/>
        <w:rPr/>
      </w:pPr>
      <w:r>
        <w:rPr>
          <w:rFonts w:eastAsia="Times New Roman" w:cs="Arial" w:ascii="Arial" w:hAnsi="Arial"/>
          <w:color w:val="000000"/>
          <w:sz w:val="20"/>
          <w:szCs w:val="20"/>
          <w:lang w:eastAsia="ru-RU"/>
        </w:rPr>
        <w:t>Нормативный срок освоения программы: 1 года</w:t>
      </w:r>
    </w:p>
    <w:p>
      <w:pPr>
        <w:pStyle w:val="Normal"/>
        <w:spacing w:lineRule="auto" w:line="240" w:beforeAutospacing="1" w:after="0"/>
        <w:rPr/>
      </w:pPr>
      <w:r>
        <w:rPr>
          <w:rFonts w:eastAsia="Times New Roman" w:cs="Arial" w:ascii="Arial" w:hAnsi="Arial"/>
          <w:color w:val="000000"/>
          <w:sz w:val="20"/>
          <w:szCs w:val="20"/>
          <w:lang w:eastAsia="ru-RU"/>
        </w:rPr>
        <w:t>Объем программы: 36 ч.</w:t>
      </w:r>
    </w:p>
    <w:p>
      <w:pPr>
        <w:pStyle w:val="Normal"/>
        <w:spacing w:lineRule="auto" w:line="240" w:beforeAutospacing="1" w:after="0"/>
        <w:ind w:firstLine="567"/>
        <w:rPr/>
      </w:pPr>
      <w:r>
        <w:rPr>
          <w:rFonts w:eastAsia="Times New Roman" w:cs="Arial" w:ascii="Arial" w:hAnsi="Arial"/>
          <w:color w:val="000000"/>
          <w:sz w:val="20"/>
          <w:szCs w:val="20"/>
          <w:lang w:eastAsia="ru-RU"/>
        </w:rPr>
        <w:t>по очной форме обучения – 36 ч</w:t>
      </w:r>
    </w:p>
    <w:p>
      <w:pPr>
        <w:pStyle w:val="Normal"/>
        <w:spacing w:lineRule="auto" w:line="240" w:beforeAutospacing="1" w:after="0"/>
        <w:ind w:firstLine="567"/>
        <w:rPr/>
      </w:pPr>
      <w:r>
        <w:rPr>
          <w:rFonts w:eastAsia="Times New Roman" w:cs="Arial" w:ascii="Arial" w:hAnsi="Arial"/>
          <w:color w:val="000000"/>
          <w:sz w:val="20"/>
          <w:szCs w:val="20"/>
          <w:lang w:eastAsia="ru-RU"/>
        </w:rPr>
        <w:t>по заочной форме обучения – 0</w:t>
      </w:r>
    </w:p>
    <w:p>
      <w:pPr>
        <w:pStyle w:val="Normal"/>
        <w:spacing w:lineRule="auto" w:line="240" w:beforeAutospacing="1" w:after="0"/>
        <w:rPr>
          <w:rFonts w:ascii="Arial" w:hAnsi="Arial" w:eastAsia="Times New Roman" w:cs="Arial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jc w:val="center"/>
        <w:rPr/>
      </w:pPr>
      <w:r>
        <w:rPr>
          <w:rFonts w:eastAsia="Times New Roman" w:cs="Times New Roman" w:ascii="Times New Roman" w:hAnsi="Times New Roman"/>
          <w:color w:val="000000"/>
          <w:lang w:eastAsia="ru-RU"/>
        </w:rPr>
        <w:t>Ишим</w:t>
      </w:r>
    </w:p>
    <w:p>
      <w:pPr>
        <w:pStyle w:val="Normal"/>
        <w:spacing w:lineRule="auto" w:line="360" w:beforeAutospacing="1" w:after="0"/>
        <w:jc w:val="both"/>
        <w:rPr>
          <w:rFonts w:ascii="Times New Roman" w:hAnsi="Times New Roman" w:eastAsia="Times New Roman" w:cs="Arial"/>
          <w:b/>
          <w:b/>
          <w:bCs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360" w:beforeAutospacing="1" w:after="0"/>
        <w:jc w:val="both"/>
        <w:rPr>
          <w:rFonts w:ascii="Times New Roman" w:hAnsi="Times New Roman" w:eastAsia="Times New Roman" w:cs="Arial"/>
          <w:b/>
          <w:b/>
          <w:bCs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360" w:beforeAutospacing="1" w:after="0"/>
        <w:jc w:val="both"/>
        <w:rPr>
          <w:rFonts w:ascii="Times New Roman" w:hAnsi="Times New Roman" w:eastAsia="Times New Roman" w:cs="Arial"/>
          <w:b/>
          <w:b/>
          <w:bCs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360" w:beforeAutospacing="1" w:after="0"/>
        <w:jc w:val="both"/>
        <w:rPr/>
      </w:pPr>
      <w:r>
        <w:rPr>
          <w:rFonts w:eastAsia="Times New Roman" w:cs="Arial" w:ascii="Times New Roman" w:hAnsi="Times New Roman"/>
          <w:b/>
          <w:bCs/>
          <w:color w:val="000000"/>
          <w:sz w:val="28"/>
          <w:szCs w:val="28"/>
          <w:lang w:eastAsia="ru-RU"/>
        </w:rPr>
        <w:t>Оглавление</w:t>
      </w:r>
    </w:p>
    <w:p>
      <w:pPr>
        <w:pStyle w:val="Normal"/>
        <w:spacing w:lineRule="auto" w:line="360" w:beforeAutospacing="1" w:after="0"/>
        <w:rPr/>
      </w:pPr>
      <w:r>
        <w:rPr>
          <w:rFonts w:eastAsia="Times New Roman" w:cs="Arial" w:ascii="Times New Roman" w:hAnsi="Times New Roman"/>
          <w:color w:val="000000"/>
          <w:sz w:val="24"/>
          <w:szCs w:val="24"/>
          <w:lang w:eastAsia="ru-RU"/>
        </w:rPr>
        <w:t xml:space="preserve">Паспорт программы…………………………………………………………………………..3   Пояснительная записка……………………………………………………………………...3  Учебный план……………………………………………………………………………..4     Методические материалы………………………………………………………………5    </w:t>
      </w:r>
    </w:p>
    <w:p>
      <w:pPr>
        <w:pStyle w:val="Normal"/>
        <w:spacing w:lineRule="auto" w:line="360" w:beforeAutospacing="1" w:after="0"/>
        <w:rPr/>
      </w:pPr>
      <w:r>
        <w:rPr>
          <w:rFonts w:eastAsia="Times New Roman" w:cs="Arial" w:ascii="Times New Roman" w:hAnsi="Times New Roman"/>
          <w:color w:val="000000"/>
          <w:sz w:val="24"/>
          <w:szCs w:val="24"/>
          <w:lang w:eastAsia="ru-RU"/>
        </w:rPr>
        <w:t>2.1 Актуальность и новизна……………………………………………………………..5                 2.2 Формы работы по опытно-экспериментальной деятельности  с детьми старшего дошкольного возраста.……………………………………………………….5                                          2.3</w:t>
      </w:r>
      <w:r>
        <w:rPr>
          <w:rFonts w:eastAsia="Times New Roman" w:cs="Arial"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Arial" w:ascii="Times New Roman" w:hAnsi="Times New Roman"/>
          <w:color w:val="000000"/>
          <w:sz w:val="24"/>
          <w:szCs w:val="24"/>
          <w:lang w:eastAsia="ru-RU"/>
        </w:rPr>
        <w:t>Алгоритм подготовки и проведения занятия - эксперимента: ………………..8                        2.4 Комплексно-тематическое планирование……………………………………….8 Оценочные материалы…………………………………………………………………13</w:t>
      </w:r>
    </w:p>
    <w:p>
      <w:pPr>
        <w:pStyle w:val="Normal"/>
        <w:spacing w:lineRule="auto" w:line="360" w:beforeAutospacing="1" w:after="0"/>
        <w:jc w:val="both"/>
        <w:rPr/>
      </w:pPr>
      <w:r>
        <w:rPr>
          <w:rFonts w:eastAsia="Times New Roman" w:cs="Arial" w:ascii="Times New Roman" w:hAnsi="Times New Roman"/>
          <w:color w:val="000000"/>
          <w:sz w:val="24"/>
          <w:szCs w:val="24"/>
          <w:lang w:eastAsia="ru-RU"/>
        </w:rPr>
        <w:t>Список литературы ……………………………………………………………………..19</w:t>
      </w:r>
    </w:p>
    <w:p>
      <w:pPr>
        <w:pStyle w:val="Normal"/>
        <w:spacing w:lineRule="auto" w:line="360" w:beforeAutospacing="1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360" w:beforeAutospacing="1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Autospacing="1" w:after="24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24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24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24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24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24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0"/>
        <w:rPr/>
      </w:pPr>
      <w:bookmarkStart w:id="0" w:name="__RefHeading___Toc17157_93231583"/>
      <w:bookmarkEnd w:id="0"/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Паспорт Программы</w:t>
      </w:r>
    </w:p>
    <w:tbl>
      <w:tblPr>
        <w:tblW w:w="10490" w:type="dxa"/>
        <w:jc w:val="left"/>
        <w:tblInd w:w="-1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65"/>
        <w:gridCol w:w="7524"/>
      </w:tblGrid>
      <w:tr>
        <w:trPr/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7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Дополнительная образовательная программа по </w:t>
            </w:r>
          </w:p>
        </w:tc>
      </w:tr>
      <w:tr>
        <w:trPr/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Заказчики Программы</w:t>
            </w:r>
          </w:p>
        </w:tc>
        <w:tc>
          <w:tcPr>
            <w:tcW w:w="7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Педагогический совет, родители.</w:t>
            </w:r>
          </w:p>
        </w:tc>
      </w:tr>
      <w:tr>
        <w:trPr>
          <w:cantSplit w:val="true"/>
        </w:trPr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7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true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Долженко М.А.</w:t>
            </w:r>
          </w:p>
        </w:tc>
      </w:tr>
      <w:tr>
        <w:trPr/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7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 год</w:t>
            </w:r>
          </w:p>
        </w:tc>
      </w:tr>
      <w:tr>
        <w:trPr/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Web"/>
              <w:shd w:val="clear" w:color="auto" w:fill="FFFFFF"/>
              <w:spacing w:lineRule="auto" w:line="240" w:before="280" w:after="280"/>
              <w:rPr/>
            </w:pPr>
            <w:r>
              <w:rPr>
                <w:color w:val="000000"/>
                <w:sz w:val="28"/>
                <w:szCs w:val="28"/>
              </w:rPr>
              <w:t>Формировать математическое ,  логическое  и пространственное мышление; развивать творческое воображение,  речь и мелкую моторику; воспитывать настойчивость, волю, усидчивость, целеустремленность.</w:t>
            </w:r>
          </w:p>
          <w:p>
            <w:pPr>
              <w:pStyle w:val="Normal"/>
              <w:tabs>
                <w:tab w:val="clear" w:pos="708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Western"/>
              <w:spacing w:lineRule="auto" w:line="240" w:beforeAutospacing="0" w:before="28" w:after="28"/>
              <w:rPr/>
            </w:pPr>
            <w:r>
              <w:rPr>
                <w:color w:val="333333"/>
                <w:shd w:fill="FFFFFF" w:val="clear"/>
              </w:rPr>
              <w:t> </w:t>
            </w:r>
            <w:r>
              <w:rPr/>
              <w:t>Создать условия для обогащения чувственного опыта, необходимого для полноценного восприятия окружающего мира, и накопления сенсорного опыта детей в ходе предметно-игровой деятельности через игры с дидактическим материалом – блоками Дьенеша.</w:t>
            </w:r>
          </w:p>
          <w:p>
            <w:pPr>
              <w:pStyle w:val="Western"/>
              <w:spacing w:lineRule="auto" w:line="240" w:beforeAutospacing="0" w:before="28" w:after="28"/>
              <w:rPr/>
            </w:pPr>
            <w:r>
              <w:rPr/>
              <w:t>Способствовать формированию умения ориентироваться в различных свойствах предметов (цвете, величине, форме, количестве, положении в пространстве и пр.).</w:t>
            </w:r>
          </w:p>
          <w:p>
            <w:pPr>
              <w:pStyle w:val="Western"/>
              <w:spacing w:lineRule="auto" w:line="240" w:beforeAutospacing="0" w:before="28" w:after="28"/>
              <w:rPr/>
            </w:pPr>
            <w:r>
              <w:rPr/>
              <w:t>Способствовать развитию способности наглядного моделирования.</w:t>
            </w:r>
          </w:p>
          <w:p>
            <w:pPr>
              <w:pStyle w:val="Western"/>
              <w:spacing w:lineRule="auto" w:line="240" w:beforeAutospacing="0" w:before="28" w:after="28"/>
              <w:rPr/>
            </w:pPr>
            <w:r>
              <w:rPr/>
              <w:t>Способствовать воспитанию первичных волевых черт характера в процессе овладения целенаправленными действиями с предметами (умение не отвлекаться от поставленной задачи, доводить ее до завершения, стремиться к получению положительного результата и т.д.), эмоционально-положительное отношение к сверстникам в игре.</w:t>
            </w:r>
          </w:p>
          <w:p>
            <w:pPr>
              <w:pStyle w:val="Western"/>
              <w:spacing w:lineRule="auto" w:line="240" w:beforeAutospacing="0" w:before="28" w:after="28"/>
              <w:rPr/>
            </w:pPr>
            <w:r>
              <w:rPr/>
              <w:t>Способствовать развитию сенсорных способностей, пальцевой моторики, формированию обследовательских навыков.</w:t>
            </w:r>
          </w:p>
          <w:p>
            <w:pPr>
              <w:pStyle w:val="Normal"/>
              <w:tabs>
                <w:tab w:val="clear" w:pos="708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color w:val="333333"/>
                <w:sz w:val="28"/>
                <w:szCs w:val="28"/>
                <w:shd w:fill="FFFFFF" w:val="clear"/>
                <w:lang w:eastAsia="ru-RU"/>
              </w:rPr>
              <w:t>       </w:t>
            </w:r>
          </w:p>
        </w:tc>
      </w:tr>
      <w:tr>
        <w:trPr/>
        <w:tc>
          <w:tcPr>
            <w:tcW w:w="2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1" w:after="119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Ожидаемые результаты Программы</w:t>
            </w:r>
          </w:p>
        </w:tc>
        <w:tc>
          <w:tcPr>
            <w:tcW w:w="7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Western"/>
              <w:spacing w:lineRule="auto" w:line="240" w:beforeAutospacing="0" w:before="28" w:after="28"/>
              <w:rPr/>
            </w:pPr>
            <w:r>
              <w:rPr/>
              <w:t>Развитие умения выделять в геометрических фигурах одновременно три признака цвета, формы и величины.</w:t>
            </w:r>
          </w:p>
          <w:p>
            <w:pPr>
              <w:pStyle w:val="Western"/>
              <w:spacing w:lineRule="auto" w:line="240" w:beforeAutospacing="0" w:before="28" w:after="28"/>
              <w:rPr/>
            </w:pPr>
            <w:r>
              <w:rPr/>
              <w:t>Развитие способности классифицировать геометрические фигуры по заданным признакам: цвет, форма, величина.</w:t>
            </w:r>
          </w:p>
          <w:p>
            <w:pPr>
              <w:pStyle w:val="Western"/>
              <w:spacing w:lineRule="auto" w:line="240" w:beforeAutospacing="0" w:before="28" w:after="28"/>
              <w:rPr/>
            </w:pPr>
            <w:r>
              <w:rPr/>
              <w:t>Развитие способности действия наглядного моделирования, умения давать характеристику геометрических фигур с помощью наглядных моделей.                                                                                                           Развитие способности конструировать по цветной схеме, умение планировать действия, как по анализу схемы, так и по воспроизведению ее в конструкции.</w:t>
            </w:r>
          </w:p>
          <w:p>
            <w:pPr>
              <w:pStyle w:val="Normal"/>
              <w:tabs>
                <w:tab w:val="clear" w:pos="708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keepNext w:val="true"/>
        <w:spacing w:lineRule="auto" w:line="240" w:before="482" w:after="0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482" w:after="0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>
      <w:pPr>
        <w:pStyle w:val="Style16"/>
        <w:tabs>
          <w:tab w:val="clear" w:pos="708"/>
          <w:tab w:val="left" w:pos="0" w:leader="none"/>
        </w:tabs>
        <w:spacing w:before="30" w:after="30"/>
        <w:ind w:left="164" w:hanging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Математическое развитие детей – значимый компонент формирования целостной картины мира ребёнка, где одной из главных задач является развитие у ребёнка интереса к математике. Приобщение к этой области познания в игровой и занимательной форме помогает ребёнку в дальнейшем быстрее и легче усвоить школьную программу. Практика дошкольного образования показывает, что на успешность обучения влияет не только содержание предлагаемого материала, но также форма его подачи, которая способна вызвать заинтересованность ребёнка и его познавательную активность. 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</w:rPr>
        <w:t>Предматематическая подготовка по своему содержанию не должна исчерпываться формированием представлений о числах и простейших геометрических фигурах, обучением счету, сложению и вычитанию, измерениях в простейших случаях. Не менее важным, чем арифметические операции, для подготовки их к усвоению математических знаний является формирование логического мышления. Детей необходимо учить не только вычислять и измерять, но и рассуждать.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</w:rPr>
        <w:t>Развитие логического мышления включает в себя использование дидактических игр, смекалок, головоломок, решение различных логических игр и лабиринтов, которые помогают воспитывать у детей познавательный интерес, способствовать к исследовательскому и творческому поиску, желание и умение учиться. Обучающие логико-математические игры специально разрабатываются таким образом, чтобы они формировали не только элементарные математические представления, но и определенные, заранее спроектированные логические структуры мышления и умственные действия, необходимые для усвоения в дальнейшем.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Style16"/>
        <w:tabs>
          <w:tab w:val="clear" w:pos="708"/>
          <w:tab w:val="left" w:pos="0" w:leader="none"/>
        </w:tabs>
        <w:spacing w:before="30" w:after="30"/>
        <w:ind w:left="164" w:hanging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Незаменимым материалом для сенсорного развития, для закрепления основных сенсорных эталонов (форма, размер, цвет, толщина) являются блоки Дьенеша. Посредством блоков Дьенеша возможно научить ребенка не только узнавать и называть какое-либо свойство предмета, формировать представление об их многообразии и совокупности проявления каждого из свойств (треугольник может быть большой и маленький, толстый и тонкий, желтый, красный и синий), но и заложить умение сравнивать, анализировать. Игры – занятия с блоками Дьенеша позволяют ребенку овладеть предметными действиями, способствуют развитию воображения, способности к моделированию и конструированию, развивают наглядно-действенное мышление, формируя переход к наглядно-образному и логическому мышлению, Игры с блоками способствуют развитию координации движений, развитию речи. Дети начинают использовать более сложные грамматические структуры предложений в речи на основе сравнения, отрицания и группировки однородных предметов. Способствуют развитию внимания, памяти, воспитывают самостоятельность, инициативу, настойчивость в достижении цели.</w:t>
      </w:r>
    </w:p>
    <w:p>
      <w:pPr>
        <w:pStyle w:val="Style16"/>
        <w:tabs>
          <w:tab w:val="clear" w:pos="708"/>
          <w:tab w:val="left" w:pos="0" w:leader="none"/>
        </w:tabs>
        <w:spacing w:before="30" w:after="30"/>
        <w:ind w:left="164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16"/>
        <w:tabs>
          <w:tab w:val="clear" w:pos="708"/>
          <w:tab w:val="left" w:pos="0" w:leader="none"/>
        </w:tabs>
        <w:spacing w:before="30" w:after="30"/>
        <w:ind w:left="164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16"/>
        <w:tabs>
          <w:tab w:val="clear" w:pos="708"/>
          <w:tab w:val="left" w:pos="0" w:leader="none"/>
        </w:tabs>
        <w:spacing w:before="30" w:after="30"/>
        <w:ind w:left="164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16"/>
        <w:tabs>
          <w:tab w:val="clear" w:pos="708"/>
          <w:tab w:val="left" w:pos="0" w:leader="none"/>
        </w:tabs>
        <w:spacing w:before="30" w:after="30"/>
        <w:ind w:left="164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16"/>
        <w:tabs>
          <w:tab w:val="clear" w:pos="708"/>
          <w:tab w:val="left" w:pos="0" w:leader="none"/>
        </w:tabs>
        <w:spacing w:before="30" w:after="30"/>
        <w:ind w:left="164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16"/>
        <w:shd w:val="clear" w:color="auto" w:fill="FFFFFF"/>
        <w:spacing w:lineRule="auto" w:line="240" w:before="0" w:after="0"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В рабочей программе предусмотрено использование различных видов дидактических игр:</w:t>
      </w:r>
    </w:p>
    <w:p>
      <w:pPr>
        <w:pStyle w:val="Style16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30" w:after="30"/>
        <w:ind w:left="644" w:hanging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На восприятие формы;</w:t>
      </w:r>
    </w:p>
    <w:p>
      <w:pPr>
        <w:pStyle w:val="Style16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30" w:after="30"/>
        <w:ind w:left="644" w:hanging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На  развитие восприятия цвета;</w:t>
      </w:r>
    </w:p>
    <w:p>
      <w:pPr>
        <w:pStyle w:val="Style16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30" w:after="30"/>
        <w:ind w:left="644" w:hanging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На восприятие качеств величины;</w:t>
      </w:r>
    </w:p>
    <w:p>
      <w:pPr>
        <w:pStyle w:val="Style16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30" w:after="30"/>
        <w:ind w:left="644" w:hanging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На количество предметов;</w:t>
      </w:r>
    </w:p>
    <w:p>
      <w:pPr>
        <w:pStyle w:val="Style16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30" w:after="30"/>
        <w:ind w:left="644" w:hanging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На развитие речи, мышления;</w:t>
      </w:r>
    </w:p>
    <w:p>
      <w:pPr>
        <w:pStyle w:val="Style16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30" w:after="30"/>
        <w:ind w:left="644" w:hanging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На развитие способности действия наглядного моделирования.</w:t>
      </w:r>
    </w:p>
    <w:p>
      <w:pPr>
        <w:pStyle w:val="Style16"/>
        <w:shd w:val="clear" w:color="auto" w:fill="FFFFFF"/>
        <w:spacing w:lineRule="auto" w:line="240" w:before="0" w:after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 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Организационно-методическое обеспечение программы.</w:t>
      </w:r>
    </w:p>
    <w:p>
      <w:pPr>
        <w:pStyle w:val="Style16"/>
        <w:shd w:val="clear" w:color="auto" w:fill="FFFFFF"/>
        <w:tabs>
          <w:tab w:val="clear" w:pos="708"/>
          <w:tab w:val="left" w:pos="0" w:leader="none"/>
        </w:tabs>
        <w:spacing w:lineRule="auto" w:line="240" w:before="0" w:after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Кружок проводится раз в неделю, во второй половине дня.</w:t>
      </w:r>
    </w:p>
    <w:p>
      <w:pPr>
        <w:pStyle w:val="Style16"/>
        <w:shd w:val="clear" w:color="auto" w:fill="FFFFFF"/>
        <w:tabs>
          <w:tab w:val="clear" w:pos="708"/>
          <w:tab w:val="left" w:pos="0" w:leader="none"/>
        </w:tabs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11"/>
        <w:numPr>
          <w:ilvl w:val="3"/>
          <w:numId w:val="2"/>
        </w:numPr>
        <w:spacing w:before="0" w:after="160"/>
        <w:ind w:left="0" w:hanging="0"/>
        <w:jc w:val="center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>Учебный план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Дополнительной образовательной программы «Логика для дошкольников» для детей 5-6 лет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9075" w:type="dxa"/>
        <w:jc w:val="left"/>
        <w:tblInd w:w="0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28" w:type="dxa"/>
          <w:left w:w="106" w:type="dxa"/>
          <w:bottom w:w="28" w:type="dxa"/>
          <w:right w:w="116" w:type="dxa"/>
        </w:tblCellMar>
        <w:tblLook w:firstRow="1" w:noVBand="1" w:lastRow="0" w:firstColumn="1" w:lastColumn="0" w:noHBand="0" w:val="04a0"/>
      </w:tblPr>
      <w:tblGrid>
        <w:gridCol w:w="2697"/>
        <w:gridCol w:w="2502"/>
        <w:gridCol w:w="3876"/>
      </w:tblGrid>
      <w:tr>
        <w:trPr/>
        <w:tc>
          <w:tcPr>
            <w:tcW w:w="26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64" w:before="0" w:after="160"/>
              <w:ind w:left="862" w:hanging="10"/>
              <w:jc w:val="both"/>
              <w:rPr/>
            </w:pPr>
            <w:bookmarkStart w:id="1" w:name="h.3dy6vkm"/>
            <w:bookmarkEnd w:id="1"/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Количество в неделю</w:t>
            </w:r>
          </w:p>
        </w:tc>
        <w:tc>
          <w:tcPr>
            <w:tcW w:w="250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64" w:before="0" w:after="160"/>
              <w:ind w:left="862" w:hanging="1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Количество в месяц</w:t>
            </w:r>
          </w:p>
        </w:tc>
        <w:tc>
          <w:tcPr>
            <w:tcW w:w="387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64" w:before="0" w:after="160"/>
              <w:ind w:left="862" w:hanging="1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Итого в год</w:t>
            </w:r>
          </w:p>
        </w:tc>
      </w:tr>
      <w:tr>
        <w:trPr/>
        <w:tc>
          <w:tcPr>
            <w:tcW w:w="26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64"/>
              <w:ind w:left="862" w:hanging="1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 занятие</w:t>
            </w:r>
          </w:p>
          <w:p>
            <w:pPr>
              <w:pStyle w:val="Style21"/>
              <w:spacing w:lineRule="auto" w:line="264" w:before="0" w:after="160"/>
              <w:ind w:left="862" w:hanging="1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25 минут</w:t>
            </w:r>
          </w:p>
        </w:tc>
        <w:tc>
          <w:tcPr>
            <w:tcW w:w="250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64"/>
              <w:ind w:left="862" w:hanging="1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 занятия</w:t>
            </w:r>
          </w:p>
          <w:p>
            <w:pPr>
              <w:pStyle w:val="Style21"/>
              <w:spacing w:lineRule="auto" w:line="264" w:before="0" w:after="160"/>
              <w:ind w:left="862" w:hanging="1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100 минут</w:t>
            </w:r>
          </w:p>
        </w:tc>
        <w:tc>
          <w:tcPr>
            <w:tcW w:w="387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64"/>
              <w:ind w:left="862" w:hanging="1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36 занятий</w:t>
            </w:r>
          </w:p>
          <w:p>
            <w:pPr>
              <w:pStyle w:val="Style21"/>
              <w:spacing w:lineRule="auto" w:line="264" w:before="0" w:after="160"/>
              <w:ind w:left="862" w:hanging="1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36 часов</w:t>
            </w:r>
          </w:p>
        </w:tc>
      </w:tr>
    </w:tbl>
    <w:p>
      <w:pPr>
        <w:pStyle w:val="11"/>
        <w:numPr>
          <w:ilvl w:val="3"/>
          <w:numId w:val="2"/>
        </w:numPr>
        <w:ind w:left="0" w:firstLine="426"/>
        <w:jc w:val="center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>Методические материалы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</w:tabs>
        <w:spacing w:lineRule="auto" w:line="240" w:before="0" w:after="0"/>
        <w:ind w:firstLine="426"/>
        <w:jc w:val="center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2.1. Актуальность и новизна</w:t>
      </w:r>
    </w:p>
    <w:p>
      <w:pPr>
        <w:pStyle w:val="Style16"/>
        <w:shd w:val="clear" w:color="auto" w:fill="FFFFFF"/>
        <w:tabs>
          <w:tab w:val="clear" w:pos="708"/>
          <w:tab w:val="left" w:pos="0" w:leader="none"/>
        </w:tabs>
        <w:spacing w:lineRule="auto" w:line="240" w:before="0" w:after="0"/>
        <w:ind w:firstLine="426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Важнейшим представляется развитие умения наблюдать, сравнивать, выделять существенные признаки предметов и явлений, классифицировать, делать простейшие выводы и обобщения. Приобретенные в результате логические приемы мышления как способы познавательной деятельности необходимы для решения широкого круга умственных задач и призваны служить основой интеллекта ребенка.</w:t>
      </w:r>
    </w:p>
    <w:p>
      <w:pPr>
        <w:pStyle w:val="Style16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Сформированность у детей элементарных приемов логического мышления является условием успешного обучения в начальной школе. Умение активно перерабатывать в уме информацию, используя приёмы логического мышления, позволяет ребёнку получить более глубокие знания и понимание учебного материала в отличие от тех, кто, обладая невысоким уровнем развития логики, постигает образовательный курс, полагаясь лишь на память.</w:t>
      </w:r>
    </w:p>
    <w:p>
      <w:pPr>
        <w:pStyle w:val="Style16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Таким образом, недостаточный уровень сформированности мыслительных процессов снижает эффективность обучения, замедляет развитие познавательных процессов. Поэтому важно уже в период дошкольного возраста особое внимание уделять развитию у детей приемов логического мышления.</w:t>
      </w:r>
    </w:p>
    <w:p>
      <w:pPr>
        <w:pStyle w:val="Style16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Исследования ученых (Л.С. Выготский, А.Н. Леонтьев, А.З. Зак, Н.Н. Поддьяков и др.) убедительно доказывают, что основные логические структуры мышления формируются примерно в возрасте от пяти до одиннадцати лет. Эти данные подчеркивают важность старшего дошкольного детства, поддержку и всемерное развитие качеств мышления, специфических для возраста, т.к. создаваемые им уникальные условия больше не повторятся и то, что будет «недобрано» здесь, наверстать в дальнейшем окажется трудно или вовсе невозможно. Важно отметить, что в исследованиях Н.Н. Поддьякова было выявлено, что старший дошкольный возраст сензитивен к формированию основных приемов логического мышления, которыми являются сравнение, сериация, классификация.</w:t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16"/>
        <w:spacing w:before="0" w:after="0"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Календарно-тематическое планирование</w:t>
      </w:r>
    </w:p>
    <w:p>
      <w:pPr>
        <w:pStyle w:val="Style16"/>
        <w:spacing w:before="0" w:after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 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2" w:name="t.1"/>
      <w:bookmarkStart w:id="3" w:name="t.7d196899cf2d8f51dabd2160566778c89fa248"/>
      <w:bookmarkStart w:id="4" w:name="t.1"/>
      <w:bookmarkStart w:id="5" w:name="t.7d196899cf2d8f51dabd2160566778c89fa248"/>
      <w:bookmarkEnd w:id="4"/>
      <w:bookmarkEnd w:id="5"/>
    </w:p>
    <w:tbl>
      <w:tblPr>
        <w:tblW w:w="10365" w:type="dxa"/>
        <w:jc w:val="left"/>
        <w:tblInd w:w="-726" w:type="dxa"/>
        <w:tblBorders>
          <w:top w:val="single" w:sz="8" w:space="0" w:color="B9C2CB"/>
          <w:left w:val="single" w:sz="8" w:space="0" w:color="B9C2CB"/>
          <w:bottom w:val="single" w:sz="8" w:space="0" w:color="B9C2CB"/>
          <w:right w:val="single" w:sz="8" w:space="0" w:color="B9C2CB"/>
          <w:insideH w:val="single" w:sz="8" w:space="0" w:color="B9C2CB"/>
          <w:insideV w:val="single" w:sz="8" w:space="0" w:color="B9C2CB"/>
        </w:tblBorders>
        <w:tblCellMar>
          <w:top w:w="30" w:type="dxa"/>
          <w:left w:w="19" w:type="dxa"/>
          <w:bottom w:w="30" w:type="dxa"/>
          <w:right w:w="30" w:type="dxa"/>
        </w:tblCellMar>
        <w:tblLook w:firstRow="1" w:noVBand="1" w:lastRow="0" w:firstColumn="1" w:lastColumn="0" w:noHBand="0" w:val="04a0"/>
      </w:tblPr>
      <w:tblGrid>
        <w:gridCol w:w="1260"/>
        <w:gridCol w:w="7815"/>
        <w:gridCol w:w="1290"/>
      </w:tblGrid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Тема занятия, цель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месяц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16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Дидактическая игра «Давайте познакомимся»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Цель: 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правильно называет весь объем свойств у предмета.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«Найди фигуру»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Закрепить название геометрических фигур, понятий «толстый – тонкий». Развивать умения сравнивать геометрические фигуры между собой, выявлять общий признак и находить фигуру по заданному признаку.</w:t>
            </w:r>
          </w:p>
          <w:p>
            <w:pPr>
              <w:pStyle w:val="Style16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Октябрь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«Запасы на зиму для белочки»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Закреплять знания детей о геометрических фигурах, их свойствах.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Материал: набор блоков Дьенеша, игрушка белочка или картинка с изображением белочки.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«Помогите Мишке собрать фигуры»</w:t>
            </w:r>
          </w:p>
          <w:p>
            <w:pPr>
              <w:pStyle w:val="Style16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Цель: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 определяет символику свойств.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«Чудесный мешочек»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Закреплять знания детей о геометрических фигурах, их размере и толщине,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умение угадывать предметы на ощупь.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«Найди не такую»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Продолжать знакомить с логическими блоками.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2.1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«4-й лишний»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Упражнять детей в группировке геометрических фигур по цвету, форме,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величине, толщине.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«Что изменилось»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Совершенствовать знания детей о геометрических фигурах, их цвете, размере, толщине. Развивать мышление.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Ноябрь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2.2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«Продолжи ряд»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Закреплять знания детей о геометрических фигурах, цвете, величине, толщине.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«Найди пару»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Совершенствовать знания детей о геометрических фигурах, их цвете, величине, толщине. Развивать мышление.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2.3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Знакомство с карточками с изображенными свойствами.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Дидактическая игра «Найди нужный блок»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Познакомить детей с карточками с изображенными свойствами блоков.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Развивать логическое мышление, умение кодировать и декодировать информацию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2.4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«Второй ряд»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Развивать умение анализировать, выделять свойства фигур, находить фигуру, отличную по одному признаку.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«Необычные фигуры»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Развивать умение анализировать, выделять свойства фигур, классифицировать.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3.1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«Найди клад»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Совершенствовать знания детей о геометрических фигурах, их цвете, величине, толщине. Развивать мышление.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Декабрь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3.2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 Игра с одним обручем»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Развивать умение разбивать множество по одному свойству на два подмножества.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3.3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«Игра с двумя обручами»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Развитие умения разбивать множество по двум совместимым свойствам,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производить логические операции «не», «и», «или».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3.4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Игра «Укрась елки игрушками»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умения различать геометрические фигуры по заданному признаку величины, выполнять постройки, согласно определенному правилу.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4.1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«Цвет и форма, классификация по двум признакам».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«Какого цвета и формы?»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Развивать умение выделять одновременно два признака: цвет и форму. Закреплять умение знать и называть основные цвета: красный, синий, желтый, формы.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Январь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4.2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«Найди нужный блок 2»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 : Развивать логическое мышление , умение кодировать и декодировать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информацию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4.3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«Заселим жителей в квартиры»</w:t>
            </w:r>
          </w:p>
          <w:p>
            <w:pPr>
              <w:pStyle w:val="Style16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Задачи: Развивать умение анализировать, выделять свойства фигур, классифицировать.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4.4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Игра «Построй домик»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закреплять умение различать и называть геометрические фигуры по двум признакам: </w:t>
            </w:r>
            <w:r>
              <w:rPr>
                <w:rFonts w:cs="Times New Roman" w:ascii="Times New Roman" w:hAnsi="Times New Roman"/>
                <w:i/>
                <w:color w:val="000000"/>
                <w:sz w:val="28"/>
                <w:szCs w:val="28"/>
              </w:rPr>
              <w:t>цвет и форма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, способствовать развитию конструктивных умений, выполнять действия, согласно определенному правилу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5.1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«Цвет, форма и величина, классификация по трем признакам».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«Какого цвета, формы и величины?»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Развивать умение выделять одновременно три признака: цвет, форма, величина.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Февраль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5.2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«Садовники»</w:t>
            </w:r>
          </w:p>
          <w:p>
            <w:pPr>
              <w:pStyle w:val="Style21"/>
              <w:spacing w:lineRule="auto" w:line="271" w:before="0" w:after="0"/>
              <w:rPr/>
            </w:pPr>
            <w:bookmarkStart w:id="6" w:name="__DdeLink__5279_78060004"/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действия наглядного моделирования, умения расшифровывать информацию о свойствах предметов по их знаково-символическим обозначениям, умения выделять одновременно три признака геометрических фигур, действовать, согласно заданному правилу,</w:t>
            </w:r>
            <w:bookmarkEnd w:id="6"/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5.3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«Мы - конструкторы»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выполнять конструкции по заданной схеме, умения планировать действия, анализировать схему.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5.4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«Угадай фигуру»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действия наглядного моделирования, умение расшифровывать информацию о свойствах предметов по их знаково-символическим обозначениям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6.1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«Цвет, форма и величина, классификация по трем признакам,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отрицание (игра с двумя обручами)».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«Угадай фигуру»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наглядного моделирования, умение расшифровывать информацию о свойствах предметов по их знаково-символическим обозначениям, предъявленной в явном виде и неявном виде (на основе отрицания)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Март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6.2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«Бусы для мамы»</w:t>
            </w:r>
          </w:p>
          <w:p>
            <w:pPr>
              <w:pStyle w:val="Style21"/>
              <w:spacing w:lineRule="auto" w:line="271" w:before="0" w:after="0"/>
              <w:rPr/>
            </w:pPr>
            <w:bookmarkStart w:id="7" w:name="__DdeLink__7264_78060004"/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наглядного моделирования, умение расшифровывать информацию о свойствах предметов по их знаково-символическим обозначениям, предъявленной в явном виде и неявном виде (на основе отрицания)</w:t>
            </w:r>
            <w:bookmarkEnd w:id="7"/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6.3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«Угости мишек печеньем»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наглядного моделирования, умение расшифровывать информацию о свойствах предметов по их знаково-символическим обозначениям, предъявленной в явном виде и неявном виде (на основе отрицания)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6.4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«Мы - конструкторы»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выполнять конструкции по заданной схеме, умения планировать действия, анализировать схему.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7.1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«Цвет, форма и величина, классификация по трем признакам,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отрицание (игра с тремя обручами)».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«Угадай фигуру»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наглядного моделирования, умение расшифровывать информацию о свойствах предметов по их знаково-символическим обозначениям, предъявленной в явном виде и неявном виде (на основе отрицания)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Апрель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7.2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«Посади цветы на клумбы»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наглядного моделирования, умение расшифровывать информацию о свойствах предметов по их знаково-символическим обозначениям, предъявленной в явном виде и неявном виде (на основе отрицания)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7.3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 «Что лишнее?»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2. Цель: способствовать развитию способности классифицировать геометрические фигуры по трем признакам.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7.4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«Мы - конструкторы»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выполнять конструкции по заданной схеме, умения планировать действия, анализировать схему.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8.1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«Продолжи ряд»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Программные задачи: Закреплять знания детей о геометрических фигурах, цвете, величине, толщине. Развивать мышление.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Май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8.2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«Хоровод»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наглядного моделирования, умение расшифровывать информацию о свойствах предметов по их знаково-символическим обозначениям, предъявленной в явном виде и неявном виде (на основе отрицания)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8.3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«Магазин»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наглядного моделирования, умение расшифровывать информацию о свойствах предметов по их знаково-символическим обозначениям, предъявленной в явном виде и неявном виде (на основе отрицания)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 неделя</w:t>
            </w:r>
          </w:p>
        </w:tc>
      </w:tr>
      <w:tr>
        <w:trPr/>
        <w:tc>
          <w:tcPr>
            <w:tcW w:w="126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8.4</w:t>
            </w:r>
          </w:p>
        </w:tc>
        <w:tc>
          <w:tcPr>
            <w:tcW w:w="7815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«Волшебное дерево»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Цель: способствовать развитию способности наглядного моделирования, умение расшифровывать информацию о свойствах предметов по их знаково-символическим обозначениям, предъявленной в явном виде и неявном виде (на основе отрицания)</w:t>
            </w:r>
          </w:p>
        </w:tc>
        <w:tc>
          <w:tcPr>
            <w:tcW w:w="129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 неделя</w:t>
            </w:r>
          </w:p>
        </w:tc>
      </w:tr>
    </w:tbl>
    <w:p>
      <w:pPr>
        <w:pStyle w:val="Style16"/>
        <w:spacing w:before="0" w:after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 </w:t>
      </w:r>
      <w:bookmarkStart w:id="8" w:name="_GoBack1"/>
      <w:bookmarkEnd w:id="8"/>
    </w:p>
    <w:p>
      <w:pPr>
        <w:pStyle w:val="Style16"/>
        <w:spacing w:before="0" w:after="0"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Диагностическое направление: </w:t>
      </w:r>
      <w:r>
        <w:rPr>
          <w:rFonts w:cs="Times New Roman" w:ascii="Times New Roman" w:hAnsi="Times New Roman"/>
          <w:color w:val="000000"/>
          <w:sz w:val="28"/>
          <w:szCs w:val="28"/>
        </w:rPr>
        <w:t>Диагностика уровня сенсорных способностей, способности действия наглядного моделирования 2 раза в год: в сентябре и в мае.</w:t>
      </w:r>
    </w:p>
    <w:p>
      <w:pPr>
        <w:pStyle w:val="Style16"/>
        <w:spacing w:before="0" w:after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 </w:t>
      </w:r>
    </w:p>
    <w:p>
      <w:pPr>
        <w:pStyle w:val="Style16"/>
        <w:spacing w:before="0" w:after="0"/>
        <w:rPr/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Диагностические методики для детей 4-6 лет:</w:t>
      </w:r>
    </w:p>
    <w:p>
      <w:pPr>
        <w:pStyle w:val="Style16"/>
        <w:spacing w:before="0" w:after="0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 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9" w:name="t.2"/>
      <w:bookmarkStart w:id="10" w:name="t.58874ed87679debe49debe1ebef589abd48da2"/>
      <w:bookmarkStart w:id="11" w:name="t.2"/>
      <w:bookmarkStart w:id="12" w:name="t.58874ed87679debe49debe1ebef589abd48da2"/>
      <w:bookmarkEnd w:id="11"/>
      <w:bookmarkEnd w:id="12"/>
    </w:p>
    <w:tbl>
      <w:tblPr>
        <w:tblW w:w="9639" w:type="dxa"/>
        <w:jc w:val="left"/>
        <w:tblInd w:w="0" w:type="dxa"/>
        <w:tblBorders>
          <w:top w:val="single" w:sz="8" w:space="0" w:color="B9C2CB"/>
          <w:left w:val="single" w:sz="8" w:space="0" w:color="B9C2CB"/>
          <w:bottom w:val="single" w:sz="8" w:space="0" w:color="B9C2CB"/>
          <w:right w:val="single" w:sz="8" w:space="0" w:color="B9C2CB"/>
          <w:insideH w:val="single" w:sz="8" w:space="0" w:color="B9C2CB"/>
          <w:insideV w:val="single" w:sz="8" w:space="0" w:color="B9C2CB"/>
        </w:tblBorders>
        <w:tblCellMar>
          <w:top w:w="30" w:type="dxa"/>
          <w:left w:w="19" w:type="dxa"/>
          <w:bottom w:w="30" w:type="dxa"/>
          <w:right w:w="30" w:type="dxa"/>
        </w:tblCellMar>
        <w:tblLook w:firstRow="1" w:noVBand="1" w:lastRow="0" w:firstColumn="1" w:lastColumn="0" w:noHBand="0" w:val="04a0"/>
      </w:tblPr>
      <w:tblGrid>
        <w:gridCol w:w="2536"/>
        <w:gridCol w:w="2280"/>
        <w:gridCol w:w="4823"/>
      </w:tblGrid>
      <w:tr>
        <w:trPr/>
        <w:tc>
          <w:tcPr>
            <w:tcW w:w="2536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Диагностическая методика</w:t>
            </w:r>
          </w:p>
        </w:tc>
        <w:tc>
          <w:tcPr>
            <w:tcW w:w="2280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Форма проведения</w:t>
            </w:r>
          </w:p>
        </w:tc>
        <w:tc>
          <w:tcPr>
            <w:tcW w:w="4823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Показатели:</w:t>
            </w:r>
          </w:p>
        </w:tc>
      </w:tr>
      <w:tr>
        <w:trPr/>
        <w:tc>
          <w:tcPr>
            <w:tcW w:w="9639" w:type="dxa"/>
            <w:gridSpan w:val="3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Диагностика сенсорных способностей, способности действия наглядного моделирования</w:t>
            </w:r>
          </w:p>
        </w:tc>
      </w:tr>
      <w:tr>
        <w:trPr/>
        <w:tc>
          <w:tcPr>
            <w:tcW w:w="2536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Восприятие формы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Восприятие цвета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Восприятие величины</w:t>
            </w:r>
          </w:p>
        </w:tc>
        <w:tc>
          <w:tcPr>
            <w:tcW w:w="2280" w:type="dxa"/>
            <w:vMerge w:val="restart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Индивидуальное обследование</w:t>
            </w:r>
          </w:p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823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Ребенок различает, выделяет все три признака геометрических фигур</w:t>
            </w:r>
          </w:p>
        </w:tc>
      </w:tr>
      <w:tr>
        <w:trPr/>
        <w:tc>
          <w:tcPr>
            <w:tcW w:w="2536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Действие наглядного моделирования</w:t>
            </w:r>
          </w:p>
        </w:tc>
        <w:tc>
          <w:tcPr>
            <w:tcW w:w="2280" w:type="dxa"/>
            <w:vMerge w:val="continue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before="0" w:after="1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823" w:type="dxa"/>
            <w:tcBorders>
              <w:top w:val="single" w:sz="8" w:space="0" w:color="B9C2CB"/>
              <w:left w:val="single" w:sz="8" w:space="0" w:color="B9C2CB"/>
              <w:bottom w:val="single" w:sz="8" w:space="0" w:color="B9C2CB"/>
              <w:right w:val="single" w:sz="8" w:space="0" w:color="B9C2CB"/>
              <w:insideH w:val="single" w:sz="8" w:space="0" w:color="B9C2CB"/>
              <w:insideV w:val="single" w:sz="8" w:space="0" w:color="B9C2CB"/>
            </w:tcBorders>
            <w:shd w:color="auto" w:fill="FFFFFF" w:val="clear"/>
            <w:vAlign w:val="center"/>
          </w:tcPr>
          <w:p>
            <w:pPr>
              <w:pStyle w:val="Style21"/>
              <w:spacing w:lineRule="auto" w:line="271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Ребенок умеет расшифровывать информацию о свойствах предметов по их знаково-символическим обозначениям, предъявленной в явном виде и неявном виде (на основе отрицания)</w:t>
            </w:r>
          </w:p>
        </w:tc>
      </w:tr>
    </w:tbl>
    <w:p>
      <w:pPr>
        <w:pStyle w:val="Style16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. Список литературы </w:t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1. Альтхауз Д., Дум Э. Цвет - форма - количество: Опыт работы по развитию познават. Способностей детей дошкол. Возраста / Рус. Пер. под ред. В.В. Юртайкина.- М.: Просвещение, 1984.- 64 е., ил.</w:t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2. Е.А.Носова, Р.Л.Непомнящая Логика и математика для дошкольников. Санкт-Петербург «Детство-Пресс», 2005 – 95 с.</w:t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3. Афанасьева И.П. Маленькими шагами в большой мир знаний. Первая младшая группа: Учебно-методическое пособие для воспитателей ДОУ. - СПб.: «ДЕТСТВО-ПРЕСС», 2005. - 128 е.: ил.</w:t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4. Бондаренко Т.М. Комплексные занятия во второй младшей группе детского сада: Практическое пособие для воспитателей и методистов ДОУ. - Воронеж: Издательство «Учитель»,2003.- 270 с.</w:t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5. Венгер JI.A. и др. Воспитание сенсорной культуры ребёнка от рождения до 6 лет: Кн. для воспитателя дет. Сада/JI.А.Венгер, Э.Г.Пилюгина, Н.Б. Венгер; Под ред. Л.А.Венгера.- М.: Просвещение, 1988.- 144 е.: ил.</w:t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6. Галанова, Т. В. Развивающие игры с малышами 3 лет / Т. В. Галанова. - Ярославль: Академия развития, 2007.</w:t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7. Кук Дж. Раннее сенсорное развитие малышей. (Перевод с англ.)- М., 1997. 8. Максаков А.И., Тумакова Г.А. Учите, играя: Игры и упражнения со звучащим словом. Пособие для воспитателя дет. сада. - 2-е изд., испр. и доп.- М.: Просвещение, 1983. - 144 е., ил.</w:t>
      </w:r>
    </w:p>
    <w:p>
      <w:pPr>
        <w:pStyle w:val="Style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9. Пилюгина Э.Г. Занятия по сенсорному воспитанию с детьми раннего возраста: Пособие для воспитателя дет. Сада.- М.: Просвещение, 1983.- ООО е., ил. </w:t>
      </w:r>
    </w:p>
    <w:p>
      <w:pPr>
        <w:pStyle w:val="Normal"/>
        <w:spacing w:lineRule="auto" w:line="240" w:before="0" w:after="160"/>
        <w:ind w:firstLine="567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sz w:val="28"/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semiHidden/>
    <w:unhideWhenUsed/>
    <w:rsid w:val="00fe6146"/>
    <w:rPr>
      <w:color w:val="0000FF"/>
      <w:u w:val="single"/>
    </w:rPr>
  </w:style>
  <w:style w:type="character" w:styleId="ListLabel1" w:customStyle="1">
    <w:name w:val="ListLabel 1"/>
    <w:qFormat/>
    <w:rPr>
      <w:rFonts w:ascii="Times New Roman" w:hAnsi="Times New Roman"/>
      <w:b/>
      <w:sz w:val="28"/>
    </w:rPr>
  </w:style>
  <w:style w:type="character" w:styleId="ListLabel2" w:customStyle="1">
    <w:name w:val="ListLabel 2"/>
    <w:qFormat/>
    <w:rPr>
      <w:sz w:val="20"/>
    </w:rPr>
  </w:style>
  <w:style w:type="character" w:styleId="ListLabel3" w:customStyle="1">
    <w:name w:val="ListLabel 3"/>
    <w:qFormat/>
    <w:rPr>
      <w:sz w:val="20"/>
    </w:rPr>
  </w:style>
  <w:style w:type="character" w:styleId="ListLabel4" w:customStyle="1">
    <w:name w:val="ListLabel 4"/>
    <w:qFormat/>
    <w:rPr>
      <w:sz w:val="20"/>
    </w:rPr>
  </w:style>
  <w:style w:type="character" w:styleId="ListLabel5" w:customStyle="1">
    <w:name w:val="ListLabel 5"/>
    <w:qFormat/>
    <w:rPr>
      <w:sz w:val="20"/>
    </w:rPr>
  </w:style>
  <w:style w:type="character" w:styleId="ListLabel6" w:customStyle="1">
    <w:name w:val="ListLabel 6"/>
    <w:qFormat/>
    <w:rPr>
      <w:sz w:val="20"/>
    </w:rPr>
  </w:style>
  <w:style w:type="character" w:styleId="ListLabel7" w:customStyle="1">
    <w:name w:val="ListLabel 7"/>
    <w:qFormat/>
    <w:rPr>
      <w:sz w:val="20"/>
    </w:rPr>
  </w:style>
  <w:style w:type="character" w:styleId="ListLabel8" w:customStyle="1">
    <w:name w:val="ListLabel 8"/>
    <w:qFormat/>
    <w:rPr>
      <w:sz w:val="20"/>
    </w:rPr>
  </w:style>
  <w:style w:type="character" w:styleId="ListLabel9" w:customStyle="1">
    <w:name w:val="ListLabel 9"/>
    <w:qFormat/>
    <w:rPr>
      <w:sz w:val="20"/>
    </w:rPr>
  </w:style>
  <w:style w:type="character" w:styleId="ListLabel10" w:customStyle="1">
    <w:name w:val="ListLabel 10"/>
    <w:qFormat/>
    <w:rPr>
      <w:sz w:val="20"/>
    </w:rPr>
  </w:style>
  <w:style w:type="character" w:styleId="ListLabel11" w:customStyle="1">
    <w:name w:val="ListLabel 11"/>
    <w:qFormat/>
    <w:rPr>
      <w:sz w:val="20"/>
    </w:rPr>
  </w:style>
  <w:style w:type="character" w:styleId="ListLabel12" w:customStyle="1">
    <w:name w:val="ListLabel 12"/>
    <w:qFormat/>
    <w:rPr>
      <w:sz w:val="20"/>
    </w:rPr>
  </w:style>
  <w:style w:type="character" w:styleId="ListLabel13" w:customStyle="1">
    <w:name w:val="ListLabel 13"/>
    <w:qFormat/>
    <w:rPr>
      <w:sz w:val="20"/>
    </w:rPr>
  </w:style>
  <w:style w:type="character" w:styleId="ListLabel14" w:customStyle="1">
    <w:name w:val="ListLabel 14"/>
    <w:qFormat/>
    <w:rPr>
      <w:sz w:val="20"/>
    </w:rPr>
  </w:style>
  <w:style w:type="character" w:styleId="ListLabel15" w:customStyle="1">
    <w:name w:val="ListLabel 15"/>
    <w:qFormat/>
    <w:rPr>
      <w:sz w:val="20"/>
    </w:rPr>
  </w:style>
  <w:style w:type="character" w:styleId="ListLabel16" w:customStyle="1">
    <w:name w:val="ListLabel 16"/>
    <w:qFormat/>
    <w:rPr>
      <w:sz w:val="20"/>
    </w:rPr>
  </w:style>
  <w:style w:type="character" w:styleId="ListLabel17" w:customStyle="1">
    <w:name w:val="ListLabel 17"/>
    <w:qFormat/>
    <w:rPr>
      <w:sz w:val="20"/>
    </w:rPr>
  </w:style>
  <w:style w:type="character" w:styleId="ListLabel18" w:customStyle="1">
    <w:name w:val="ListLabel 18"/>
    <w:qFormat/>
    <w:rPr>
      <w:sz w:val="20"/>
    </w:rPr>
  </w:style>
  <w:style w:type="character" w:styleId="ListLabel19" w:customStyle="1">
    <w:name w:val="ListLabel 19"/>
    <w:qFormat/>
    <w:rPr>
      <w:sz w:val="20"/>
    </w:rPr>
  </w:style>
  <w:style w:type="character" w:styleId="ListLabel20" w:customStyle="1">
    <w:name w:val="ListLabel 20"/>
    <w:qFormat/>
    <w:rPr>
      <w:sz w:val="20"/>
    </w:rPr>
  </w:style>
  <w:style w:type="character" w:styleId="ListLabel21" w:customStyle="1">
    <w:name w:val="ListLabel 21"/>
    <w:qFormat/>
    <w:rPr>
      <w:sz w:val="20"/>
    </w:rPr>
  </w:style>
  <w:style w:type="character" w:styleId="ListLabel22" w:customStyle="1">
    <w:name w:val="ListLabel 22"/>
    <w:qFormat/>
    <w:rPr>
      <w:sz w:val="20"/>
    </w:rPr>
  </w:style>
  <w:style w:type="character" w:styleId="ListLabel23" w:customStyle="1">
    <w:name w:val="ListLabel 23"/>
    <w:qFormat/>
    <w:rPr>
      <w:sz w:val="20"/>
    </w:rPr>
  </w:style>
  <w:style w:type="character" w:styleId="ListLabel24" w:customStyle="1">
    <w:name w:val="ListLabel 24"/>
    <w:qFormat/>
    <w:rPr>
      <w:sz w:val="20"/>
    </w:rPr>
  </w:style>
  <w:style w:type="character" w:styleId="ListLabel25" w:customStyle="1">
    <w:name w:val="ListLabel 25"/>
    <w:qFormat/>
    <w:rPr>
      <w:sz w:val="20"/>
    </w:rPr>
  </w:style>
  <w:style w:type="character" w:styleId="ListLabel26" w:customStyle="1">
    <w:name w:val="ListLabel 26"/>
    <w:qFormat/>
    <w:rPr>
      <w:sz w:val="20"/>
    </w:rPr>
  </w:style>
  <w:style w:type="character" w:styleId="ListLabel27" w:customStyle="1">
    <w:name w:val="ListLabel 27"/>
    <w:qFormat/>
    <w:rPr>
      <w:sz w:val="20"/>
    </w:rPr>
  </w:style>
  <w:style w:type="character" w:styleId="ListLabel28" w:customStyle="1">
    <w:name w:val="ListLabel 28"/>
    <w:qFormat/>
    <w:rPr>
      <w:sz w:val="20"/>
    </w:rPr>
  </w:style>
  <w:style w:type="character" w:styleId="ListLabel29" w:customStyle="1">
    <w:name w:val="ListLabel 29"/>
    <w:qFormat/>
    <w:rPr>
      <w:sz w:val="20"/>
    </w:rPr>
  </w:style>
  <w:style w:type="character" w:styleId="ListLabel30" w:customStyle="1">
    <w:name w:val="ListLabel 30"/>
    <w:qFormat/>
    <w:rPr>
      <w:sz w:val="20"/>
    </w:rPr>
  </w:style>
  <w:style w:type="character" w:styleId="ListLabel31" w:customStyle="1">
    <w:name w:val="ListLabel 31"/>
    <w:qFormat/>
    <w:rPr>
      <w:sz w:val="20"/>
    </w:rPr>
  </w:style>
  <w:style w:type="character" w:styleId="ListLabel32" w:customStyle="1">
    <w:name w:val="ListLabel 32"/>
    <w:qFormat/>
    <w:rPr>
      <w:sz w:val="20"/>
    </w:rPr>
  </w:style>
  <w:style w:type="character" w:styleId="ListLabel33" w:customStyle="1">
    <w:name w:val="ListLabel 33"/>
    <w:qFormat/>
    <w:rPr>
      <w:sz w:val="20"/>
    </w:rPr>
  </w:style>
  <w:style w:type="character" w:styleId="ListLabel34" w:customStyle="1">
    <w:name w:val="ListLabel 34"/>
    <w:qFormat/>
    <w:rPr>
      <w:sz w:val="20"/>
    </w:rPr>
  </w:style>
  <w:style w:type="character" w:styleId="ListLabel35" w:customStyle="1">
    <w:name w:val="ListLabel 35"/>
    <w:qFormat/>
    <w:rPr>
      <w:sz w:val="20"/>
    </w:rPr>
  </w:style>
  <w:style w:type="character" w:styleId="ListLabel36" w:customStyle="1">
    <w:name w:val="ListLabel 36"/>
    <w:qFormat/>
    <w:rPr>
      <w:sz w:val="20"/>
    </w:rPr>
  </w:style>
  <w:style w:type="character" w:styleId="ListLabel37" w:customStyle="1">
    <w:name w:val="ListLabel 37"/>
    <w:qFormat/>
    <w:rPr>
      <w:sz w:val="20"/>
    </w:rPr>
  </w:style>
  <w:style w:type="character" w:styleId="ListLabel38" w:customStyle="1">
    <w:name w:val="ListLabel 38"/>
    <w:qFormat/>
    <w:rPr>
      <w:sz w:val="20"/>
    </w:rPr>
  </w:style>
  <w:style w:type="character" w:styleId="ListLabel39" w:customStyle="1">
    <w:name w:val="ListLabel 39"/>
    <w:qFormat/>
    <w:rPr>
      <w:sz w:val="20"/>
    </w:rPr>
  </w:style>
  <w:style w:type="character" w:styleId="ListLabel40" w:customStyle="1">
    <w:name w:val="ListLabel 40"/>
    <w:qFormat/>
    <w:rPr>
      <w:sz w:val="20"/>
    </w:rPr>
  </w:style>
  <w:style w:type="character" w:styleId="ListLabel41" w:customStyle="1">
    <w:name w:val="ListLabel 41"/>
    <w:qFormat/>
    <w:rPr>
      <w:sz w:val="20"/>
    </w:rPr>
  </w:style>
  <w:style w:type="character" w:styleId="ListLabel42" w:customStyle="1">
    <w:name w:val="ListLabel 42"/>
    <w:qFormat/>
    <w:rPr>
      <w:sz w:val="20"/>
    </w:rPr>
  </w:style>
  <w:style w:type="character" w:styleId="ListLabel43" w:customStyle="1">
    <w:name w:val="ListLabel 43"/>
    <w:qFormat/>
    <w:rPr>
      <w:sz w:val="20"/>
    </w:rPr>
  </w:style>
  <w:style w:type="character" w:styleId="ListLabel44" w:customStyle="1">
    <w:name w:val="ListLabel 44"/>
    <w:qFormat/>
    <w:rPr>
      <w:sz w:val="20"/>
    </w:rPr>
  </w:style>
  <w:style w:type="character" w:styleId="ListLabel45" w:customStyle="1">
    <w:name w:val="ListLabel 45"/>
    <w:qFormat/>
    <w:rPr>
      <w:sz w:val="20"/>
    </w:rPr>
  </w:style>
  <w:style w:type="character" w:styleId="ListLabel46" w:customStyle="1">
    <w:name w:val="ListLabel 46"/>
    <w:qFormat/>
    <w:rPr>
      <w:sz w:val="20"/>
    </w:rPr>
  </w:style>
  <w:style w:type="character" w:styleId="ListLabel47" w:customStyle="1">
    <w:name w:val="ListLabel 47"/>
    <w:qFormat/>
    <w:rPr>
      <w:sz w:val="20"/>
    </w:rPr>
  </w:style>
  <w:style w:type="character" w:styleId="ListLabel48" w:customStyle="1">
    <w:name w:val="ListLabel 48"/>
    <w:qFormat/>
    <w:rPr>
      <w:sz w:val="20"/>
    </w:rPr>
  </w:style>
  <w:style w:type="character" w:styleId="ListLabel49" w:customStyle="1">
    <w:name w:val="ListLabel 49"/>
    <w:qFormat/>
    <w:rPr>
      <w:sz w:val="20"/>
    </w:rPr>
  </w:style>
  <w:style w:type="character" w:styleId="ListLabel50" w:customStyle="1">
    <w:name w:val="ListLabel 50"/>
    <w:qFormat/>
    <w:rPr>
      <w:sz w:val="20"/>
    </w:rPr>
  </w:style>
  <w:style w:type="character" w:styleId="ListLabel51" w:customStyle="1">
    <w:name w:val="ListLabel 51"/>
    <w:qFormat/>
    <w:rPr>
      <w:sz w:val="20"/>
    </w:rPr>
  </w:style>
  <w:style w:type="character" w:styleId="ListLabel52" w:customStyle="1">
    <w:name w:val="ListLabel 52"/>
    <w:qFormat/>
    <w:rPr>
      <w:sz w:val="20"/>
    </w:rPr>
  </w:style>
  <w:style w:type="character" w:styleId="ListLabel53" w:customStyle="1">
    <w:name w:val="ListLabel 53"/>
    <w:qFormat/>
    <w:rPr>
      <w:sz w:val="20"/>
    </w:rPr>
  </w:style>
  <w:style w:type="character" w:styleId="ListLabel54" w:customStyle="1">
    <w:name w:val="ListLabel 54"/>
    <w:qFormat/>
    <w:rPr>
      <w:sz w:val="20"/>
    </w:rPr>
  </w:style>
  <w:style w:type="character" w:styleId="ListLabel55" w:customStyle="1">
    <w:name w:val="ListLabel 55"/>
    <w:qFormat/>
    <w:rPr>
      <w:sz w:val="20"/>
    </w:rPr>
  </w:style>
  <w:style w:type="character" w:styleId="ListLabel56" w:customStyle="1">
    <w:name w:val="ListLabel 56"/>
    <w:qFormat/>
    <w:rPr>
      <w:rFonts w:ascii="Times New Roman" w:hAnsi="Times New Roman"/>
      <w:b/>
      <w:sz w:val="28"/>
    </w:rPr>
  </w:style>
  <w:style w:type="character" w:styleId="ListLabel815">
    <w:name w:val="ListLabel 815"/>
    <w:qFormat/>
    <w:rPr>
      <w:rFonts w:ascii="Times New Roman" w:hAnsi="Times New Roman" w:cs="OpenSymbol"/>
      <w:b w:val="false"/>
      <w:sz w:val="28"/>
    </w:rPr>
  </w:style>
  <w:style w:type="character" w:styleId="ListLabel816">
    <w:name w:val="ListLabel 816"/>
    <w:qFormat/>
    <w:rPr>
      <w:rFonts w:cs="OpenSymbol"/>
    </w:rPr>
  </w:style>
  <w:style w:type="character" w:styleId="ListLabel817">
    <w:name w:val="ListLabel 817"/>
    <w:qFormat/>
    <w:rPr>
      <w:rFonts w:cs="OpenSymbol"/>
    </w:rPr>
  </w:style>
  <w:style w:type="character" w:styleId="ListLabel818">
    <w:name w:val="ListLabel 818"/>
    <w:qFormat/>
    <w:rPr>
      <w:rFonts w:cs="OpenSymbol"/>
    </w:rPr>
  </w:style>
  <w:style w:type="character" w:styleId="ListLabel819">
    <w:name w:val="ListLabel 819"/>
    <w:qFormat/>
    <w:rPr>
      <w:rFonts w:cs="OpenSymbol"/>
    </w:rPr>
  </w:style>
  <w:style w:type="character" w:styleId="ListLabel820">
    <w:name w:val="ListLabel 820"/>
    <w:qFormat/>
    <w:rPr>
      <w:rFonts w:cs="OpenSymbol"/>
    </w:rPr>
  </w:style>
  <w:style w:type="character" w:styleId="ListLabel821">
    <w:name w:val="ListLabel 821"/>
    <w:qFormat/>
    <w:rPr>
      <w:rFonts w:cs="OpenSymbol"/>
    </w:rPr>
  </w:style>
  <w:style w:type="character" w:styleId="ListLabel822">
    <w:name w:val="ListLabel 822"/>
    <w:qFormat/>
    <w:rPr>
      <w:rFonts w:cs="OpenSymbol"/>
    </w:rPr>
  </w:style>
  <w:style w:type="character" w:styleId="ListLabel823">
    <w:name w:val="ListLabel 823"/>
    <w:qFormat/>
    <w:rPr>
      <w:rFonts w:cs="OpenSymbol"/>
    </w:rPr>
  </w:style>
  <w:style w:type="character" w:styleId="ListLabel824">
    <w:name w:val="ListLabel 824"/>
    <w:qFormat/>
    <w:rPr>
      <w:b/>
    </w:rPr>
  </w:style>
  <w:style w:type="character" w:styleId="ListLabel825">
    <w:name w:val="ListLabel 825"/>
    <w:qFormat/>
    <w:rPr>
      <w:rFonts w:ascii="Times New Roman" w:hAnsi="Times New Roman"/>
      <w:b/>
      <w:sz w:val="28"/>
    </w:rPr>
  </w:style>
  <w:style w:type="character" w:styleId="ListLabel826">
    <w:name w:val="ListLabel 826"/>
    <w:qFormat/>
    <w:rPr>
      <w:rFonts w:cs="OpenSymbol"/>
      <w:b w:val="false"/>
      <w:sz w:val="28"/>
    </w:rPr>
  </w:style>
  <w:style w:type="character" w:styleId="ListLabel827">
    <w:name w:val="ListLabel 827"/>
    <w:qFormat/>
    <w:rPr>
      <w:rFonts w:cs="OpenSymbol"/>
    </w:rPr>
  </w:style>
  <w:style w:type="character" w:styleId="ListLabel828">
    <w:name w:val="ListLabel 828"/>
    <w:qFormat/>
    <w:rPr>
      <w:rFonts w:cs="OpenSymbol"/>
    </w:rPr>
  </w:style>
  <w:style w:type="character" w:styleId="ListLabel829">
    <w:name w:val="ListLabel 829"/>
    <w:qFormat/>
    <w:rPr>
      <w:rFonts w:cs="OpenSymbol"/>
    </w:rPr>
  </w:style>
  <w:style w:type="character" w:styleId="ListLabel830">
    <w:name w:val="ListLabel 830"/>
    <w:qFormat/>
    <w:rPr>
      <w:rFonts w:cs="OpenSymbol"/>
    </w:rPr>
  </w:style>
  <w:style w:type="character" w:styleId="ListLabel831">
    <w:name w:val="ListLabel 831"/>
    <w:qFormat/>
    <w:rPr>
      <w:rFonts w:cs="OpenSymbol"/>
    </w:rPr>
  </w:style>
  <w:style w:type="character" w:styleId="ListLabel832">
    <w:name w:val="ListLabel 832"/>
    <w:qFormat/>
    <w:rPr>
      <w:rFonts w:cs="OpenSymbol"/>
    </w:rPr>
  </w:style>
  <w:style w:type="character" w:styleId="ListLabel833">
    <w:name w:val="ListLabel 833"/>
    <w:qFormat/>
    <w:rPr>
      <w:rFonts w:cs="OpenSymbol"/>
    </w:rPr>
  </w:style>
  <w:style w:type="character" w:styleId="ListLabel834">
    <w:name w:val="ListLabel 834"/>
    <w:qFormat/>
    <w:rPr>
      <w:rFonts w:cs="OpenSymbol"/>
    </w:rPr>
  </w:style>
  <w:style w:type="character" w:styleId="ListLabel835">
    <w:name w:val="ListLabel 835"/>
    <w:qFormat/>
    <w:rPr>
      <w:b/>
    </w:rPr>
  </w:style>
  <w:style w:type="character" w:styleId="ListLabel836">
    <w:name w:val="ListLabel 836"/>
    <w:qFormat/>
    <w:rPr>
      <w:b/>
      <w:sz w:val="28"/>
    </w:rPr>
  </w:style>
  <w:style w:type="character" w:styleId="ListLabel837">
    <w:name w:val="ListLabel 837"/>
    <w:qFormat/>
    <w:rPr>
      <w:rFonts w:cs="OpenSymbol"/>
      <w:b w:val="false"/>
      <w:sz w:val="28"/>
    </w:rPr>
  </w:style>
  <w:style w:type="character" w:styleId="ListLabel838">
    <w:name w:val="ListLabel 838"/>
    <w:qFormat/>
    <w:rPr>
      <w:rFonts w:cs="OpenSymbol"/>
    </w:rPr>
  </w:style>
  <w:style w:type="character" w:styleId="ListLabel839">
    <w:name w:val="ListLabel 839"/>
    <w:qFormat/>
    <w:rPr>
      <w:rFonts w:cs="OpenSymbol"/>
    </w:rPr>
  </w:style>
  <w:style w:type="character" w:styleId="ListLabel840">
    <w:name w:val="ListLabel 840"/>
    <w:qFormat/>
    <w:rPr>
      <w:rFonts w:cs="OpenSymbol"/>
    </w:rPr>
  </w:style>
  <w:style w:type="character" w:styleId="ListLabel841">
    <w:name w:val="ListLabel 841"/>
    <w:qFormat/>
    <w:rPr>
      <w:rFonts w:cs="OpenSymbol"/>
    </w:rPr>
  </w:style>
  <w:style w:type="character" w:styleId="ListLabel842">
    <w:name w:val="ListLabel 842"/>
    <w:qFormat/>
    <w:rPr>
      <w:rFonts w:cs="OpenSymbol"/>
    </w:rPr>
  </w:style>
  <w:style w:type="character" w:styleId="ListLabel843">
    <w:name w:val="ListLabel 843"/>
    <w:qFormat/>
    <w:rPr>
      <w:rFonts w:cs="OpenSymbol"/>
    </w:rPr>
  </w:style>
  <w:style w:type="character" w:styleId="ListLabel844">
    <w:name w:val="ListLabel 844"/>
    <w:qFormat/>
    <w:rPr>
      <w:rFonts w:cs="OpenSymbol"/>
    </w:rPr>
  </w:style>
  <w:style w:type="character" w:styleId="ListLabel845">
    <w:name w:val="ListLabel 845"/>
    <w:qFormat/>
    <w:rPr>
      <w:rFonts w:cs="OpenSymbol"/>
    </w:rPr>
  </w:style>
  <w:style w:type="character" w:styleId="ListLabel846">
    <w:name w:val="ListLabel 846"/>
    <w:qFormat/>
    <w:rPr>
      <w:b/>
    </w:rPr>
  </w:style>
  <w:style w:type="character" w:styleId="ListLabel847">
    <w:name w:val="ListLabel 847"/>
    <w:qFormat/>
    <w:rPr>
      <w:b/>
      <w:sz w:val="2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fe614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6365c7"/>
    <w:pPr>
      <w:spacing w:before="0" w:after="160"/>
      <w:ind w:left="720" w:hanging="0"/>
      <w:contextualSpacing/>
    </w:pPr>
    <w:rPr/>
  </w:style>
  <w:style w:type="paragraph" w:styleId="Western">
    <w:name w:val="western"/>
    <w:basedOn w:val="Normal"/>
    <w:qFormat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8"/>
      <w:szCs w:val="28"/>
      <w:lang w:eastAsia="ru-RU"/>
    </w:rPr>
  </w:style>
  <w:style w:type="paragraph" w:styleId="11">
    <w:name w:val="Заголовок 1 Знак1"/>
    <w:basedOn w:val="Normal"/>
    <w:next w:val="Normal"/>
    <w:qFormat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LibreOffice/6.1.2.1$Windows_X86_64 LibreOffice_project/65905a128db06ba48db947242809d14d3f9a93fe</Application>
  <Pages>12</Pages>
  <Words>2101</Words>
  <Characters>15080</Characters>
  <CharactersWithSpaces>17181</CharactersWithSpaces>
  <Paragraphs>261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2023-05-01T10:05:00Z</dcterms:created>
  <dc:creator>Пользователь</dc:creator>
  <dc:description/>
  <dc:language>ru-RU</dc:language>
  <cp:lastModifiedBy/>
  <dcterms:modified xsi:type="dcterms:W3CDTF">2023-12-17T11:38:46Z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