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EC3307" w14:textId="77777777" w:rsidR="005A4505" w:rsidRPr="005A4505" w:rsidRDefault="005A4505" w:rsidP="005A45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691A362" w14:textId="77777777" w:rsidR="002065A4" w:rsidRDefault="005A4505" w:rsidP="002065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65A4">
        <w:rPr>
          <w:rFonts w:ascii="Times New Roman" w:hAnsi="Times New Roman" w:cs="Times New Roman"/>
          <w:b/>
          <w:bCs/>
          <w:sz w:val="24"/>
          <w:szCs w:val="24"/>
        </w:rPr>
        <w:t xml:space="preserve">ЭКСПРЕСС-МОНИТОРИНГ ПРЕДМЕТНЫХ РЕЗУЛЬТАТОВ КАК ЭФФЕКТИВНЫЙ ЭЛЕМЕНТ ФОНДА ОЦЕНОЧНЫХ СРЕДСТВ </w:t>
      </w:r>
    </w:p>
    <w:p w14:paraId="426E5508" w14:textId="64B00B77" w:rsidR="005A4505" w:rsidRPr="00575BBC" w:rsidRDefault="002065A4" w:rsidP="00575BB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065A4">
        <w:rPr>
          <w:rFonts w:ascii="Times New Roman" w:hAnsi="Times New Roman" w:cs="Times New Roman"/>
          <w:b/>
          <w:bCs/>
          <w:sz w:val="24"/>
          <w:szCs w:val="24"/>
        </w:rPr>
        <w:t>(из опыта работы областной инновационной площадки</w:t>
      </w:r>
      <w:r w:rsidR="00575B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75BB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75BBC" w:rsidRPr="00575BBC">
        <w:rPr>
          <w:rFonts w:ascii="Times New Roman" w:hAnsi="Times New Roman" w:cs="Times New Roman"/>
          <w:b/>
          <w:bCs/>
          <w:sz w:val="24"/>
          <w:szCs w:val="24"/>
        </w:rPr>
        <w:t>Экспресс - мониторинг достижения планируемых результатов как механизм управления качеством деятельности ученика»</w:t>
      </w:r>
      <w:r w:rsidRPr="00575BBC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4DC98D0F" w14:textId="2E46AED8" w:rsidR="005A4505" w:rsidRPr="00DF70A9" w:rsidRDefault="0056018B" w:rsidP="0056018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ВВЕДЕНИЕ</w:t>
      </w:r>
    </w:p>
    <w:p w14:paraId="412F8C38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Одной из приоритетных задач современного школьного образования является обеспечение достижения обучающимися результатов, установленных Федеральными государственными образовательными стандартами (далее – ФГОС). В связи с этим особую актуальность приобретает разработка и внедрение в образовательный процесс таких оценочных средств, которые позволяют проводить объективную и комплексную оценку сформированности у обучающихся компетенций, освоения ими знаний, умений и приобретения практического опыта.</w:t>
      </w:r>
    </w:p>
    <w:p w14:paraId="541B00FB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Согласно требованиям ФГОС, для аттестации обучающихся на соответствие их персональных достижений поэтапным требованиям основной образовательной программы (текущая и промежуточная аттестация) создаются фонды оценочных средств (далее – ФОС). ФОС представляет собой комплект методических и контрольных материалов, предназначенных для контроля и управления процессом приобретения обучающимися необходимых знаний, умений и компетенций.</w:t>
      </w:r>
    </w:p>
    <w:p w14:paraId="730649ED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Однако, как показывает практика, традиционные контрольно-измерительные материалы не всегда позволяют оперативно и с минимальными временными затратами получать достоверную информацию об уровне усвоения учебного материала каждым учеником и классом в целом. Кроме того, существующая система оценивания часто провоцирует у обучающихся повышенную тревожность, что негативно сказывается как на результатах обучения, так и на психологическом климате в классе.</w:t>
      </w:r>
    </w:p>
    <w:p w14:paraId="17B4DCDC" w14:textId="34FB6A4F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В данной статье представлен опыт работы областной инновационной площадки</w:t>
      </w:r>
      <w:r w:rsidR="00F6301C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>по теме «Экспресс-мониторинг достижения планируемых результатов как механизм управления качеством деятельности ученика». Авторы проекта предложили и апробировали новый подход к текущему и тематическому контролю – использование экспресс-моделей мониторинга, основанных на дихотомической шкале оценивания.</w:t>
      </w:r>
    </w:p>
    <w:p w14:paraId="0D5069E3" w14:textId="62E3D8A7" w:rsidR="005A4505" w:rsidRPr="00DF70A9" w:rsidRDefault="0056018B" w:rsidP="0056018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ЭКСПРЕСС-МОДЕЛЬ КАК ЭЛЕМЕНТ ФОНДА ОЦЕНОЧНЫХ СРЕДСТВ</w:t>
      </w:r>
    </w:p>
    <w:p w14:paraId="16451555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Под экспресс-моделью в рамках данного проекта понимается небольшая самостоятельная проверочная работа, включающая 6 заданий базового уровня по одной теме или одному учебному элементу. Время выполнения работы составляет 6–7 минут. Ключевой особенностью экспресс-модели является использование дихотомической шкалы </w:t>
      </w:r>
      <w:r w:rsidRPr="00DF70A9">
        <w:rPr>
          <w:rFonts w:ascii="Times New Roman" w:hAnsi="Times New Roman" w:cs="Times New Roman"/>
          <w:sz w:val="24"/>
          <w:szCs w:val="24"/>
        </w:rPr>
        <w:lastRenderedPageBreak/>
        <w:t>оценивания: «зачёт» (все задания выполнены верно) или «незачёт» (допущена хотя бы одна ошибка). Права на ошибку нет.</w:t>
      </w:r>
    </w:p>
    <w:p w14:paraId="64AA9FB7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Дихотомическая шкала была выбрана авторами проекта по следующим причинам:</w:t>
      </w:r>
    </w:p>
    <w:p w14:paraId="00BE25A6" w14:textId="77777777" w:rsidR="005A4505" w:rsidRPr="00DF70A9" w:rsidRDefault="005A4505" w:rsidP="0093327E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- простота реализации и контроля качества модели;</w:t>
      </w:r>
    </w:p>
    <w:p w14:paraId="19B6EF94" w14:textId="77777777" w:rsidR="005A4505" w:rsidRPr="00DF70A9" w:rsidRDefault="005A4505" w:rsidP="0093327E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- возможность сохранения максимума исходной информации;</w:t>
      </w:r>
    </w:p>
    <w:p w14:paraId="1A11C2EE" w14:textId="77777777" w:rsidR="005A4505" w:rsidRPr="00DF70A9" w:rsidRDefault="005A4505" w:rsidP="0093327E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- возможность сведения к дихотомии данных измерений, полученных в других шкалах;</w:t>
      </w:r>
    </w:p>
    <w:p w14:paraId="366FF25A" w14:textId="77777777" w:rsidR="005A4505" w:rsidRPr="00DF70A9" w:rsidRDefault="005A4505" w:rsidP="0093327E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- простота расчёта коэффициента корреляции при необходимости оценки тесноты связи между признаками.</w:t>
      </w:r>
    </w:p>
    <w:p w14:paraId="4A1616CF" w14:textId="5ED56195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Важно отметить, что прообразом экспресс-моделей стали задания из двухэтапных контрольных работ – инновационной модели контрольно-оценочной деятельности учителя математики</w:t>
      </w:r>
      <w:r w:rsidR="00F6301C" w:rsidRPr="00DF70A9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F6301C" w:rsidRPr="00DF70A9">
        <w:rPr>
          <w:rFonts w:ascii="Times New Roman" w:hAnsi="Times New Roman" w:cs="Times New Roman"/>
          <w:sz w:val="24"/>
          <w:szCs w:val="24"/>
        </w:rPr>
        <w:t xml:space="preserve">. </w:t>
      </w:r>
      <w:r w:rsidRPr="00DF70A9">
        <w:rPr>
          <w:rFonts w:ascii="Times New Roman" w:hAnsi="Times New Roman" w:cs="Times New Roman"/>
          <w:sz w:val="24"/>
          <w:szCs w:val="24"/>
        </w:rPr>
        <w:t>Однако авторы проекта пошли дальше, выделив первую (базовую) часть двухэтапной контрольной в самостоятельный диагностический инструмент.</w:t>
      </w:r>
    </w:p>
    <w:p w14:paraId="5F26ABE4" w14:textId="3084BCA5" w:rsidR="005A4505" w:rsidRPr="00DF70A9" w:rsidRDefault="0056018B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РАЗРАБОТКА И СОДЕРЖАНИЕ ЭКСПРЕСС-МОДЕЛЕЙ</w:t>
      </w:r>
    </w:p>
    <w:p w14:paraId="0216347E" w14:textId="28E86C23" w:rsidR="00F6301C" w:rsidRPr="00DF70A9" w:rsidRDefault="00F6301C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За годы работы в рамках инновационного проект «Экспресс - мониторинг достижения планируемых результатов («экспресс-модели») как механизм управления качеством образовательных результатов в деятельности учителя математики в логике ФГОС» творческой группой педагогов математики были разработаны тексты экспресс-моделей по различным тематикам из различных областей математических знаний (математика, алгебра, геометрия). Использование данных экспресс-моделей позволяет выявить как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неперсонифицированные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 xml:space="preserve"> результаты обучающихся всего класса или параллелей классов в целом, которые необходимы для принятия управленческих решений по повышению качества обучения математике, так и персонифицированные, личностные результаты каждого школьника, которые важны для выстраивания и реализации индивидуальных образовательных траекторий.</w:t>
      </w:r>
    </w:p>
    <w:p w14:paraId="2A74291B" w14:textId="73793EBC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Значимость и уникальность разработанных экспресс-моделей заключается в их универсальности. Во-первых, текст экспресс-модели не привязан к конкретному учебно-методическому комплексу (УМК), что позволяет использовать его в любых образовательных организациях независимо от выбранной программы. Во-вторых, одна и та же модель может быть использована многократно в разных параллелях. Например, модель «Действия с обыкновенными дробями с разными знаменателями» применяется в 6 классе при первичном изучении темы и в 8 классе – при изучении действий с алгебраическими дробями для актуализации опорных знаний.</w:t>
      </w:r>
    </w:p>
    <w:p w14:paraId="0D68AEAE" w14:textId="2052B8FB" w:rsidR="00F6301C" w:rsidRPr="00DF70A9" w:rsidRDefault="0056018B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ПРИМЕРЫ ЭКСПРЕСС-МОДЕЛЕЙ ПО НЕКОТОРЫМ ТЕМАМ.</w:t>
      </w:r>
    </w:p>
    <w:p w14:paraId="30C6139C" w14:textId="77777777" w:rsidR="0056018B" w:rsidRPr="00DF70A9" w:rsidRDefault="0056018B" w:rsidP="0056018B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  <w:u w:val="single"/>
        </w:rPr>
        <w:t>«Действия с натуральными числами»</w:t>
      </w:r>
    </w:p>
    <w:p w14:paraId="39EB09AF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Найдите значение суммы: 215+32.</w:t>
      </w:r>
    </w:p>
    <w:p w14:paraId="08DF5964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Найдите значение разности чисел 87 и 32.</w:t>
      </w:r>
    </w:p>
    <w:p w14:paraId="7B750A7F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Найдите значение частного 126:3.</w:t>
      </w:r>
    </w:p>
    <w:p w14:paraId="54209AAE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Найдите значение произведения чисел 16 и 9.</w:t>
      </w:r>
    </w:p>
    <w:p w14:paraId="01DAD876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Представьте число 108 в виде разрядных слагаемых.</w:t>
      </w:r>
    </w:p>
    <w:p w14:paraId="43AED2C6" w14:textId="77777777" w:rsidR="0056018B" w:rsidRPr="00DF70A9" w:rsidRDefault="0056018B" w:rsidP="0056018B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Назовите какая цифра записана в разряде десятков в числе 123.</w:t>
      </w:r>
    </w:p>
    <w:p w14:paraId="214808CB" w14:textId="77777777" w:rsidR="0056018B" w:rsidRPr="00DF70A9" w:rsidRDefault="0056018B" w:rsidP="0056018B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00B1324" w14:textId="13258410" w:rsidR="0056018B" w:rsidRPr="00DF70A9" w:rsidRDefault="0056018B" w:rsidP="0056018B"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  <w:u w:val="single"/>
        </w:rPr>
        <w:t>«Действия с обыкновенными дробями с разными знаменателями»</w:t>
      </w:r>
    </w:p>
    <w:p w14:paraId="13E9FCB6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Найдите значение суммы:  </w:t>
      </w:r>
    </w:p>
    <w:p w14:paraId="1290812D" w14:textId="77777777" w:rsidR="0056018B" w:rsidRPr="00DF70A9" w:rsidRDefault="0056018B" w:rsidP="0056018B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2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27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+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9</m:t>
            </m:r>
          </m:den>
        </m:f>
      </m:oMath>
      <w:r w:rsidRPr="00DF70A9">
        <w:rPr>
          <w:rFonts w:ascii="Times New Roman" w:hAnsi="Times New Roman" w:cs="Times New Roman"/>
          <w:sz w:val="24"/>
          <w:szCs w:val="24"/>
        </w:rPr>
        <w:t xml:space="preserve"> . </w:t>
      </w:r>
    </w:p>
    <w:p w14:paraId="4CB85185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Найдите значение </w:t>
      </w:r>
      <w:proofErr w:type="gramStart"/>
      <w:r w:rsidRPr="00DF70A9">
        <w:rPr>
          <w:rFonts w:ascii="Times New Roman" w:hAnsi="Times New Roman" w:cs="Times New Roman"/>
          <w:sz w:val="24"/>
          <w:szCs w:val="24"/>
        </w:rPr>
        <w:t xml:space="preserve">разности:   </w:t>
      </w:r>
      <w:proofErr w:type="gramEnd"/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11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-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9  </m:t>
            </m:r>
          </m:den>
        </m:f>
      </m:oMath>
      <w:r w:rsidRPr="00DF70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1C41AB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Выполните умножение </w:t>
      </w:r>
      <w:proofErr w:type="gramStart"/>
      <w:r w:rsidRPr="00DF70A9">
        <w:rPr>
          <w:rFonts w:ascii="Times New Roman" w:hAnsi="Times New Roman" w:cs="Times New Roman"/>
          <w:sz w:val="24"/>
          <w:szCs w:val="24"/>
        </w:rPr>
        <w:t xml:space="preserve">дробей:   </w:t>
      </w:r>
      <w:proofErr w:type="gramEnd"/>
      <w:r w:rsidRPr="00DF70A9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*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</m:oMath>
      <w:r w:rsidRPr="00DF70A9">
        <w:rPr>
          <w:rFonts w:ascii="Times New Roman" w:hAnsi="Times New Roman" w:cs="Times New Roman"/>
          <w:sz w:val="24"/>
          <w:szCs w:val="24"/>
        </w:rPr>
        <w:t xml:space="preserve">  .</w:t>
      </w:r>
    </w:p>
    <w:p w14:paraId="15101B9C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Найдите значение частного обыкновенных </w:t>
      </w:r>
      <w:proofErr w:type="gramStart"/>
      <w:r w:rsidRPr="00DF70A9">
        <w:rPr>
          <w:rFonts w:ascii="Times New Roman" w:hAnsi="Times New Roman" w:cs="Times New Roman"/>
          <w:sz w:val="24"/>
          <w:szCs w:val="24"/>
        </w:rPr>
        <w:t xml:space="preserve">дробей:   </w:t>
      </w:r>
      <w:proofErr w:type="gramEnd"/>
      <w:r w:rsidRPr="00DF70A9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6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: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39</m:t>
            </m:r>
          </m:den>
        </m:f>
      </m:oMath>
      <w:r w:rsidRPr="00DF70A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5FFE506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Сократите </w:t>
      </w:r>
      <w:proofErr w:type="gramStart"/>
      <w:r w:rsidRPr="00DF70A9">
        <w:rPr>
          <w:rFonts w:ascii="Times New Roman" w:hAnsi="Times New Roman" w:cs="Times New Roman"/>
          <w:sz w:val="24"/>
          <w:szCs w:val="24"/>
        </w:rPr>
        <w:t xml:space="preserve">дробь:   </w:t>
      </w:r>
      <w:proofErr w:type="gramEnd"/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 xml:space="preserve">36 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48</m:t>
            </m:r>
          </m:den>
        </m:f>
      </m:oMath>
      <w:r w:rsidRPr="00DF70A9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6501D73E" w14:textId="77777777" w:rsidR="0056018B" w:rsidRPr="00DF70A9" w:rsidRDefault="0056018B" w:rsidP="0056018B">
      <w:pPr>
        <w:numPr>
          <w:ilvl w:val="0"/>
          <w:numId w:val="2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Запишите обыкновенной дробью частной чисел 3 и 8. </w:t>
      </w:r>
    </w:p>
    <w:p w14:paraId="562E6B3E" w14:textId="77777777" w:rsidR="0056018B" w:rsidRPr="00DF70A9" w:rsidRDefault="0056018B" w:rsidP="00F6301C">
      <w:pPr>
        <w:spacing w:after="4" w:line="229" w:lineRule="auto"/>
        <w:ind w:right="4"/>
        <w:jc w:val="center"/>
        <w:rPr>
          <w:rFonts w:ascii="Times New Roman" w:eastAsia="Book Antiqua" w:hAnsi="Times New Roman" w:cs="Times New Roman"/>
          <w:b/>
          <w:bCs/>
          <w:i/>
          <w:sz w:val="24"/>
          <w:szCs w:val="24"/>
        </w:rPr>
      </w:pPr>
    </w:p>
    <w:p w14:paraId="055F2456" w14:textId="6E368DAE" w:rsidR="00F6301C" w:rsidRPr="00F6301C" w:rsidRDefault="00F6301C" w:rsidP="00F6301C">
      <w:pPr>
        <w:spacing w:after="4" w:line="229" w:lineRule="auto"/>
        <w:ind w:right="4"/>
        <w:jc w:val="center"/>
        <w:rPr>
          <w:rFonts w:ascii="Times New Roman" w:eastAsia="Book Antiqua" w:hAnsi="Times New Roman" w:cs="Times New Roman"/>
          <w:b/>
          <w:bCs/>
          <w:iCs/>
          <w:sz w:val="24"/>
          <w:szCs w:val="24"/>
          <w:u w:val="single"/>
        </w:rPr>
      </w:pPr>
      <w:r w:rsidRPr="00F6301C">
        <w:rPr>
          <w:rFonts w:ascii="Times New Roman" w:eastAsia="Book Antiqua" w:hAnsi="Times New Roman" w:cs="Times New Roman"/>
          <w:b/>
          <w:bCs/>
          <w:iCs/>
          <w:sz w:val="24"/>
          <w:szCs w:val="24"/>
          <w:u w:val="single"/>
        </w:rPr>
        <w:t>«Признаки равенства треугольников»</w:t>
      </w:r>
    </w:p>
    <w:p w14:paraId="2E019C09" w14:textId="77777777" w:rsidR="00F6301C" w:rsidRPr="00F6301C" w:rsidRDefault="00F6301C" w:rsidP="00F6301C">
      <w:pPr>
        <w:spacing w:after="4" w:line="229" w:lineRule="auto"/>
        <w:ind w:right="4"/>
        <w:jc w:val="center"/>
        <w:rPr>
          <w:rFonts w:ascii="Times New Roman" w:eastAsia="Book Antiqua" w:hAnsi="Times New Roman" w:cs="Times New Roman"/>
          <w:iCs/>
          <w:color w:val="538135" w:themeColor="accent6" w:themeShade="BF"/>
          <w:sz w:val="24"/>
          <w:szCs w:val="24"/>
        </w:rPr>
      </w:pPr>
    </w:p>
    <w:p w14:paraId="0ECBBFDE" w14:textId="77777777" w:rsidR="00F6301C" w:rsidRPr="00F6301C" w:rsidRDefault="00F6301C" w:rsidP="00F6301C">
      <w:pPr>
        <w:numPr>
          <w:ilvl w:val="0"/>
          <w:numId w:val="1"/>
        </w:numPr>
        <w:spacing w:after="4" w:line="229" w:lineRule="auto"/>
        <w:ind w:right="4"/>
        <w:contextualSpacing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По рисунку определите, по какому признаку равны треугольники</w:t>
      </w:r>
      <w:r w:rsidRPr="00F6301C">
        <w:rPr>
          <w:rFonts w:ascii="Times New Roman" w:hAnsi="Times New Roman" w:cs="Times New Roman"/>
          <w:sz w:val="24"/>
          <w:szCs w:val="24"/>
        </w:rPr>
        <w:t xml:space="preserve"> 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FDC и ABC и в ответ запишите словесную формулировку признака. </w:t>
      </w:r>
    </w:p>
    <w:p w14:paraId="398C5CC6" w14:textId="77777777" w:rsidR="00F6301C" w:rsidRPr="00F6301C" w:rsidRDefault="00F6301C" w:rsidP="00F6301C">
      <w:pPr>
        <w:spacing w:after="98" w:line="229" w:lineRule="auto"/>
        <w:ind w:left="360" w:right="4372"/>
        <w:jc w:val="center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A96C9FB" wp14:editId="75CF6F22">
            <wp:extent cx="2929890" cy="1481455"/>
            <wp:effectExtent l="0" t="0" r="3810" b="4445"/>
            <wp:docPr id="4499" name="Рисунок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890" cy="148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</w:t>
      </w:r>
    </w:p>
    <w:p w14:paraId="58CFE973" w14:textId="77777777" w:rsidR="00F6301C" w:rsidRPr="00F6301C" w:rsidRDefault="00F6301C" w:rsidP="00F6301C">
      <w:pPr>
        <w:ind w:left="36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2. Определите, по какому признаку равны треугольники под номерами 1 и 2 на рисунке.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vertAlign w:val="superscript"/>
        </w:rPr>
        <w:t xml:space="preserve"> </w:t>
      </w:r>
    </w:p>
    <w:p w14:paraId="3B3BD298" w14:textId="77777777" w:rsidR="00F6301C" w:rsidRPr="00F6301C" w:rsidRDefault="00F6301C" w:rsidP="00F6301C">
      <w:pPr>
        <w:spacing w:after="115" w:line="229" w:lineRule="auto"/>
        <w:ind w:left="1080" w:right="4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i/>
          <w:noProof/>
          <w:color w:val="000000"/>
          <w:sz w:val="24"/>
          <w:szCs w:val="24"/>
          <w:lang w:val="en-US"/>
        </w:rPr>
        <w:drawing>
          <wp:inline distT="0" distB="0" distL="0" distR="0" wp14:anchorId="31E75A19" wp14:editId="1378368B">
            <wp:extent cx="2149475" cy="1515110"/>
            <wp:effectExtent l="0" t="0" r="3175" b="8890"/>
            <wp:docPr id="4498" name="Рисунок 4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01C">
        <w:rPr>
          <w:rFonts w:ascii="Times New Roman" w:eastAsia="Book Antiqua" w:hAnsi="Times New Roman" w:cs="Times New Roman"/>
          <w:i/>
          <w:color w:val="000000"/>
          <w:sz w:val="24"/>
          <w:szCs w:val="24"/>
        </w:rPr>
        <w:t xml:space="preserve"> </w:t>
      </w:r>
    </w:p>
    <w:p w14:paraId="010AE7B1" w14:textId="77777777" w:rsidR="00F6301C" w:rsidRPr="00F6301C" w:rsidRDefault="00F6301C" w:rsidP="00F6301C">
      <w:pPr>
        <w:spacing w:after="4" w:line="229" w:lineRule="auto"/>
        <w:ind w:right="4" w:hanging="370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3. Известно, что треугольники АСВ и РТО равны. Укажите в этих треугольниках соответственно равные углы.  </w:t>
      </w:r>
    </w:p>
    <w:p w14:paraId="1A6715F1" w14:textId="77777777" w:rsidR="00F6301C" w:rsidRPr="00F6301C" w:rsidRDefault="00F6301C" w:rsidP="00F6301C">
      <w:pPr>
        <w:spacing w:after="0" w:line="229" w:lineRule="auto"/>
        <w:ind w:left="1080" w:right="4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05D13496" wp14:editId="45DB19E9">
            <wp:extent cx="1588770" cy="1161415"/>
            <wp:effectExtent l="0" t="0" r="0" b="635"/>
            <wp:docPr id="4495" name="Рисунок 4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</w:t>
      </w:r>
    </w:p>
    <w:p w14:paraId="7FC19192" w14:textId="77777777" w:rsidR="00F6301C" w:rsidRPr="00F6301C" w:rsidRDefault="00F6301C" w:rsidP="00F6301C">
      <w:pPr>
        <w:tabs>
          <w:tab w:val="left" w:pos="426"/>
        </w:tabs>
        <w:spacing w:after="30"/>
        <w:ind w:left="-426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4.Известно, что ∆АВС=∆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ADC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, </w:t>
      </w:r>
      <w:r w:rsidRPr="00F6301C">
        <w:rPr>
          <w:rFonts w:ascii="Cambria Math" w:eastAsia="Cambria Math" w:hAnsi="Cambria Math" w:cs="Cambria Math"/>
          <w:color w:val="000000"/>
          <w:sz w:val="24"/>
          <w:szCs w:val="24"/>
        </w:rPr>
        <w:t>∠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АСВ=70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vertAlign w:val="superscript"/>
        </w:rPr>
        <w:t>0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. Найдите градусную меру </w:t>
      </w:r>
      <w:r w:rsidRPr="00F6301C">
        <w:rPr>
          <w:rFonts w:ascii="Cambria Math" w:eastAsia="Cambria Math" w:hAnsi="Cambria Math" w:cs="Cambria Math"/>
          <w:color w:val="000000"/>
          <w:sz w:val="24"/>
          <w:szCs w:val="24"/>
        </w:rPr>
        <w:t>∠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A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С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D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.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vertAlign w:val="superscript"/>
        </w:rPr>
        <w:t xml:space="preserve"> </w:t>
      </w:r>
    </w:p>
    <w:p w14:paraId="3FFA7D45" w14:textId="77777777" w:rsidR="00F6301C" w:rsidRPr="00F6301C" w:rsidRDefault="00F6301C" w:rsidP="00F6301C">
      <w:pPr>
        <w:spacing w:after="115" w:line="229" w:lineRule="auto"/>
        <w:ind w:left="1080" w:right="4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i/>
          <w:noProof/>
          <w:color w:val="000000"/>
          <w:sz w:val="24"/>
          <w:szCs w:val="24"/>
          <w:lang w:val="en-US"/>
        </w:rPr>
        <w:drawing>
          <wp:inline distT="0" distB="0" distL="0" distR="0" wp14:anchorId="017DDB10" wp14:editId="54499901">
            <wp:extent cx="1181100" cy="1074420"/>
            <wp:effectExtent l="0" t="0" r="0" b="0"/>
            <wp:docPr id="4494" name="Рисунок 4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01C">
        <w:rPr>
          <w:rFonts w:ascii="Times New Roman" w:eastAsia="Book Antiqua" w:hAnsi="Times New Roman" w:cs="Times New Roman"/>
          <w:i/>
          <w:color w:val="000000"/>
          <w:sz w:val="24"/>
          <w:szCs w:val="24"/>
        </w:rPr>
        <w:t xml:space="preserve"> </w:t>
      </w:r>
    </w:p>
    <w:p w14:paraId="07A49F9B" w14:textId="77777777" w:rsidR="00F6301C" w:rsidRPr="00F6301C" w:rsidRDefault="00F6301C" w:rsidP="00F6301C">
      <w:pPr>
        <w:spacing w:after="45"/>
        <w:ind w:left="-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5. На рисунке АО = 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OR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, 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MO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= 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ON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. Определите, равны ли треугольники АОМ </w:t>
      </w:r>
      <w:proofErr w:type="gramStart"/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и  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R</w:t>
      </w:r>
      <w:proofErr w:type="gramEnd"/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О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N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.  </w:t>
      </w:r>
    </w:p>
    <w:p w14:paraId="518BA120" w14:textId="77777777" w:rsidR="00F6301C" w:rsidRPr="00F6301C" w:rsidRDefault="00F6301C" w:rsidP="00F6301C">
      <w:pPr>
        <w:spacing w:after="0" w:line="229" w:lineRule="auto"/>
        <w:ind w:left="360" w:right="4441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i/>
          <w:noProof/>
          <w:color w:val="000000"/>
          <w:sz w:val="24"/>
          <w:szCs w:val="24"/>
          <w:lang w:val="en-US"/>
        </w:rPr>
        <w:drawing>
          <wp:inline distT="0" distB="0" distL="0" distR="0" wp14:anchorId="267F8AF1" wp14:editId="0601FABF">
            <wp:extent cx="2416175" cy="1068070"/>
            <wp:effectExtent l="0" t="0" r="3175" b="0"/>
            <wp:docPr id="4493" name="Рисунок 4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175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301C">
        <w:rPr>
          <w:rFonts w:ascii="Times New Roman" w:eastAsia="Book Antiqua" w:hAnsi="Times New Roman" w:cs="Times New Roman"/>
          <w:i/>
          <w:color w:val="000000"/>
          <w:sz w:val="24"/>
          <w:szCs w:val="24"/>
        </w:rPr>
        <w:t xml:space="preserve"> </w:t>
      </w:r>
    </w:p>
    <w:p w14:paraId="00623D27" w14:textId="4F3811A9" w:rsidR="00F6301C" w:rsidRDefault="00F6301C" w:rsidP="00F6301C">
      <w:pPr>
        <w:spacing w:after="4" w:line="229" w:lineRule="auto"/>
        <w:ind w:right="4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>6.Известно, что ∆АВС=∆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ADC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 (см. рис задания 4). Периметр ∆АВС=28 см. Чему равен периметр   ∆</w:t>
      </w:r>
      <w:r w:rsidRPr="00F6301C">
        <w:rPr>
          <w:rFonts w:ascii="Times New Roman" w:eastAsia="Book Antiqua" w:hAnsi="Times New Roman" w:cs="Times New Roman"/>
          <w:color w:val="000000"/>
          <w:sz w:val="24"/>
          <w:szCs w:val="24"/>
          <w:lang w:val="en-US"/>
        </w:rPr>
        <w:t>ADC</w:t>
      </w:r>
      <w:r w:rsidR="00575BBC">
        <w:rPr>
          <w:rFonts w:ascii="Times New Roman" w:eastAsia="Book Antiqua" w:hAnsi="Times New Roman" w:cs="Times New Roman"/>
          <w:color w:val="000000"/>
          <w:sz w:val="24"/>
          <w:szCs w:val="24"/>
        </w:rPr>
        <w:t>.</w:t>
      </w:r>
    </w:p>
    <w:p w14:paraId="53D0ADAD" w14:textId="77777777" w:rsidR="00F6301C" w:rsidRPr="00F6301C" w:rsidRDefault="00F6301C" w:rsidP="00F6301C">
      <w:pPr>
        <w:spacing w:after="4" w:line="229" w:lineRule="auto"/>
        <w:ind w:left="2724" w:right="4"/>
        <w:jc w:val="both"/>
        <w:rPr>
          <w:rFonts w:ascii="Times New Roman" w:eastAsia="Book Antiqua" w:hAnsi="Times New Roman" w:cs="Times New Roman"/>
          <w:i/>
          <w:color w:val="000000"/>
          <w:sz w:val="24"/>
          <w:szCs w:val="24"/>
        </w:rPr>
      </w:pPr>
    </w:p>
    <w:p w14:paraId="1CDD80BA" w14:textId="0529D121" w:rsidR="005A4505" w:rsidRPr="00DF70A9" w:rsidRDefault="0056018B" w:rsidP="0056018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ОРГАНИЗАЦИЯ И РЕЗУЛЬТАТЫ АПРОБАЦИИ</w:t>
      </w:r>
    </w:p>
    <w:p w14:paraId="0D8DBFC8" w14:textId="77777777" w:rsidR="0056018B" w:rsidRPr="00DF70A9" w:rsidRDefault="0056018B" w:rsidP="006E1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Апробация моделей проводилась среди обучающихся 4–8 классов на протяжении 2023–2026 гг. Исследование включало как персонифицированный, так и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неперсонифицированный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 xml:space="preserve"> анализ результатов, что позволило оценить как индивидуальный прогресс обучающихся, так и общие тенденции качества образования.</w:t>
      </w:r>
    </w:p>
    <w:p w14:paraId="493150D5" w14:textId="77777777" w:rsidR="0056018B" w:rsidRPr="00DF70A9" w:rsidRDefault="0056018B" w:rsidP="006E127A">
      <w:pPr>
        <w:spacing w:after="0" w:line="36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В ходе апробации были получены следующие результаты:</w:t>
      </w:r>
    </w:p>
    <w:p w14:paraId="03F6CE2E" w14:textId="63A42FF8" w:rsidR="0056018B" w:rsidRPr="00DF70A9" w:rsidRDefault="0056018B" w:rsidP="006E127A">
      <w:pPr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i/>
          <w:iCs/>
          <w:sz w:val="24"/>
          <w:szCs w:val="24"/>
        </w:rPr>
        <w:t>Повышение объективности оценивания.</w:t>
      </w:r>
      <w:r w:rsidR="00381DF5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>Использование дихотомической шкалы позволило минимизировать субъективность и ускорить процесс проверки.</w:t>
      </w:r>
    </w:p>
    <w:p w14:paraId="2E50632C" w14:textId="64B93ABC" w:rsidR="0056018B" w:rsidRPr="00DF70A9" w:rsidRDefault="0056018B" w:rsidP="006E127A">
      <w:pPr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i/>
          <w:iCs/>
          <w:sz w:val="24"/>
          <w:szCs w:val="24"/>
        </w:rPr>
        <w:t>Снижение учебной тревожности</w:t>
      </w:r>
      <w:r w:rsidRPr="00DF70A9">
        <w:rPr>
          <w:rFonts w:ascii="Times New Roman" w:hAnsi="Times New Roman" w:cs="Times New Roman"/>
          <w:sz w:val="24"/>
          <w:szCs w:val="24"/>
        </w:rPr>
        <w:t>.</w:t>
      </w:r>
      <w:r w:rsidR="00381DF5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>Обучающиеся отмечали отсутствие страха получения отрицательной отметки и положительное отношение к формату работы.</w:t>
      </w:r>
    </w:p>
    <w:p w14:paraId="5CF96C1E" w14:textId="0F6CE4DD" w:rsidR="0056018B" w:rsidRPr="00DF70A9" w:rsidRDefault="0056018B" w:rsidP="006E127A">
      <w:pPr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i/>
          <w:iCs/>
          <w:sz w:val="24"/>
          <w:szCs w:val="24"/>
        </w:rPr>
        <w:t>Рост учебной мотивации</w:t>
      </w:r>
      <w:r w:rsidRPr="00DF70A9">
        <w:rPr>
          <w:rFonts w:ascii="Times New Roman" w:hAnsi="Times New Roman" w:cs="Times New Roman"/>
          <w:sz w:val="24"/>
          <w:szCs w:val="24"/>
        </w:rPr>
        <w:t>.</w:t>
      </w:r>
      <w:r w:rsidR="00381DF5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>Краткость заданий и быстрый результат способствовали повышению интереса к учебной деятельности.</w:t>
      </w:r>
    </w:p>
    <w:p w14:paraId="67B5B2A2" w14:textId="5451DD78" w:rsidR="0056018B" w:rsidRPr="00DF70A9" w:rsidRDefault="0056018B" w:rsidP="006E127A">
      <w:pPr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i/>
          <w:iCs/>
          <w:sz w:val="24"/>
          <w:szCs w:val="24"/>
        </w:rPr>
        <w:t>Развитие навыков самооценки</w:t>
      </w:r>
      <w:r w:rsidRPr="00DF70A9">
        <w:rPr>
          <w:rFonts w:ascii="Times New Roman" w:hAnsi="Times New Roman" w:cs="Times New Roman"/>
          <w:sz w:val="24"/>
          <w:szCs w:val="24"/>
        </w:rPr>
        <w:t>.</w:t>
      </w:r>
      <w:r w:rsidR="00381DF5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>Экспресс-мониторинг позволил обучающимся отслеживать собственный прогресс.</w:t>
      </w:r>
    </w:p>
    <w:p w14:paraId="4092D4BB" w14:textId="2D17B1A0" w:rsidR="0056018B" w:rsidRPr="00DF70A9" w:rsidRDefault="0056018B" w:rsidP="006E127A">
      <w:pPr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567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i/>
          <w:iCs/>
          <w:sz w:val="24"/>
          <w:szCs w:val="24"/>
        </w:rPr>
        <w:t>Повышение качества образовательных результатов</w:t>
      </w:r>
      <w:r w:rsidRPr="00DF70A9">
        <w:rPr>
          <w:rFonts w:ascii="Times New Roman" w:hAnsi="Times New Roman" w:cs="Times New Roman"/>
          <w:sz w:val="24"/>
          <w:szCs w:val="24"/>
        </w:rPr>
        <w:t>.</w:t>
      </w:r>
      <w:r w:rsidR="00381DF5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sz w:val="24"/>
          <w:szCs w:val="24"/>
        </w:rPr>
        <w:t xml:space="preserve">Классы, участвующие в апробации на протяжении нескольких лет, показали более высокие результаты по сравнению с </w:t>
      </w:r>
      <w:r w:rsidR="006E127A" w:rsidRPr="00DF70A9">
        <w:rPr>
          <w:rFonts w:ascii="Times New Roman" w:hAnsi="Times New Roman" w:cs="Times New Roman"/>
          <w:sz w:val="24"/>
          <w:szCs w:val="24"/>
        </w:rPr>
        <w:t>другими</w:t>
      </w:r>
      <w:r w:rsidRPr="00DF70A9">
        <w:rPr>
          <w:rFonts w:ascii="Times New Roman" w:hAnsi="Times New Roman" w:cs="Times New Roman"/>
          <w:sz w:val="24"/>
          <w:szCs w:val="24"/>
        </w:rPr>
        <w:t xml:space="preserve"> группами</w:t>
      </w:r>
      <w:r w:rsidR="006E127A" w:rsidRPr="00DF70A9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Pr="00DF70A9">
        <w:rPr>
          <w:rFonts w:ascii="Times New Roman" w:hAnsi="Times New Roman" w:cs="Times New Roman"/>
          <w:sz w:val="24"/>
          <w:szCs w:val="24"/>
        </w:rPr>
        <w:t>.</w:t>
      </w:r>
    </w:p>
    <w:p w14:paraId="5D3A743A" w14:textId="77777777" w:rsidR="0056018B" w:rsidRPr="00DF70A9" w:rsidRDefault="0056018B" w:rsidP="006E12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Полученные данные подтверждают эффективность использования экспресс-мониторинга как инструмента управления качеством образования. Его применение позволяет:</w:t>
      </w:r>
    </w:p>
    <w:p w14:paraId="2689BBA6" w14:textId="77777777" w:rsidR="0056018B" w:rsidRPr="00DF70A9" w:rsidRDefault="0056018B" w:rsidP="006E127A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lastRenderedPageBreak/>
        <w:t>оперативно выявлять пробелы в знаниях;</w:t>
      </w:r>
    </w:p>
    <w:p w14:paraId="0CF09C56" w14:textId="77777777" w:rsidR="0056018B" w:rsidRPr="00DF70A9" w:rsidRDefault="0056018B" w:rsidP="006E127A">
      <w:pPr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корректировать образовательный процесс;</w:t>
      </w:r>
    </w:p>
    <w:p w14:paraId="05AA383B" w14:textId="77777777" w:rsidR="0056018B" w:rsidRPr="00DF70A9" w:rsidRDefault="0056018B" w:rsidP="002065A4">
      <w:pPr>
        <w:numPr>
          <w:ilvl w:val="0"/>
          <w:numId w:val="5"/>
        </w:num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выстраивать индивидуальные образовательные траектории.</w:t>
      </w:r>
    </w:p>
    <w:p w14:paraId="12868DA8" w14:textId="0CE2C6E3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Влияние на контрольно-оценочную деятельность и психологический климат</w:t>
      </w:r>
    </w:p>
    <w:p w14:paraId="2EB1E170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Творческая группа участников инновационной деятельности в ходе работы пришла к выводу, что при выборе форм текущего оценивания, помимо традиционных количественных критериев (процент правильно решённых задач, число допущенных ошибок), необходимо использовать инновационные подходы, способствующие определению качества образования. В этом случае предметом оценки выступают не только достигаемые образовательные результаты, но и процесс их достижения, а также мера осознанности каждым учеником динамики собственного обучения.</w:t>
      </w:r>
    </w:p>
    <w:p w14:paraId="36DCEE09" w14:textId="72F4A291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Систематическое включение в уроки фрагментов, напоминающих технологию проведения экспресс-мониторинга (короткие по времени, оцениваемые по шкале «зачёт/незачёт»), приучает обучающихся к внимательности и сосредоточенности, при этом лишает страха перед получением низкой отметки. Кроме того, такая практика привносит в образовательный процесс соревновательный характер и способствует улучшению психологического микроклимата на уроках математики.</w:t>
      </w:r>
    </w:p>
    <w:p w14:paraId="2E0D860B" w14:textId="77777777" w:rsidR="006E127A" w:rsidRPr="002065A4" w:rsidRDefault="006E127A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9A283BE" w14:textId="41ABDF59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Pr="00DF70A9">
        <w:rPr>
          <w:rFonts w:ascii="Times New Roman" w:hAnsi="Times New Roman" w:cs="Times New Roman"/>
          <w:b/>
          <w:bCs/>
          <w:sz w:val="24"/>
          <w:szCs w:val="24"/>
        </w:rPr>
        <w:t>Распространение опыта и вовлечение новых участников</w:t>
      </w:r>
    </w:p>
    <w:p w14:paraId="25953EF9" w14:textId="7F798889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Важным этапом работы инновационной площадки стало проведение серии открытых уроков и мастер-классов для учителей </w:t>
      </w:r>
      <w:r w:rsidR="006E127A" w:rsidRPr="00DF70A9">
        <w:rPr>
          <w:rFonts w:ascii="Times New Roman" w:hAnsi="Times New Roman" w:cs="Times New Roman"/>
          <w:sz w:val="24"/>
          <w:szCs w:val="24"/>
        </w:rPr>
        <w:t>нашей школы</w:t>
      </w:r>
      <w:r w:rsidRPr="00DF70A9">
        <w:rPr>
          <w:rFonts w:ascii="Times New Roman" w:hAnsi="Times New Roman" w:cs="Times New Roman"/>
          <w:sz w:val="24"/>
          <w:szCs w:val="24"/>
        </w:rPr>
        <w:t>, а также организация городских семинаров учителей математики</w:t>
      </w:r>
      <w:r w:rsidR="006E127A" w:rsidRPr="00DF70A9">
        <w:rPr>
          <w:rFonts w:ascii="Times New Roman" w:hAnsi="Times New Roman" w:cs="Times New Roman"/>
          <w:sz w:val="24"/>
          <w:szCs w:val="24"/>
        </w:rPr>
        <w:t xml:space="preserve"> города</w:t>
      </w:r>
      <w:r w:rsidRPr="00DF70A9">
        <w:rPr>
          <w:rFonts w:ascii="Times New Roman" w:hAnsi="Times New Roman" w:cs="Times New Roman"/>
          <w:sz w:val="24"/>
          <w:szCs w:val="24"/>
        </w:rPr>
        <w:t>. В ходе этих мероприятий педагоги имели возможность ознакомиться с методикой проведения экспресс-мониторинга, увидеть примеры разработанных экспресс-моделей и обменяться опытом с коллегами.</w:t>
      </w:r>
    </w:p>
    <w:p w14:paraId="1FE34B69" w14:textId="2E761693" w:rsidR="00381DF5" w:rsidRPr="00DF70A9" w:rsidRDefault="005A4505" w:rsidP="00381D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Темой инновационного проекта заинтересовались учителя математики из других образовательных организаций</w:t>
      </w:r>
      <w:r w:rsidR="0093327E" w:rsidRPr="00DF70A9">
        <w:rPr>
          <w:rFonts w:ascii="Times New Roman" w:hAnsi="Times New Roman" w:cs="Times New Roman"/>
          <w:sz w:val="24"/>
          <w:szCs w:val="24"/>
        </w:rPr>
        <w:t>.</w:t>
      </w:r>
      <w:r w:rsidR="00381DF5" w:rsidRPr="00DF70A9">
        <w:rPr>
          <w:rFonts w:ascii="Times New Roman" w:hAnsi="Times New Roman" w:cs="Times New Roman"/>
          <w:color w:val="0F1115"/>
          <w:sz w:val="24"/>
          <w:szCs w:val="24"/>
          <w:shd w:val="clear" w:color="auto" w:fill="FFFFFF"/>
        </w:rPr>
        <w:t xml:space="preserve"> </w:t>
      </w:r>
      <w:r w:rsidR="00381DF5" w:rsidRPr="00DF70A9">
        <w:rPr>
          <w:rFonts w:ascii="Times New Roman" w:hAnsi="Times New Roman" w:cs="Times New Roman"/>
          <w:sz w:val="24"/>
          <w:szCs w:val="24"/>
        </w:rPr>
        <w:t>Педагоги этих школ активно включились в апробацию разработанных экспресс-моделей.</w:t>
      </w:r>
      <w:r w:rsidR="0093327E" w:rsidRPr="00DF70A9">
        <w:rPr>
          <w:rFonts w:ascii="Times New Roman" w:hAnsi="Times New Roman" w:cs="Times New Roman"/>
          <w:sz w:val="24"/>
          <w:szCs w:val="24"/>
        </w:rPr>
        <w:t xml:space="preserve"> </w:t>
      </w:r>
      <w:r w:rsidR="00381DF5" w:rsidRPr="00DF70A9">
        <w:rPr>
          <w:rFonts w:ascii="Times New Roman" w:hAnsi="Times New Roman" w:cs="Times New Roman"/>
          <w:sz w:val="24"/>
          <w:szCs w:val="24"/>
        </w:rPr>
        <w:t>По итогам апробации в указанных организациях получены положительные отзывы, содержащие следующие выводы:</w:t>
      </w:r>
    </w:p>
    <w:p w14:paraId="6DD0B91C" w14:textId="77777777" w:rsidR="00381DF5" w:rsidRPr="00381DF5" w:rsidRDefault="00381DF5" w:rsidP="00381DF5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DF5">
        <w:rPr>
          <w:rFonts w:ascii="Times New Roman" w:hAnsi="Times New Roman" w:cs="Times New Roman"/>
          <w:sz w:val="24"/>
          <w:szCs w:val="24"/>
        </w:rPr>
        <w:t>применение экспресс-моделей снижает тревожность обучающихся при проведении проверочных работ;</w:t>
      </w:r>
    </w:p>
    <w:p w14:paraId="7B5A4953" w14:textId="77777777" w:rsidR="00381DF5" w:rsidRPr="00381DF5" w:rsidRDefault="00381DF5" w:rsidP="00381DF5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DF5">
        <w:rPr>
          <w:rFonts w:ascii="Times New Roman" w:hAnsi="Times New Roman" w:cs="Times New Roman"/>
          <w:sz w:val="24"/>
          <w:szCs w:val="24"/>
        </w:rPr>
        <w:t>дихотомическая шкала минимизирует риск списывания в силу базового уровня заданий;</w:t>
      </w:r>
    </w:p>
    <w:p w14:paraId="51BBF38E" w14:textId="77777777" w:rsidR="00381DF5" w:rsidRPr="00381DF5" w:rsidRDefault="00381DF5" w:rsidP="00381DF5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DF5">
        <w:rPr>
          <w:rFonts w:ascii="Times New Roman" w:hAnsi="Times New Roman" w:cs="Times New Roman"/>
          <w:sz w:val="24"/>
          <w:szCs w:val="24"/>
        </w:rPr>
        <w:t>оперативное получение результатов способствует развитию объективной самооценки у обучающихся;</w:t>
      </w:r>
    </w:p>
    <w:p w14:paraId="327B78E9" w14:textId="77777777" w:rsidR="00381DF5" w:rsidRPr="00381DF5" w:rsidRDefault="00381DF5" w:rsidP="00381DF5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DF5">
        <w:rPr>
          <w:rFonts w:ascii="Times New Roman" w:hAnsi="Times New Roman" w:cs="Times New Roman"/>
          <w:sz w:val="24"/>
          <w:szCs w:val="24"/>
        </w:rPr>
        <w:t>систематическое включение экспресс-моделей в уроки улучшает психологический микроклимат в классах.</w:t>
      </w:r>
    </w:p>
    <w:p w14:paraId="798B6476" w14:textId="79A43DF5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Заключение</w:t>
      </w:r>
    </w:p>
    <w:p w14:paraId="72BA4638" w14:textId="21A3F516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Деятельность областной инновационной площадки </w:t>
      </w:r>
      <w:r w:rsidR="0093327E" w:rsidRPr="00DF70A9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Pr="00DF70A9">
        <w:rPr>
          <w:rFonts w:ascii="Times New Roman" w:hAnsi="Times New Roman" w:cs="Times New Roman"/>
          <w:sz w:val="24"/>
          <w:szCs w:val="24"/>
        </w:rPr>
        <w:t xml:space="preserve">2023–2026 </w:t>
      </w:r>
      <w:r w:rsidR="0093327E" w:rsidRPr="00DF70A9">
        <w:rPr>
          <w:rFonts w:ascii="Times New Roman" w:hAnsi="Times New Roman" w:cs="Times New Roman"/>
          <w:sz w:val="24"/>
          <w:szCs w:val="24"/>
        </w:rPr>
        <w:t>годов</w:t>
      </w:r>
      <w:r w:rsidRPr="00DF70A9">
        <w:rPr>
          <w:rFonts w:ascii="Times New Roman" w:hAnsi="Times New Roman" w:cs="Times New Roman"/>
          <w:sz w:val="24"/>
          <w:szCs w:val="24"/>
        </w:rPr>
        <w:t xml:space="preserve"> подтвердила эффективность экспресс-моделей как элемента фонда оценочных средств при обучении математике на уровне основного общего образования.</w:t>
      </w:r>
    </w:p>
    <w:p w14:paraId="71BCA178" w14:textId="6BD0BEC1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Основные выводы:</w:t>
      </w:r>
    </w:p>
    <w:p w14:paraId="3905B124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1. Экспресс-модели позволяют проводить объективную диагностику усвоения учебного материала по отдельной теме или учебному элементу с минимальными временными затратами для учителя.</w:t>
      </w:r>
    </w:p>
    <w:p w14:paraId="2A69760A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2. Дихотомическая шкала оценивания («зачёт/незачёт») снижает уровень тревожности обучающихся и способствует формированию у них объективной самооценки.</w:t>
      </w:r>
    </w:p>
    <w:p w14:paraId="2AE22DCF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3. Систематическое применение экспресс-моделей положительно влияет на результативность обучения, что подтверждается сравнительными данными классов-участников и классов, впервые включённых в мониторинг.</w:t>
      </w:r>
    </w:p>
    <w:p w14:paraId="42041F50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4. Разработанные экспресс-модели универсальны (не привязаны к конкретному УМК) и могут быть использованы многократно в разных параллелях.</w:t>
      </w:r>
    </w:p>
    <w:p w14:paraId="333213FC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5. Опыт работы инновационной площадки успешно распространён среди педагогических коллективов других образовательных организаций и готов к внедрению в массовую практику.</w:t>
      </w:r>
    </w:p>
    <w:p w14:paraId="53E8C0E2" w14:textId="01D8D6FF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Предложенный подход может быть экстраполирован на другие предметные области, а также на другие уровни образования. Разработанный и апробированный сборник экспресс-моделей </w:t>
      </w:r>
      <w:r w:rsidR="0093327E" w:rsidRPr="00DF70A9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DF70A9">
        <w:rPr>
          <w:rFonts w:ascii="Times New Roman" w:hAnsi="Times New Roman" w:cs="Times New Roman"/>
          <w:sz w:val="24"/>
          <w:szCs w:val="24"/>
        </w:rPr>
        <w:t>рекоменд</w:t>
      </w:r>
      <w:r w:rsidR="0093327E" w:rsidRPr="00DF70A9">
        <w:rPr>
          <w:rFonts w:ascii="Times New Roman" w:hAnsi="Times New Roman" w:cs="Times New Roman"/>
          <w:sz w:val="24"/>
          <w:szCs w:val="24"/>
        </w:rPr>
        <w:t>ован</w:t>
      </w:r>
      <w:r w:rsidRPr="00DF70A9">
        <w:rPr>
          <w:rFonts w:ascii="Times New Roman" w:hAnsi="Times New Roman" w:cs="Times New Roman"/>
          <w:sz w:val="24"/>
          <w:szCs w:val="24"/>
        </w:rPr>
        <w:t xml:space="preserve"> к использованию в работе учителей математики общеобразовательных организаций.</w:t>
      </w:r>
    </w:p>
    <w:p w14:paraId="76BC966D" w14:textId="3BE3D0BB" w:rsidR="00381DF5" w:rsidRPr="00DF70A9" w:rsidRDefault="00381DF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5EF399" w14:textId="0BF5DFF1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70A9">
        <w:rPr>
          <w:rFonts w:ascii="Times New Roman" w:hAnsi="Times New Roman" w:cs="Times New Roman"/>
          <w:b/>
          <w:bCs/>
          <w:sz w:val="24"/>
          <w:szCs w:val="24"/>
        </w:rPr>
        <w:t>Список литературы:</w:t>
      </w:r>
    </w:p>
    <w:p w14:paraId="5C11CC7D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1. Федеральный государственный образовательный стандарт основного общего образования (утв. приказом Министерства образования и науки РФ от 17 декабря 2010 г. № 1897, с изменениями и дополнениями).</w:t>
      </w:r>
    </w:p>
    <w:p w14:paraId="31DEBC91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Зевина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 xml:space="preserve">, Л.В., Третьякова, Н.В.,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Твердова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 xml:space="preserve">, М.А. Двухэтапные контрольные работы как инновационная модель контрольно-оценочной деятельности учителя математики в логике ФГОС. –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Ростов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 xml:space="preserve">-на-Дону: Издательство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РИПКиППРО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>, 2021.</w:t>
      </w:r>
    </w:p>
    <w:p w14:paraId="48F4C265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3. Профессиональный стандарт «Педагог» (утв. приказом Министерства труда и социальной защиты РФ от 18 октября 2013 г. № 544н).</w:t>
      </w:r>
    </w:p>
    <w:p w14:paraId="70D26D9C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F70A9">
        <w:rPr>
          <w:rFonts w:ascii="Times New Roman" w:hAnsi="Times New Roman" w:cs="Times New Roman"/>
          <w:sz w:val="24"/>
          <w:szCs w:val="24"/>
        </w:rPr>
        <w:t>Татур</w:t>
      </w:r>
      <w:proofErr w:type="spellEnd"/>
      <w:r w:rsidRPr="00DF70A9">
        <w:rPr>
          <w:rFonts w:ascii="Times New Roman" w:hAnsi="Times New Roman" w:cs="Times New Roman"/>
          <w:sz w:val="24"/>
          <w:szCs w:val="24"/>
        </w:rPr>
        <w:t>, А.О. Компетентностный подход в проектировании образовательных результатов // Высшее образование сегодня. – 2019. – № 4. – С. 14–18.</w:t>
      </w:r>
    </w:p>
    <w:p w14:paraId="53C40078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70A9">
        <w:rPr>
          <w:rFonts w:ascii="Times New Roman" w:hAnsi="Times New Roman" w:cs="Times New Roman"/>
          <w:sz w:val="24"/>
          <w:szCs w:val="24"/>
        </w:rPr>
        <w:t>5. Болотов, В.А. Оценка качества образования: проблемы и перспективы // Вопросы образования. – 2020. – № 2. – С. 8–22.</w:t>
      </w:r>
    </w:p>
    <w:p w14:paraId="2152CCBE" w14:textId="77777777" w:rsidR="005A4505" w:rsidRPr="00DF70A9" w:rsidRDefault="005A4505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9E7882" w14:textId="6BAC3DD8" w:rsidR="0039027D" w:rsidRPr="00DF70A9" w:rsidRDefault="0039027D" w:rsidP="009332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9027D" w:rsidRPr="00DF70A9" w:rsidSect="00F6301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723237" w14:textId="77777777" w:rsidR="000F600A" w:rsidRDefault="000F600A" w:rsidP="00F6301C">
      <w:pPr>
        <w:spacing w:after="0" w:line="240" w:lineRule="auto"/>
      </w:pPr>
      <w:r>
        <w:separator/>
      </w:r>
    </w:p>
  </w:endnote>
  <w:endnote w:type="continuationSeparator" w:id="0">
    <w:p w14:paraId="7D9E4FE3" w14:textId="77777777" w:rsidR="000F600A" w:rsidRDefault="000F600A" w:rsidP="00F6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89266E" w14:textId="77777777" w:rsidR="000F600A" w:rsidRDefault="000F600A" w:rsidP="00F6301C">
      <w:pPr>
        <w:spacing w:after="0" w:line="240" w:lineRule="auto"/>
      </w:pPr>
      <w:r>
        <w:separator/>
      </w:r>
    </w:p>
  </w:footnote>
  <w:footnote w:type="continuationSeparator" w:id="0">
    <w:p w14:paraId="72EF03FD" w14:textId="77777777" w:rsidR="000F600A" w:rsidRDefault="000F600A" w:rsidP="00F6301C">
      <w:pPr>
        <w:spacing w:after="0" w:line="240" w:lineRule="auto"/>
      </w:pPr>
      <w:r>
        <w:continuationSeparator/>
      </w:r>
    </w:p>
  </w:footnote>
  <w:footnote w:id="1">
    <w:p w14:paraId="35FDF1E4" w14:textId="11D20209" w:rsidR="00F6301C" w:rsidRDefault="00F6301C">
      <w:pPr>
        <w:pStyle w:val="a4"/>
      </w:pPr>
      <w:r>
        <w:rPr>
          <w:rStyle w:val="a6"/>
        </w:rPr>
        <w:footnoteRef/>
      </w:r>
      <w:r>
        <w:t xml:space="preserve"> </w:t>
      </w:r>
      <w:proofErr w:type="spellStart"/>
      <w:r w:rsidRPr="00F6301C">
        <w:rPr>
          <w:rFonts w:ascii="Times New Roman" w:hAnsi="Times New Roman" w:cs="Times New Roman"/>
        </w:rPr>
        <w:t>Зевина</w:t>
      </w:r>
      <w:proofErr w:type="spellEnd"/>
      <w:r w:rsidRPr="00F6301C">
        <w:rPr>
          <w:rFonts w:ascii="Times New Roman" w:hAnsi="Times New Roman" w:cs="Times New Roman"/>
        </w:rPr>
        <w:t xml:space="preserve">, Л.В., Третьякова, Н.В., </w:t>
      </w:r>
      <w:proofErr w:type="spellStart"/>
      <w:r w:rsidRPr="00F6301C">
        <w:rPr>
          <w:rFonts w:ascii="Times New Roman" w:hAnsi="Times New Roman" w:cs="Times New Roman"/>
        </w:rPr>
        <w:t>Твердова</w:t>
      </w:r>
      <w:proofErr w:type="spellEnd"/>
      <w:r w:rsidRPr="00F6301C">
        <w:rPr>
          <w:rFonts w:ascii="Times New Roman" w:hAnsi="Times New Roman" w:cs="Times New Roman"/>
        </w:rPr>
        <w:t xml:space="preserve">, М.А. Двухэтапные контрольные работы как инновационная модель контрольно-оценочной деятельности учителя математики в логике ФГОС. – </w:t>
      </w:r>
      <w:proofErr w:type="spellStart"/>
      <w:r w:rsidRPr="00F6301C">
        <w:rPr>
          <w:rFonts w:ascii="Times New Roman" w:hAnsi="Times New Roman" w:cs="Times New Roman"/>
        </w:rPr>
        <w:t>Ростов</w:t>
      </w:r>
      <w:proofErr w:type="spellEnd"/>
      <w:r w:rsidRPr="00F6301C">
        <w:rPr>
          <w:rFonts w:ascii="Times New Roman" w:hAnsi="Times New Roman" w:cs="Times New Roman"/>
        </w:rPr>
        <w:t xml:space="preserve">-на-Дону: Издательство </w:t>
      </w:r>
      <w:proofErr w:type="spellStart"/>
      <w:r w:rsidRPr="00F6301C">
        <w:rPr>
          <w:rFonts w:ascii="Times New Roman" w:hAnsi="Times New Roman" w:cs="Times New Roman"/>
        </w:rPr>
        <w:t>РИПКиППРО</w:t>
      </w:r>
      <w:proofErr w:type="spellEnd"/>
      <w:r w:rsidRPr="00F6301C">
        <w:rPr>
          <w:rFonts w:ascii="Times New Roman" w:hAnsi="Times New Roman" w:cs="Times New Roman"/>
        </w:rPr>
        <w:t>, 2021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F69A8"/>
    <w:multiLevelType w:val="hybridMultilevel"/>
    <w:tmpl w:val="562C670A"/>
    <w:lvl w:ilvl="0" w:tplc="719AB76A">
      <w:start w:val="1"/>
      <w:numFmt w:val="decimal"/>
      <w:lvlText w:val="%1."/>
      <w:lvlJc w:val="left"/>
      <w:pPr>
        <w:ind w:left="4188" w:hanging="360"/>
      </w:pPr>
      <w:rPr>
        <w:rFonts w:ascii="Times New Roman" w:hAnsi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BC2B21"/>
    <w:multiLevelType w:val="multilevel"/>
    <w:tmpl w:val="7E841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3B54EB"/>
    <w:multiLevelType w:val="multilevel"/>
    <w:tmpl w:val="090C6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6E4494"/>
    <w:multiLevelType w:val="hybridMultilevel"/>
    <w:tmpl w:val="C8A4CD90"/>
    <w:lvl w:ilvl="0" w:tplc="488EEEFC">
      <w:start w:val="1"/>
      <w:numFmt w:val="decimal"/>
      <w:lvlText w:val="%1."/>
      <w:lvlJc w:val="left"/>
      <w:pPr>
        <w:ind w:left="720" w:hanging="360"/>
      </w:pPr>
      <w:rPr>
        <w:rFonts w:ascii="Book Antiqua" w:eastAsia="Book Antiqua" w:hAnsi="Book Antiqua" w:cs="Book Antiqua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265566"/>
    <w:multiLevelType w:val="multilevel"/>
    <w:tmpl w:val="DB44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F20BAA"/>
    <w:multiLevelType w:val="hybridMultilevel"/>
    <w:tmpl w:val="CC0C8D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E0C5E3D"/>
    <w:multiLevelType w:val="multilevel"/>
    <w:tmpl w:val="3796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05"/>
    <w:rsid w:val="000F600A"/>
    <w:rsid w:val="002065A4"/>
    <w:rsid w:val="00227496"/>
    <w:rsid w:val="00381DF5"/>
    <w:rsid w:val="0039027D"/>
    <w:rsid w:val="004C4391"/>
    <w:rsid w:val="0056018B"/>
    <w:rsid w:val="00575BBC"/>
    <w:rsid w:val="005A4505"/>
    <w:rsid w:val="006E127A"/>
    <w:rsid w:val="0093327E"/>
    <w:rsid w:val="00DF70A9"/>
    <w:rsid w:val="00F6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DC27C"/>
  <w15:chartTrackingRefBased/>
  <w15:docId w15:val="{595550AD-E7DB-4F7B-9D5D-DA8CD107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4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F6301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F6301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F6301C"/>
    <w:rPr>
      <w:vertAlign w:val="superscript"/>
    </w:rPr>
  </w:style>
  <w:style w:type="paragraph" w:customStyle="1" w:styleId="ds-markdown-paragraph">
    <w:name w:val="ds-markdown-paragraph"/>
    <w:basedOn w:val="a"/>
    <w:rsid w:val="00381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9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16015-5A8B-4F85-8B8D-E047A6541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1738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2026-04-13T16:56:00Z</dcterms:created>
  <dcterms:modified xsi:type="dcterms:W3CDTF">2026-04-13T16:56:00Z</dcterms:modified>
</cp:coreProperties>
</file>