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W w:w="5000" w:type="pct"/>
        <w:tblCellMar>
          <w:left w:w="0" w:type="dxa"/>
          <w:right w:w="0" w:type="dxa"/>
        </w:tblCellMar>
        <w:tblBorders/>
        <w:tblCellSpacing w:w="0" w:type="dxa"/>
        <w:tblLook w:val="04A0" w:firstRow="1" w:lastRow="0" w:firstColumn="1" w:lastColumn="0" w:noHBand="0" w:noVBand="1"/>
      </w:tblPr>
      <w:tblGrid>
        <w:gridCol w:w="9355"/>
      </w:tblGrid>
      <w:tr>
        <w:trPr>
          <w:tblCellSpacing w:w="0" w:type="dxa"/>
        </w:trPr>
        <w:tc>
          <w:tcPr>
            <w:tcBorders/>
            <w:tcW w:w="0" w:type="auto"/>
            <w:textDirection w:val="lrTb"/>
            <w:noWrap w:val="false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Borders/>
              <w:tblCellSpacing w:w="0" w:type="dxa"/>
              <w:tblLook w:val="04A0" w:firstRow="1" w:lastRow="0" w:firstColumn="1" w:lastColumn="0" w:noHBand="0" w:noVBand="1"/>
            </w:tblPr>
            <w:tblGrid>
              <w:gridCol w:w="9355"/>
            </w:tblGrid>
            <w:tr>
              <w:trPr>
                <w:tblCellSpacing w:w="0" w:type="dxa"/>
              </w:trPr>
              <w:tc>
                <w:tcPr>
                  <w:tcBorders/>
                  <w:tcW w:w="0" w:type="auto"/>
                  <w:textDirection w:val="lrTb"/>
                  <w:noWrap w:val="false"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Borders/>
                    <w:tblCellSpacing w:w="0" w:type="dxa"/>
                    <w:tblLook w:val="04A0" w:firstRow="1" w:lastRow="0" w:firstColumn="1" w:lastColumn="0" w:noHBand="0" w:noVBand="1"/>
                  </w:tblPr>
                  <w:tblGrid>
                    <w:gridCol w:w="8700"/>
                    <w:gridCol w:w="655"/>
                  </w:tblGrid>
                  <w:tr>
                    <w:trPr>
                      <w:tblCellSpacing w:w="0" w:type="dxa"/>
                    </w:trPr>
                    <w:tc>
                      <w:tcPr>
                        <w:tcBorders/>
                        <w:tcMar>
                          <w:left w:w="0" w:type="dxa"/>
                          <w:top w:w="75" w:type="dxa"/>
                          <w:right w:w="0" w:type="dxa"/>
                          <w:bottom w:w="450" w:type="dxa"/>
                        </w:tcMar>
                        <w:tcW w:w="0" w:type="auto"/>
                        <w:textDirection w:val="lrTb"/>
                        <w:noWrap w:val="false"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Borders/>
                          <w:tblCellSpacing w:w="0" w:type="dxa"/>
                          <w:tblLook w:val="04A0" w:firstRow="1" w:lastRow="0" w:firstColumn="1" w:lastColumn="0" w:noHBand="0" w:noVBand="1"/>
                        </w:tblPr>
                        <w:tblGrid>
                          <w:gridCol w:w="8700"/>
                        </w:tblGrid>
                        <w:tr>
                          <w:trPr>
                            <w:tblCellSpacing w:w="0" w:type="dxa"/>
                          </w:trPr>
                          <w:tc>
                            <w:tcPr>
                              <w:tcBorders/>
                              <w:tcW w:w="0" w:type="auto"/>
                              <w:textDirection w:val="lrTb"/>
                              <w:noWrap w:val="false"/>
                            </w:tcPr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jc w:val="center"/>
                                <w:outlineLvl w:val="0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i/>
                                  <w:color w:val="ff0000"/>
                                  <w:spacing w:val="200"/>
                                  <w:sz w:val="96"/>
                                  <w:szCs w:val="96"/>
                                  <w:u w:val="single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i/>
                                  <w:color w:val="ff0000"/>
                                  <w:spacing w:val="200"/>
                                  <w:sz w:val="96"/>
                                  <w:szCs w:val="96"/>
                                  <w:u w:val="single"/>
                                </w:rPr>
                                <w:t xml:space="preserve">Волейбол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i/>
                                  <w:color w:val="ff0000"/>
                                  <w:spacing w:val="200"/>
                                  <w:sz w:val="96"/>
                                  <w:szCs w:val="96"/>
                                  <w:u w:val="single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jc w:val="center"/>
                                <w:outlineLvl w:val="0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i/>
                                  <w:color w:val="548dd4" w:themeColor="text2" w:themeTint="99"/>
                                  <w:spacing w:val="2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color w:val="548dd4" w:themeColor="text2" w:themeTint="99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color w:val="548dd4" w:themeColor="text2" w:themeTint="99"/>
                                  <w:sz w:val="24"/>
                                  <w:szCs w:val="24"/>
                                </w:rPr>
                                <w:t xml:space="preserve">МОБУ СОШ «Муринский центр образования №4"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i/>
                                  <w:color w:val="548dd4" w:themeColor="text2" w:themeTint="99"/>
                                  <w:spacing w:val="200"/>
                                  <w:sz w:val="96"/>
                                  <w:szCs w:val="96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br/>
                              </w:r>
                              <w:bookmarkStart w:id="0" w:name="_Toc232164455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Содержание</w:t>
                              </w:r>
                              <w:bookmarkEnd w:id="0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Введение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1. Волейбол в системе физической культуры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 Основы техники волейбола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2.1. Техника нападения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2.1.1. Перемещения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2.1.2. Подачи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2.1.3. Передачи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2.1.4. Нападающие удары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2.2. Техника защиты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2.2.1. Прием мяча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2.2.3. Блокирование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 Физическая подготовка волейболистов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3.1. Акробатическая подготовка волейболистов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3.1.1. Группировка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3.1.2. Перекаты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3.1.3. Кувырки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3.1.4. Полушпагаты, шпагаты и мосты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3.1.5. Стойки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3.2. Применение подвижных игр и эстафет в подготовке волейболистов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3.2.1. Игры и эстафеты, способствующие развитию быстроты и ловкости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3.2.2. Игры и эстафеты, способствующие развитию прыгучести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3.2.3. Игры и эстафеты, способствующие развитию скоростно-силовой выносливости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3.2.4. Игры и эстафеты, способствующие развитию точности движений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3.2.5. Игры и эстафеты, способствующие развитию чувства пространства и координации движении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5. Правила игры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Вывод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Библиографический список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br/>
                              </w:r>
                              <w:bookmarkStart w:id="1" w:name="_Toc502866762"/>
                              <w:r/>
                              <w:bookmarkStart w:id="2" w:name="_Toc232164456"/>
                              <w:r/>
                              <w:bookmarkEnd w:id="1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Введение</w:t>
                              </w:r>
                              <w:bookmarkEnd w:id="2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Соревновательная деятельность в спортивных играх имеет много общего. И, тем не менее, каждая игра имеет существенные отличия, связанные с характером двига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тельной активности, способами взаимодействия с мячом, интенсивностью и продолжительностью нагрузок, а также с критериями оценки спортивного результата. Общим же признаком, находящим свое выражение в любой спортивной игре, является высокая психическая напря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женность соревновательной борьбы, которая при равных силах соперников проявляется с особым драматизмом в кульминационные моменты спортивного противоборства.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Волейбол в этом отношении не составляет исключения. Вместе с тем он имеет свои особенности. Так, двигательная активность волейболистов, хотя и характеризуется высокой интенсивностью, почти полностью исключает высокоинтенсивные «беговые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» нагрузки, характерные для футбола, баскетбола и хоккея. Перемещения здесь осуществляются преимущественно в квадрате игровой площадки 9×9 м и реже — за ее пределами. Сам характер перемещений волейболиста также своеобразен. Однако в течение 2—2,5 ч соревно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вательной борьбы паузы отдыха или пассивного ожидания в игре квалифицированных волейбольных команд почти полностью отсутствуют. При этом интенсивность двигательной активности значительно увеличилась в связи с использованием (по новым правилам) дополнительн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ых мячей взамен улетевшего за пределы поля. Пятисекундные паузы до момента подачи не снижают физической и психической напряженности. Кроме того, в это время игроки обеих команд сосредоточивают все свое внимание на предстоящих технико-тактических действиях.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Что касается способов взаимодействия с мячом, то здесь также свой арсенал своеобразных, характерных только для этого вида с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портивной игры, двигательных действий, основная суть и направленность которых связана с поражением цели с помощью ударных или бросковых движений, выполняемых большей частью ладонной поверхностью кисти или супинированными предплечьями (передачи мяча снизу).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Интенсивность и продолжительность соревновательных нагрузок в игре зависят от таких факторов, как уровень технико-тактического мастерства, силы соперничающих команд, количество партий и счет в каждой из них. Кроме того, при участии в многоднев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ных турнирах нагрузка от предшествующих соревнований постепенно суммируется и наслаивается у игроков, что сказывается в последующих встречах. Оценка спортивного результата в волейболе также имеет своеобразный характер и отличается от других спортивных игр.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Таким образом, даже визуальные наблюдения за соревновательной деятельностью волейболистов говорят о ее своеобразии и отличительных особенн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остях. Не вызывает сомнения, что эти особенности проявляются как в биодинамике двигательных действий игроков, деятельности дыхательной, сердечнососудистой и анализаторной систем организма, так и в плане энерготрат и протекания восстановительных процессов.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br/>
                              </w:r>
                              <w:bookmarkStart w:id="3" w:name="_Toc232164457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1. Волейбол в системе физической культуры</w:t>
                              </w:r>
                              <w:bookmarkEnd w:id="3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 учебном процессе волейбол используется как важное сред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ство обшей физической подготовки учащихся. Программой по волейболу предусматривается приобретение учащимися теоретических сведений, овладение основными приемами техники и тактики, приобретение навыков участия в игре и в организации самостоятельных занятий.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Широкое применение волейбола в физическом воспитании объясняется несколькими примерами: доступность игры для различного возраста; возможность его использования для всестороннего физического развития и укрепления здоровья, воспитания моральных и воле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вых качеств и в тоже время использование его как полезного и эмоционального вида активного отдыха при организации досуга молодежи; простотой правил игры; высоким зрелищным эффектом игрового состязания; простотой инвентаря, оборудования и площадки для игры.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Волейбол - командная игра, где каждый игрок действует с учетом действий своего партнера.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Для игры характерны разнообразные чередования движений, быстрая смена ситуаций, изменение интенсивности и продолжительности деятельности каждого игрока. Условия игровой деятельности приучают занимающихся: под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чинять свои действия интересам коллектива в достижении общей цели; действовать с максимальным напряжением своих сил и возможностей, преодолевать трудности в ходе спортивной борьбы, мгновенно оценивать изменившуюся обстановку и принимать правильные решения.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Эти особенности способствуют воспитанию у учащихся чувства коллективизма; настойчивости, решительности, целеустремленности, внимания и быстроты мышления; способности управлять своими эмоциями; совершенствованию основных физических качеств.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br/>
                              </w:r>
                              <w:bookmarkStart w:id="4" w:name="_Toc232164458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 </w:t>
                              </w:r>
                              <w:bookmarkEnd w:id="4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Основы техники волейбола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Техника игры разделяется на технику нападения (перемещения, подачи, передачи, нападающие удары) и технику защиты (перемещения, прием мяча, блок).</w:t>
                              </w:r>
                              <w:bookmarkStart w:id="5" w:name="_Toc502866763"/>
                              <w:r/>
                              <w:bookmarkEnd w:id="5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1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/>
                              <w:bookmarkStart w:id="6" w:name="_Toc232164459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 </w:t>
                              </w:r>
                              <w:bookmarkEnd w:id="6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1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2.1 Техника нападения</w:t>
                              </w:r>
                              <w:bookmarkStart w:id="7" w:name="_Toc502866764"/>
                              <w:r/>
                              <w:bookmarkEnd w:id="7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8" w:name="_Toc232164460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8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2.1.1 Перемещения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Во время игры, прежде чем выполнить тот или иной технический прием, волейболист перемещается по площадке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. Цель таких перемещений – выбор и занятие места для выполнения конкретного технического приема нападения или защиты. Для быстрого начала движения перед перемещением игрок должен принять стартовую стойку готовности. Выделяют следующие типы стартовых стоек: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·           Устойчивая – одну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ногу (чаще левую) ставят впереди другой, ноги согнуты в коленях (угол сгибания между бедром и голенью 130-150 градусов), туловище слегка наклонено вперед, руки согнуты в локтях и вынесены вперед туловищем игрока (чаще всего применяется при приеме подачи).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·           Основная – стопы обеих ног р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асположены на одном уровне на расстоянии 20-30 см друг от друга. Тяжесть тела равномерно распределена на обе ноги, ОЦТ тела игрока проектируется на середине площади опоры. Ноги согнуты в коленях (угол сгибания между бедром и голенью 140-160 градусов), туло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вище наклонено вперед. Такая стойка используется во всех технических приемах; при этом можно стоять неподвижно (статическая стартовая стойка), можно переступать с ноги на ногу (динамическая стартовая стойка), что в известной мере облегчает начало движения.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Перемещение по площадке осуществляется ходьбой, бегом, скачком.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·           Ходьба – в отличие от обычного шага ногу выносят вперед слегка согнутой (так называемый пригибной шаг). Это позволяет избежать вертикальных колебаний ОЦТ игрока и быстро принимать исходное положение для выполнения технических приемов.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·           Бег – отличается стартовыми ускорениями, резкими изменениями направления движения и резкими остановками. Последний беговой шаг должен быть наибольшим и заканчивается стопорящим движением, аналогичным запрыгивающему шагу при нападающем ударе.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·           Скачок – широкий шаг с безопорной фазой. Как правило, скачок сочетается с шагом или бегом. Перемещение часто заканчивается скачком, позволяющим быстрее его завершить.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9" w:name="_Toc232164461"/>
                              <w:r/>
                              <w:bookmarkStart w:id="10" w:name="_Toc502866765"/>
                              <w:r/>
                              <w:bookmarkEnd w:id="9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10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2.1.2 Подачи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Подача – технический прием, с помощью которого мяч вводится в игру. Наступать на лицевую линию площадки или переступать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ее в момент выполнения подачи запрещается. Удар должен быть нанесен по мячу, находящемуся в воздухе. Подача считается правильной, если мяч пролетел над сеткой в пределах ширины 9 м (между антеннами и ограничительными лентами), не задев ее. Подача считаетс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я неправильной, если мяч упадет за пределами площадки: коснется игрока подающей команды; производится броском или толчком; выполнена двумя руками; произведена с нарушением очередности при смене мест; коснется какой-либо части подающего после подбрасывания.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Различают четыре способа подачи: нижняя прямая, нижняя боковая, верхняя прямая и верхняя боковая.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Во всех вариантах подачи перед ее выполнением игрок должен принять исходное положение. При этом левая нога (для правши) ставится впереди правой, ноги несколько согнуты в коленях (угол сгибания между бед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ром и голенью 130-160 градусов). Левое плечо впереди правого, тяжесть тела равномерно распределена на обе ноги. Левая рука согнута в локте и вынесена вперед перед туловищем, мяч лежит на ладони. Правая рука внизу и готовится к замаху. Игрок смотрит вперед.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Нижняя прямая подача. Занимающийся стоит лицом к сетке. Мяч левой рукой плавно подбрасывает вверх на высоту до 0.5 м над головой. Одновременно с подбрасыванием мяча правой рукой выполняет замах назад вниз. При снижении м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яча в полете примерно до уровня груди игрок маховым движением прямой правой руки сзади вниз вперед выполняет ударное движение. Одновременно с махом производит поворот туловища вокруг вертикальной оси, правое плечо выводит вперед. С началом ударного движени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я ноги выпрямляются, тяжесть тела переносится на впереди стоящую ногу. Удар по мячу наносится напряженной ладонью впереди игрока на уровне его пояса так, чтобы после удара мяч летел вперед и вверх. После удара рука вытягивается в направлении движения мяча.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Нижняя боковая подача. Занимающийся стоит боком к сетке. Мяч левой рукой подбрасывает вверх. Одновременно с подбрасыванием правой рукой выполняет замах вниз назад, правое плечо отводит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назад и несколько опускает вниз. При снижении подброшенного мяча маховым движением прямой правой руки сзади вправо вперед ударное движение одновременно с вращением туловища вокруг вертикальной оси и выведением правого плеча вперед. Ноги при этом выпрямляют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ся, тяжесть тела переносится на впереди стоящую левую ногу. Удар по мячу наносится напряженной вогнутой кистью снизу сбоку впереди туловища занимающегося на уровне его пояса. Рука после удара вытягивается вперед в направлении сетки, как бы сопровождая мяч.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Верхняя прямая подача. Занимающийся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стоит лицом к сетке. Левой рукой мяч плавно подбрасывает почти над головой, чуть впереди на высоту до 0.5 м. Одновременно выполняет замах правой рукой вверх назад, поднимает руку и отводит согнутой в локте за голову. При этом игрок несколько прогибается в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грудной и поясничной частях туловища, отводит наза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д правое плечо и наклоняет голову назад. При выполнении ударного движения правую руку из крайнего положения замаха разгибает в локте и маховым движением выносит вверх, правое плечо поднимает вверх. Далее игрок ведет руку к мячу немного выше головы и вперед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 себя (угол наклона вытянутой руки до 80 градусов). Удар по мячу выполняет «жесткой» кистью и несколько снизу. Ноги при этом выпрямляются, тяжесть тела переносится впереди левую ногу. В дальнейшем рука вытягивается в направлении сетки, а затем опускается.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Верхняя боковая подача. Занимающийся стоит боком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к сетке. Мяч левой рукой плавно подбрасывает вверх над головой на высоту до 1.5 м. Замах выполняет одновременно правой рукой вниз назад, при этом правое плечо значительно опускает и сгибает правую ногу. При выполнении ударного движения правую руку маховым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движением выносит по дуге сзади вверх, плечо поднимает вверх. Удар по мячу наносится выпрямленной рукой вверх и немного впереди себя (угол наклона руки около 85 градусов), кисть накладывается на мяч сзади и снизу. В дальнейшем рука по дуге опускается вниз.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11" w:name="_Toc232164462"/>
                              <w:r/>
                              <w:bookmarkStart w:id="12" w:name="_Toc502866766"/>
                              <w:r/>
                              <w:bookmarkEnd w:id="11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12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2.1.3 Передачи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Передача – технический прием, с помощью которого мяч направляют выше верхнего края сетки для выполнения нападающего удара. По направлению относительно передающего игрока передачи могут быть вперед, назад и над собой.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Передача вперед. Перед выполнением передачи игрок принимает стартовую стойку и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перемещается к месту встречи с мячом. В исходном положении стопы ставят на одном уровне, параллельно друг другу; ноги согнуты в коленях (130-160 градусов); руки согнуты в локтях и кисти вынесены перед лицом. При приближении мяча движение начинают ноги – он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 разгибаются в коленях; затем руки, разгибаясь в локтях, выполняют встречное движение к мячу. В дальнейшем руки и ноги выпрямляются до конца, руки вытягиваются в направлении передачи. Длина передачи и ее высота регулируются в коленях в исходном положении.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Передача назад. Ее целесообразно выполнять из положения, в котором одна нога (обычно левая) несколько впереди другой. Руки поднимают так, чтобы кист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 рук находились над головой. Вначале разгибаются ноги, одновременно игрок прогибается в грудной и поясничной частях туловища. Затем руки разгибаются в локтях строго вверх, а необходимый угол взлета мяча задается и регулируется величиной прогибания игрока.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13" w:name="_Toc232164463"/>
                              <w:r/>
                              <w:bookmarkStart w:id="14" w:name="_Toc502866767"/>
                              <w:r/>
                              <w:bookmarkEnd w:id="13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14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2.1.4 Нападающие удары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Нападающий удар – технический прием атаки, заключающийся в перебивании мяча одной рукой на сторону противника выше верхнего края сетки. Различают прямые нападающие удары (выполняют лицом к сетке) и боковые (боком к сетке).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Прямой нападающий удар. Для достижения высокой горизонтальной скорости движения и ее использования для прыжка вверх в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ыполняется двух-трехшажный разбег. Первый шаг относительно небольшой, скорость невелика. Во втором шаге длина увеличивается, скорость растет. Последний шаг самый большой и быстрый, его обычно выполняют как скачок (напрыгивающий шаг). Одну ногу (обычно прав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ую) выносят вперед и ставят на пятку (стопорящее движение). Другую ногу подставляют так, чтобы стопы находились на одном уровне. В прыжке одновременно с взлетом игрок делает замах правой рукой вверх назад (по типу движения верхней прямой подачи). Ударное д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вижение начинает с поворота тела вокруг вертикальной оси, затем правую руку выпрямляет в локтевом суставе и вытягивает вверх вперед к мячу. Кисть накладывает на мяч в расслабленном состоянии сверху сбоку (угол наклона руки около 75 градусов) движением “хле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ст” и одновременно с ведением руки вперед сгибает ее в лучезапястном суставе, направляя мяч вниз. В дальнейшем руку опускает по дуге вниз вперед, по направлению к левому колену. После удара игрок снижается и приземляется, обязательно сгибая ноги в коленях.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Боковой нападающ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ий удар. В современной игре используют сравнительно редко. Разбег при этом ударе принципиально не отличается от прямого удара, только выполняется под более острым углом к сетке. В прыжке при взлете выполняют замах правой рукой по типу верхней боковой подач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и: руку отводят вниз в сторону, туловище наклоняют в сторону бьющей руки, левую руку поднимают вверх. Ударное движение выполняют так же, как при верхней боковой подаче. Начинают его с поворота туловища вокруг вертикальной оси. Одновременно выводят вперед п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равое плечо и выполняют маховое движение рукой снизу-вверх по дуге, руку выводят к мячу и производят удар кистью сверху-сбоку. Затем продолжают поворот и движение плеча вперед и руки вперед-вниз. После удара игрок снижается и приземляется на согнутые ноги.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1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/>
                              <w:bookmarkStart w:id="15" w:name="_Toc232164464"/>
                              <w:r/>
                              <w:bookmarkStart w:id="16" w:name="_Toc502866768"/>
                              <w:r/>
                              <w:bookmarkEnd w:id="15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 </w:t>
                              </w:r>
                              <w:bookmarkEnd w:id="16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1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2.2 Техника защиты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17" w:name="_Toc232164465"/>
                              <w:r/>
                              <w:bookmarkStart w:id="18" w:name="_Toc502866769"/>
                              <w:r/>
                              <w:bookmarkEnd w:id="17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18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2.2.1 Прием мяча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Прием мяча – технический прием защиты, позволяющий оставлять мяч в игре после нападающих действий соперника. В игре используют следующие способы приема: снизу двумя руками, снизу одной рукой.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Прием мяча снизу двумя руками. После перемещения к месту встречи с мячом, в последнем ст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опорящем шаге, руки должны быть вынесены вперед вытянутыми и напряженными, кисти соединены вместе, образуя своеобразный «замок». Можно соединить кисти, сжать кулаки. Целесообразно ставить одну ногу (чаще левую) впереди другой, ноги согнуть в коленях, тулов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ище несколько наклонить вперед. Руки располагают перпендикулярно траектории полета мяча. При приближении мяча встречное движение начинают ноги, которые, выпрямляясь в коленных суставах, поднимают тело игрока вверх и несколько вперед (примерно под углом 20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градусов). Руки включаются в работу несколько позже. Удар по мячу выполняют предплечьем (в передней его трети). Ноги выпрямляют, руки после удара вытягивают в направлении передачи.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Прием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мяча снизу одной рукой. Таким способом принимают мячи, летящие далеко от игрока после предварительного перемещения или выпада. Ударное движение выполняют только рукой, ноги в нем не участвуют. Пальцы напряжены, сжаты. Можно ударить тыльной стороной ладони.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19" w:name="_Toc232164466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19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2.2.3 Блокирование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Блокирование — один из эффективных защитных приемов. Блокирование преграждает путь мячу в непосредственной близости от сетки.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Этот прием состоит из перемещения, прыжка, выноса и поста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новки рук над сеткой, приземления.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Перемещения выполняются различными способами вдоль сетки, взгляд направлен на мяч и игрока противника. Определив место прыжка, блокирующий занимает исходное положение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, в котором ноги согнуты, руки согнуты в локтях, ладони на уровне пояса (или у груди), туловище слегка наклонено. Прыжок выполняется резким выпрямлением ног и махом согнутых рук. Руки переносятся вверх между туловищем и сеткой и поднимается над сеткой. Рас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стояние между ладонями должно быть меньше диаметра мяча, чтобы он не выскочил между ними. Предплечья ставятся как можно ближе к сетке, чтобы мяч не прошел между сеткой и руками. Блокирующий смотрит на нападающего игрока, чтобы определить направление удара.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 После блокирования игрок должен приземлятся на согнутые ноги и быть готовым снова к блокированию, самостраховке, перемещению, выполнению передач.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Если мяч пролетел мимо рук, то, приземляясь, блокирующий должен резко повернуть голову в сторону полета мяча, чтобы быстро повернуть туловище еще до приземления.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Для закрывания определенной зоны площадки ставится неподвижный блок, при котором руками, поднятыми над сеткой, не производят никаких движений в стороны. Неподвижное блокирование обычно используют при блокировании вдвоем или втроем.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При постановке блока одним игроком чаще всего применяется подвижное блокирование: после прыжка игрок переносит руки параллельно сетке вправо или влево в зависимости от определенного им направления полета мяча.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При блокировании нападающих ударов с краев сетки ладони блокирующих разворачиваются так, чтобы мяч отскочил на площадку противника.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br/>
                              </w:r>
                              <w:bookmarkStart w:id="20" w:name="_Toc502866770"/>
                              <w:r/>
                              <w:bookmarkStart w:id="21" w:name="_Toc232164467"/>
                              <w:r/>
                              <w:bookmarkEnd w:id="20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 Физическая подготовка волейболистов</w:t>
                              </w:r>
                              <w:bookmarkEnd w:id="21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На занятиях по специальной физической подготовке одновременно с развитием физических качеств совершенствуются приемы в нападении и защите.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1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/>
                              <w:bookmarkStart w:id="22" w:name="_Toc232164468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 </w:t>
                              </w:r>
                              <w:bookmarkEnd w:id="22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1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3.1 Акробатическая подготовка волейболистов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Акробатические упражнения – одно из эффективн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ых средств специальной физической подготовки волейболистов. С их помощью у занимающихся развиваются быстрота, ловкость, решительность и умение хорошо ориентироваться в пространстве. Эти качества необходимы волейболистам для быстрого усвоения техники игры.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23" w:name="_Toc232164469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23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3.1.1 Группировка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Обучение акробатическим упражнениям следует начинать с принятия группировки, без которой волейболисты не смогут овладеть прыжками, падениями и бросками.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Группировка сидя. Сидя н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а полу, согнуть ноги в коленных и тазобедренных суставах, взяться руками за середину голеней, притянуть ноги к груди, голову наклонить вперед. Колени слегка развести в стороны, чтобы плотнее сгруппироваться и предохранить лицо от ударов о колени (рис. 1).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Группир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овка лежа на спине. Лежа на спине, согнуть ноги в коленных и тазобедренных суставах, наклонить туловище вперед и, округлив спину, принять положение группировки (рис. 2). Для овладения группировкой рекомендуется выполнить серию подготовительных упражнений: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а) лежа, раскачиваться назад и вперед в группировке;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б) лежа, быстро (можно по сигналу) сгруппироваться.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Группировка в приседе. Из стойки ноги врозь (стопы параллельны) присесть и сгруппироваться. Вначале выполнять упражнение медленно, а затем по команде тренера (рис. 3).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Усвоив группировку, можно переходить к изучению перекатов.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mc:AlternateContent>
                                  <mc:Choice Requires="wpg">
                                    <w:drawing>
                                      <wp:inline xmlns:wp="http://schemas.openxmlformats.org/drawingml/2006/wordprocessingDrawing" distT="0" distB="0" distL="0" distR="0">
                                        <wp:extent cx="5162550" cy="1657350"/>
                                        <wp:effectExtent l="19050" t="0" r="0" b="0"/>
                                        <wp:docPr id="3" name="Рисунок 1" descr="http://greatp.ru/image/3823_1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http://greatp.ru/image/3823_1.jpeg"/>
                                                <pic:cNvPicPr>
                                                  <a:picLocks noChangeAspect="1"/>
                                                </pic:cNvPicPr>
                                                <pic:nvPr/>
                                              </pic:nvPicPr>
                                              <pic:blipFill>
                                                <a:blip r:embed="rId9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162550" cy="1657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2" o:spid="_x0000_s2" type="#_x0000_t75" style="width:406.50pt;height:130.50pt;mso-wrap-distance-left:0.00pt;mso-wrap-distance-top:0.00pt;mso-wrap-distance-right:0.00pt;mso-wrap-distance-bottom:0.00pt;z-index:1;" stroked="f" strokeweight="0.75pt">
                                        <v:imagedata r:id="rId9" o:title=""/>
                                        <o:lock v:ext="edit" rotation="t"/>
                                      </v:shape>
                                    </w:pict>
                                  </mc:Fallback>
                                </mc:AlternateConten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24" w:name="_Toc232164470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3.1.2 Перекаты</w:t>
                              </w:r>
                              <w:bookmarkEnd w:id="24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Перек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аты – это вращения с последовательным касанием пола различными частями тела, без переворачивания через голову. Они выполняются вперед, назад, в стороны из различных исходных положений в различные конечные положения, в группировке, согнувшись и прогнувшись.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Перекат в группировке. Сидя на полу, сгруппироваться и, падая на спину, мягко перекатиться до касания головой мата. Обратным движением возвратиться в исходное положение.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Перекат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назад из упора присев (на всей ступне). Сгруппироваться и, падая назад, мягко перекатиться, последовательно касаясь, пола различными частями тела. Закончить перекат касанием мата шеей и затылком (рис. 4). Движением вперед возвратиться в исходное положение.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При обучении необходимо следить за тем, чтобы занимающиеся, падая назад, максимально подтягивали ноги к груди, а при обратном движении, подтягивая ноги к себе, энергично подавали голову и плечи вперед.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Перекат в группировке из основной стойки. Быстро присесть в положение группировки и выполнить перекат так же, как из упора присев.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Перекаты в сторону: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а) лежа на животе, руки вверх, перекат на правый бок, на спину и на грудь (рис. 5);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mc:AlternateContent>
                                  <mc:Choice Requires="wpg">
                                    <w:drawing>
                                      <wp:inline xmlns:wp="http://schemas.openxmlformats.org/drawingml/2006/wordprocessingDrawing" distT="0" distB="0" distL="0" distR="0">
                                        <wp:extent cx="5086350" cy="1733550"/>
                                        <wp:effectExtent l="19050" t="0" r="0" b="0"/>
                                        <wp:docPr id="4" name="Рисунок 2" descr="http://greatp.ru/image/3823_2_1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http://greatp.ru/image/3823_2_1.jpeg"/>
                                                <pic:cNvPicPr>
                                                  <a:picLocks noChangeAspect="1"/>
                                                </pic:cNvPicPr>
                                                <pic:nvPr/>
                                              </pic:nvPicPr>
                                              <pic:blipFill>
                                                <a:blip r:embed="rId1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086350" cy="17335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3" o:spid="_x0000_s3" type="#_x0000_t75" style="width:400.50pt;height:136.50pt;mso-wrap-distance-left:0.00pt;mso-wrap-distance-top:0.00pt;mso-wrap-distance-right:0.00pt;mso-wrap-distance-bottom:0.00pt;z-index:1;" stroked="f" strokeweight="0.75pt">
                                        <v:imagedata r:id="rId10" o:title=""/>
                                        <o:lock v:ext="edit" rotation="t"/>
                                      </v:shape>
                                    </w:pict>
                                  </mc:Fallback>
                                </mc:AlternateConten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б) из упора сидя на пятках, перекат в сторону с последовательным касанием мата левым предплечьем, плечом, левым боком, спиной и правым боком (рис. 6).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Опираясь руками, возвратиться в исходное положение. В перекате стараться сохранить исходное положение;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в) из упора сидя на пятках перекат в сторону через голень, бедро и таз. Сделав полное вращение, возвратиться в исходное положение;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г) из стойки на одном колене, другая нога в сторону, перекат в сторону, группируясь во время переката через спину;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д) из стойки ноги врозь с захват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ом руками за ноги, перекат в сторону, согнувшись, с поворотом на 180°. Наклониться вперед, захватить руками за бедра у коленных суставов. Перекатиться последовательно на левый бок, левую ногу и далее на спину в упор, лежа согнувшись ноги врозь (рисунок 7).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Не отпуская рук, опустить ноги вперед и, выпрямляя туловище, прийти в присед ноги врозь.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mc:AlternateContent>
                                  <mc:Choice Requires="wpg">
                                    <w:drawing>
                                      <wp:inline xmlns:wp="http://schemas.openxmlformats.org/drawingml/2006/wordprocessingDrawing" distT="0" distB="0" distL="0" distR="0">
                                        <wp:extent cx="5105400" cy="2314575"/>
                                        <wp:effectExtent l="19050" t="0" r="0" b="0"/>
                                        <wp:docPr id="5" name="Рисунок 3" descr="http://greatp.ru/image/3823_3_1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http://greatp.ru/image/3823_3_1.jpeg"/>
                                                <pic:cNvPicPr>
                                                  <a:picLocks noChangeAspect="1"/>
                                                </pic:cNvPicPr>
                                                <pic:nvPr/>
                                              </pic:nvPicPr>
                                              <pic:blipFill>
                                                <a:blip r:embed="rId11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105400" cy="23145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4" o:spid="_x0000_s4" type="#_x0000_t75" style="width:402.00pt;height:182.25pt;mso-wrap-distance-left:0.00pt;mso-wrap-distance-top:0.00pt;mso-wrap-distance-right:0.00pt;mso-wrap-distance-bottom:0.00pt;z-index:1;" stroked="f" strokeweight="0.75pt">
                                        <v:imagedata r:id="rId11" o:title=""/>
                                        <o:lock v:ext="edit" rotation="t"/>
                                      </v:shape>
                                    </w:pict>
                                  </mc:Fallback>
                                </mc:AlternateConten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Перекаты на передней поверхности тела: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а) лежа на животе, руки вверху, прогнуться в грудной и поясничной частях тела, перекатиться на грудь, оттолкнуться руками и перекатиться до касания бедрами. То же, лежа на животе, тело прогнуто, руки вверх (рис. 8). То же, но руки вдоль тела (рис. 9);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mc:AlternateContent>
                                  <mc:Choice Requires="wpg">
                                    <w:drawing>
                                      <wp:inline xmlns:wp="http://schemas.openxmlformats.org/drawingml/2006/wordprocessingDrawing" distT="0" distB="0" distL="0" distR="0">
                                        <wp:extent cx="5505450" cy="2219325"/>
                                        <wp:effectExtent l="19050" t="0" r="0" b="0"/>
                                        <wp:docPr id="6" name="Рисунок 4" descr="http://greatp.ru/image/3823_4_1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 descr="http://greatp.ru/image/3823_4_1.jpeg"/>
                                                <pic:cNvPicPr>
                                                  <a:picLocks noChangeAspect="1"/>
                                                </pic:cNvPicPr>
                                                <pic:nvPr/>
                                              </pic:nvPicPr>
                                              <pic:blipFill>
                                                <a:blip r:embed="rId12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505450" cy="22193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5" o:spid="_x0000_s5" type="#_x0000_t75" style="width:433.50pt;height:174.75pt;mso-wrap-distance-left:0.00pt;mso-wrap-distance-top:0.00pt;mso-wrap-distance-right:0.00pt;mso-wrap-distance-bottom:0.00pt;z-index:1;" stroked="f" strokeweight="0.75pt">
                                        <v:imagedata r:id="rId12" o:title=""/>
                                        <o:lock v:ext="edit" rotation="t"/>
                                      </v:shape>
                                    </w:pict>
                                  </mc:Fallback>
                                </mc:AlternateConten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б) стоя на коленях, руки вниз ладонями вперед и сильно прогнуться. Подавая таз вперед, перекатиться вперед, последовательно касаясь мата бедрами, животом и грудью (рис. 10). Обратным движением возвратиться в упор лежа на бедрах.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mc:AlternateContent>
                                  <mc:Choice Requires="wpg">
                                    <w:drawing>
                                      <wp:inline xmlns:wp="http://schemas.openxmlformats.org/drawingml/2006/wordprocessingDrawing" distT="0" distB="0" distL="0" distR="0">
                                        <wp:extent cx="4210050" cy="2057400"/>
                                        <wp:effectExtent l="19050" t="0" r="0" b="0"/>
                                        <wp:docPr id="7" name="Рисунок 5" descr="http://greatp.ru/image/3823_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http://greatp.ru/image/3823_1.png"/>
                                                <pic:cNvPicPr>
                                                  <a:picLocks noChangeAspect="1"/>
                                                </pic:cNvPicPr>
                                                <pic:nvPr/>
                                              </pic:nvPicPr>
                                              <pic:blipFill>
                                                <a:blip r:embed="rId13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210050" cy="2057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6" o:spid="_x0000_s6" type="#_x0000_t75" style="width:331.50pt;height:162.00pt;mso-wrap-distance-left:0.00pt;mso-wrap-distance-top:0.00pt;mso-wrap-distance-right:0.00pt;mso-wrap-distance-bottom:0.00pt;z-index:1;" stroked="f" strokeweight="0.75pt">
                                        <v:imagedata r:id="rId13" o:title=""/>
                                        <o:lock v:ext="edit" rotation="t"/>
                                      </v:shape>
                                    </w:pict>
                                  </mc:Fallback>
                                </mc:AlternateConten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Страховка: стоя сбоку, одной рукой поддерживать под плечо, другой – под бедро.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25" w:name="_Toc232164471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25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3.1.3 Кувырки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Подготовительные упражнения к усвоению кувырка вперед: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а) в упоре присев, сгибая руки, наклониться вперед до касания затылком пола;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б) в упоре стоя, согнувшись ноги врозь, сгибая руки, наклониться вперед до касания затылком пола;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в) из приседа в группировке перекат назад и обратно в исходное положение.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Кувырок вперед из основной стойки выполняется через упор присев. Падая вперед, поставить руки на 30-40 см от ног на ширину плеч. Оттолкнувшись носками, начать вращение вперед, коснуться мата шеей и лопатками. Быстро сгруппироваться, далее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перекатиться через округлую спину и прийти в упор присев, руки впереди касаются пола.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При выполнении кувырка вперед обратить внимание на то, чтобы телу было сообщено поступательное движение, а после передачи тяжести тела на руки таз не поднимался слишком высоко и группировка была бы как можно плотнее.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Начинать усвоение кувырка необходимо из упора присев, а затем постепенно его усложнять: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a)         кувырок вперед из основной стойки;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b)         кувырок вперед, ставя руки подальше;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c)          кувырок с шага, двух и трех шагов;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d)         два кувырка вперед в группировке;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e)          кувырок вперед в положение лежа на спине;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f)          кувырок вперед из стойки ноги врозь;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g)         длинный кувырок;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h)         кувырок ноги скрестно, вставая с поворотом кругом.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Кувырок назад усваивается после перекатов и кувырков вперед. Главное в кувырке назад –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это опередить руками вращательное движение тела так, чтобы в момент касания пола или мата шеей, руки уже приобрели опору. Из упора присев перекатом назад пройти через округлую спину, быстро поставить руки у плеч за головой и, выпрямляя их, перейти в групп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ировку в приседе. Чтобы лучше изучить кувырок назад, необходимо усвоить следующее упражнение: и. и. п. лежа на спине согнувшись с опорой руками за головой, отжимаясь руками, поставить носки ног за головой на пол и медленно перевернуться в упор на коленях.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После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этого рекомендуется выполнить кувырок назад из седа в стойку на коленях и на одно колено; из седа в упор присев; из основной стойки. Затем надо выполнить два кувырка назад и, наконец, кувырок вперед ноги скрестно с поворотом кругом в темпе кувырок назад.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Существуют три разновидности кувырка в сторону: перекатом через спину; перекатом через плечо; перекатом через таз.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Кувырок боком через спину выполняется из упора присев. Опираясь руками впереди, перекатиться в сторону боком через спину и лопатки.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mc:AlternateContent>
                                  <mc:Choice Requires="wpg">
                                    <w:drawing>
                                      <wp:inline xmlns:wp="http://schemas.openxmlformats.org/drawingml/2006/wordprocessingDrawing" distT="0" distB="0" distL="0" distR="0">
                                        <wp:extent cx="5210175" cy="2105025"/>
                                        <wp:effectExtent l="19050" t="0" r="9525" b="0"/>
                                        <wp:docPr id="8" name="Рисунок 6" descr="http://greatp.ru/image/3823_5_1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 descr="http://greatp.ru/image/3823_5_1.jpeg"/>
                                                <pic:cNvPicPr>
                                                  <a:picLocks noChangeAspect="1"/>
                                                </pic:cNvPicPr>
                                                <pic:nvPr/>
                                              </pic:nvPicPr>
                                              <pic:blipFill>
                                                <a:blip r:embed="rId1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210175" cy="2105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7" o:spid="_x0000_s7" type="#_x0000_t75" style="width:410.25pt;height:165.75pt;mso-wrap-distance-left:0.00pt;mso-wrap-distance-top:0.00pt;mso-wrap-distance-right:0.00pt;mso-wrap-distance-bottom:0.00pt;z-index:1;" stroked="f" strokeweight="0.75pt">
                                        <v:imagedata r:id="rId14" o:title=""/>
                                        <o:lock v:ext="edit" rotation="t"/>
                                      </v:shape>
                                    </w:pict>
                                  </mc:Fallback>
                                </mc:AlternateConten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 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26" w:name="_Toc232164472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26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3.1.4. Полушпагаты, шпагаты и мосты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mc:AlternateContent>
                                  <mc:Choice Requires="wpg">
                                    <w:drawing>
                                      <wp:inline xmlns:wp="http://schemas.openxmlformats.org/drawingml/2006/wordprocessingDrawing" distT="0" distB="0" distL="0" distR="0">
                                        <wp:extent cx="1752600" cy="1609725"/>
                                        <wp:effectExtent l="19050" t="0" r="0" b="0"/>
                                        <wp:docPr id="9" name="Рисунок 7" descr="http://greatp.ru/image/3823_6_1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 descr="http://greatp.ru/image/3823_6_1.jpeg"/>
                                                <pic:cNvPicPr>
                                                  <a:picLocks noChangeAspect="1"/>
                                                </pic:cNvPicPr>
                                                <pic:nvPr/>
                                              </pic:nvPicPr>
                                              <pic:blipFill>
                                                <a:blip r:embed="rId15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52599" cy="16097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8" o:spid="_x0000_s8" type="#_x0000_t75" style="width:138.00pt;height:126.75pt;mso-wrap-distance-left:0.00pt;mso-wrap-distance-top:0.00pt;mso-wrap-distance-right:0.00pt;mso-wrap-distance-bottom:0.00pt;z-index:1;" stroked="f" strokeweight="0.75pt">
                                        <v:imagedata r:id="rId15" o:title=""/>
                                        <o:lock v:ext="edit" rotation="t"/>
                                      </v:shape>
                                    </w:pict>
                                  </mc:Fallback>
                                </mc:AlternateConten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Полушпагат (рис. 15). Подготовительными упражнениями могут служить взмахи ногами вперед, назад и в сторону у гимнастической стенки или другие упражнения на растягивание мышц задней поверхности бедра.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Шпагат – это сед с предельно разведенными ногами. Шпагат может быть лицевым (рисунок 16) и боковым (рисунок 17).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mc:AlternateContent>
                                  <mc:Choice Requires="wpg">
                                    <w:drawing>
                                      <wp:inline xmlns:wp="http://schemas.openxmlformats.org/drawingml/2006/wordprocessingDrawing" distT="0" distB="0" distL="0" distR="0">
                                        <wp:extent cx="4762500" cy="1381125"/>
                                        <wp:effectExtent l="19050" t="0" r="0" b="0"/>
                                        <wp:docPr id="10" name="Рисунок 8" descr="http://greatp.ru/image/3823_7_1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 descr="http://greatp.ru/image/3823_7_1.jpeg"/>
                                                <pic:cNvPicPr>
                                                  <a:picLocks noChangeAspect="1"/>
                                                </pic:cNvPicPr>
                                                <pic:nvPr/>
                                              </pic:nvPicPr>
                                              <pic:blipFill>
                                                <a:blip r:embed="rId16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762500" cy="13811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9" o:spid="_x0000_s9" type="#_x0000_t75" style="width:375.00pt;height:108.75pt;mso-wrap-distance-left:0.00pt;mso-wrap-distance-top:0.00pt;mso-wrap-distance-right:0.00pt;mso-wrap-distance-bottom:0.00pt;z-index:1;" stroked="f" strokeweight="0.75pt">
                                        <v:imagedata r:id="rId16" o:title=""/>
                                        <o:lock v:ext="edit" rotation="t"/>
                                      </v:shape>
                                    </w:pict>
                                  </mc:Fallback>
                                </mc:AlternateConten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Мост. Обучение этому упражнению нужно начинать с подготовительных упражнений у гимнастической стенки или другой опоры: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а) стоя лицом к гимнастической стенке и держась руками за рейку на высоте пояса, прогибаться назад;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б) стоя спиной к гимнастической стенке на расстоянии шага, перебирая руками, прогнуться назад до касания пола руками (рисунок 18).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Проделав эти упражнения, можно перейти к выполнению моста (рисунок 19) из положения лежа на спине с опорой руками за головой у плеч, ноги согнуты в коленях, ступни на ширине плеч.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Далее, с помощью партнера, из стойки ноги врозь, руки вверх, медленно опуститься на мост. После этого выполнить мост через стойку на руках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mc:AlternateContent>
                                  <mc:Choice Requires="wpg">
                                    <w:drawing>
                                      <wp:inline xmlns:wp="http://schemas.openxmlformats.org/drawingml/2006/wordprocessingDrawing" distT="0" distB="0" distL="0" distR="0">
                                        <wp:extent cx="4962525" cy="1962150"/>
                                        <wp:effectExtent l="19050" t="0" r="9525" b="0"/>
                                        <wp:docPr id="11" name="Рисунок 9" descr="http://greatp.ru/image/3823_8_1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 descr="http://greatp.ru/image/3823_8_1.jpeg"/>
                                                <pic:cNvPicPr>
                                                  <a:picLocks noChangeAspect="1"/>
                                                </pic:cNvPicPr>
                                                <pic:nvPr/>
                                              </pic:nvPicPr>
                                              <pic:blipFill>
                                                <a:blip r:embed="rId17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962525" cy="1962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" o:spid="_x0000_s10" type="#_x0000_t75" style="width:390.75pt;height:154.50pt;mso-wrap-distance-left:0.00pt;mso-wrap-distance-top:0.00pt;mso-wrap-distance-right:0.00pt;mso-wrap-distance-bottom:0.00pt;z-index:1;" stroked="f" strokeweight="0.75pt">
                                        <v:imagedata r:id="rId17" o:title=""/>
                                        <o:lock v:ext="edit" rotation="t"/>
                                      </v:shape>
                                    </w:pict>
                                  </mc:Fallback>
                                </mc:AlternateConten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27" w:name="_Toc232164473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27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3.1.5 Стойки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Существуют три основные разновидности стоек: на лопатках, на голове, на руках.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Эти упражнения рекомендуются как для тренировки вестибулярного аппарата, укрепления мышц рук и плечевого пояса, так и для дальнейшего совершенствования акробатических приемов, бросков и падений.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Стойка на лопатках. Лежа на спине, перекатом назад поднять ноги и таз в положение согнувшись, подставить согнуты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е в локтях руки под спину пальцами внутрь и, разгибаясь, принять вертикальное положение. Необходимо при этом следить за тем, чтобы тело было выпрямлено, особенно в тазобедренных суставах. Оказывая помощь, стоять сбоку и поддерживать занимающегося за ноги.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Стойка на голове. В упоре присев перенести тяжесть тела на руки, упру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го поставленные впереди на ширине плеч, наклониться вперед и упереться верхней частью лба впереди рук так, чтобы точки опоры составляли равнобедренный треугольник. Сохраняя равновесие, медленно поднять ноги вверх в стойку с прямой спиной и прямыми ногами.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Стойка на руках. При обучении очень важно создать у занимающегося уверенность в том, что он не упадет.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Для этого первое время следует выполнить стойку на руках махом одной и толчком другой ноги с опорой ногами о стенку, а затем перейти к стойке на руках у стены; одна нога вверх, другая, согнутая в колене, слегка касается стены. Постепенно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привыкая к стойке, надо выполнять ее без дополнительной опоры.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Далее стойка на руках выполняется в сочетании с кувырком или с переходом в мост.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1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/>
                              <w:bookmarkStart w:id="28" w:name="_Toc232164474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 </w:t>
                              </w:r>
                              <w:bookmarkEnd w:id="28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1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3.2 Применение подвижных игр и эстафет в подготовке волейболистов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На занятиях по специальной физической подготовке одновременно с развитием физических качеств совершенствуются приемы в нападении и защите.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Игры и эстафеты повышают плотность занятий и в значительной степени увеличивают нагрузку. Необходим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о тщательно подбирать игры и эстафеты для занятий волейболистов и продумывать их содержание. Желательно чтобы они были интересными, разными по своей сложности и доступными. Они должны иметь соревновательный характер и отвечать волейбольной направленности.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29" w:name="_Toc232164475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3.2.1 Игры и эстафеты</w:t>
                              </w:r>
                              <w:bookmarkEnd w:id="29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, способствующие развитию быстроты и ловкости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Быстрота – это умение производить определенную работу в кратчайшее время.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Ловкость – способность быстро овладевать новыми движениями и быстро перестраивать двигательную деятельно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сть в соответствии с требованиями внезапно меняющейся обстановки. Эти качества развиваются путем сложных по координации гимнастических упражнений и акробатических прыжков, при овладении техникой и тактикой волейбола, при проведении различных игр и эстафет.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1. Игроки делятся на дв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е равные команды и по сигналу тренера начинают эстафетный бег с обеганием препятствий (стоек, набивных мячей и т.д.). После обегания препятствий каждый участник эстафеты обязан повернуться кругом и сделать бросок для приема мяча, заканчивающийся кувырком.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Выигрывает команда, быстрее закончившая эстафету и правильнее выполнившая задания.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 На волейбольной площадке две равные команды. Игроки одной команды поочередно в прыжке бросают теннисные мячи, стараясь попасть на свободное место. Вторая команда стремится поймать брошенный мяч. После 10-15 бросков команды меняются местами.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Выигрывает та команда, которая поймает больше мячей.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 Играющие становятся в круг. Тренер назначает центрального, который вращает веревку с привязанным к концу грузом (мешочком, наполненным песком). Стоящие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 кругу должны перепрыгивать через приближающуюся веревку. Тот, кто задел груз, становится в круг и продолжает водить.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Игру можно усложнить, изменяя высоту вращения веревки, выполняя прыжки на одной ноге или прыжки с поворотом кругом.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30" w:name="_Toc232164476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3.2.2 Игры и эстафеты</w:t>
                              </w:r>
                              <w:bookmarkEnd w:id="30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, способствующие развитию прыгучести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Прыгучесть – комплексное проявление силы мышц ног и способность их к быстрому сокращению.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1. Играющие делятся на две равные команды и по сигналу тренера прыжками на обеих ногах устремляются впе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ред. На пути каждого расставлены препятствия (малые барьеры или скамейки), которые участники обязаны преодолеть прыжками на обеих ногах. Обежав стойку, они возвращаются: первую половину обратного пути проходят прыжками на левой ноге, вторую на правой ноге.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Побеждает команда, которая пройдет путь быстрее.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 Встречная эстафета со скакалкой. Игроки делятся на две команды. По сигналу трен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ера прыжками через скакалку на обеих ногах двое первых устремляются вперед. Достигнув команды стоящей напротив, они передают скакалку, после чего в эстафету вступают следующие. Побеждает команда, которая первой закончит прыжки и допустит меньше нарушений.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 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гроки делятся на две (или несколько) равные команды. Первые номера выстраиваются на черте и по сигналу тренера выполняют прыжок в длину с места. Следующий игрок прыгает с того места, на которое приземлился предыдущий, и так до последнего номера в команде.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Выигрывает команда, игроки которой окажутся дальше.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31" w:name="_Toc232164477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31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3.2.3 Игры и эстафеты, способствующие развитию скоростно-силовой выносливости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Скоростная выносливость – способность игрока на протяжении всей игры одинаково быстро выполнять технические приемы и перемещения.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Специальная выносливость (особенно прыжковая) – способность переносить значительный объем повторно-переменных скоростных нагрузок и действий, требующих большой точности выполнения.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Силовая выносливость – способность игрока на протяжении всей игры выполнять игровые действия динамического характера (подача, нападающий удар, блок) с максимальным усилием и точностью.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1. Участники делятся на две равные команды и в каждой команде рассчитываются на первый и второй. Первые номера принимают упор лежа, вторые берут первых за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ноги. По сигналу тренера участники на руках, поддерживаемые за ноги, передвигаются до края дорожки, достигнув края, меняются местами и возвращаются обратно. Побеждает команда, участники которой быстрее закончат эстафету.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 Игра в волейбол в кругу, сидя на плечах товарища. Игроки рассчитываются на первый и второй, первые номера садятся на плечи вторым и все образуют круг. Мяч вводится в игру, через 5-7 мин игроки меняются ролями.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 «Всадники». Участники игры разделяются на две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равные команды. Каждая команда рассчитывается на первый и второй. Вначале первые участвуют в роли «всадников» затем вторые. Команды выстраиваются друг против друга и как бы скачут навстречу. Играющие стремятся стаскивать всадника в противоположной команде.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Побеждает команда, у которой останется больше всадников.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32" w:name="_Toc232164478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32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3.2.4 Игры и эстафеты, способствующие развитию точности движений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1. На площадке две команды, игрок одной из них подает мяч на удар, игрок второй производит нападающ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ий удар по цели. Целью может служить отметка на площадке, щит с разметкой или щит, переворачивающийся при правильном ударе (нападении). После того как произведены нападающие удары, игроки меняются местами. Выигрывает команда, которая поразит больше целей.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2.На площадке две команды. Одна из них игра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ет в нападении, вторая в защите. Игроки нападающей команды по очереди выполняют нападающие удары. Команда защитников должна принять мяч и с первой передачи направит его в корзину, укрепленную на сетке или установленную на площадке (по усмотрению тренера).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Выигрывает команда, которая с первой передачи направит больше мячей точно в корзину.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 На площадке две команды. Одна играет в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нападении, вторая в защите. Игроки нападающей команды по очереди в прыжке бросают через сетку теннисные мячи. Защитники ракетками, которые они держат одну в правой, вторую в левой руках, отбивают мячи в корзину, установленную тренером (по его усмотрению).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Выигрывает команда, которая направит точно в корзину больше принятых мячей.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/>
                              <w:bookmarkStart w:id="33" w:name="_Toc232164479"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 </w:t>
                              </w:r>
                              <w:bookmarkEnd w:id="33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outlineLvl w:val="2"/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  <w:t xml:space="preserve">3.2.5 Игры и эстафеты, способствующие развитию чувства пространства и координации движении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bCs/>
                                  <w:sz w:val="27"/>
                                  <w:szCs w:val="27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 игры и эстафеты, способствующие развитию координации движений и чувства пространства, надо включать элементы из техники игры. Выполнять их следует в усложненной обстановке. При составлении игр или эстафет тренер обязан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учитывать недостатки в физическом развитии и технической подготовленности игроков своей команды.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Приведенные примерные игры и эстафеты тренер может изменять, брать нужные элементы из разных разделов, чтобы в ходе игры или эстафеты одновременно развивать различные физические качества.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1. Две команды становится по обе стороны волейбольной площадки произвольно. У каждого игрока в руках мяч. По сигналу тренера бросают мячи под сеткой одной, двумя руками как можно быстрее. Выигрывает команда на стороне, которой не будет ни одного мяча.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 Две команды становится по обе стороны волейбольной пло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щадки произвольно. У каждого игрока в руках мяч. По сигналу тренера бросают мячи в прыжке с замахом рук через сетку. Выигрывает команда на стороне, которой не будет ни одного мяча. Перемещение к мячу шагом, бегом, приставными шагами с последующим падением.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br/>
                              </w:r>
                              <w:bookmarkStart w:id="34" w:name="_Toc232164480"/>
                              <w:r/>
                              <w:bookmarkStart w:id="35" w:name="_Toc502866761"/>
                              <w:r/>
                              <w:bookmarkEnd w:id="34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4. </w:t>
                              </w:r>
                              <w:bookmarkEnd w:id="35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Правила игры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Игра произво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дится на площадке, которая представляет собой прямоугольник 18×9 м. Она должна быть твердой и ровной. Площадка ограничивается короткими (лицевыми) линиями и длинными (боковыми). Середины боковых линий соединяются прямой линией, которая называется средней.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На расстоянии 3 м от средней линии и параллельно ей проводят линии, соединяющие боковые линии – это линия нападения. Ширина всех линий разметки площадки 5 см, они входят в размеры ограничиваемых ими площадей. Цвет линии должен отличаться от цвета площадки.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Над сред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ней линией площадки натягивается сетка длиной 9.5 м и шириной 1 м. Сетка крепится на двух стойках (столбах), которые устанавливаются на расстоянии не ближе 50 см от боковых линий. Высота сетки в середине площадки должна быть 2.43 м для мужских команд и 2.2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4 м – для женских. В команде должно быть не более 12 игроков; 6 игроков, начинающих игру в данной партии, считаются основными, они действуют в своих зонах. Игроков, находящихся у сетки (зоны 2, 3, 4), называют игроками передней линии, остальных – игроками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задней линии, они считаются запасными и располагаются около площадки на отведенных местах. Любой основной игрок в каждой партии может быть один раз заменен запасным игроком и имеет право вновь вернуться в игру вместо ранее заменившего его запасного игрока.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Соревнования проводятся из трех или пяти партий – это предусматривается положением о соревнованиях. Победившей считается команда, выигравшая две или три партии. После каждой партии, а также в третьей (пятой) решающей партии при счете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«8» производится смена сторон. Команде засчитывается очко, когда при ее подаче ошибку совершает команда соперника. Партия считается выигранной, когда одна из команд набрала 15 очков или перевес в 2 очка при равенстве счета (например, 16:14, 17:15 и т.д.).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Во время игры каждая команда имеет право на три удара для направления мяча на сторону соперника. Касание мяча при блокировании за удар не засчитывается. Принимать мяч разрешается любой частью тела выше п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ояса. Касание мяча должно быть коротким, отрывистым. Один и тот же игрок не имеет права касаться мяча два раза подряд: исключение составляет прием мяча после блокирования. При одновременной ошибке, допущенной двумя игроками разных команд, мяч переигрывают.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При блокировании разрешается переносить руки над сеткой на сторону соперника, но при этом блокирующие не имеют права касаться мяча, пока команда соперника не завершит действие, которым направляет мяч в сторону блокирующих.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Мяч должен быть перебит на сторону соперника над сеткой в пределах ее ширины (9 м). Если мяч пересек плоскос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ть сетки за этими пределами, команде засчитывается ошибка. Касание мячом сетки в указанных пределах не является ошибкой (за исключением подачи). Касание площадки противоположной команды любой частью тела считается ошибкой. Наступать на среднюю линию можно.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Каждая команда в каждой партии имеет право на два перерыва в игре по 30 с каждый.</w:t>
                              </w:r>
                              <w:bookmarkStart w:id="36" w:name="_Toc502866771"/>
                              <w:r/>
                              <w:bookmarkEnd w:id="36"/>
                              <w:r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br/>
                              </w:r>
                              <w:bookmarkStart w:id="37" w:name="_Toc232164481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Вывод</w:t>
                              </w:r>
                              <w:bookmarkEnd w:id="37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 процессе игры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 волейбол для учащихся характерны разнообразные чередования движений, быстрая смена ситуаций, изменение интенсивности и продолжительности деятельности каждого игрока. Условия игровой деятельности приучают занимающихся: подчинять свои действия интересам ко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ллектива в достижении общей цели; действовать с максимальным напряжением своих сил и возможностей, преодолевать трудности в ходе спортивной борьбы; постоянно следить за ходом игры, мгновенно оценивать изменившуюся обстановку и принимать правильные решения.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Волейбол способствуют воспитанию у учащихся чувства коллективизма; настойчивости, решительности, целеустремленности; внимания и быстроты мышления; способности управлять своими эмоциями; совершенствованию основных физических качеств.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0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br/>
                              </w:r>
                              <w:bookmarkStart w:id="38" w:name="_Toc232164482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Библиографический список</w:t>
                              </w:r>
                              <w:bookmarkEnd w:id="38"/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1.         Б.И. Загорский, И.П. Залетаев, Ю.П. Пузырь и др. “Физическая культура”, Высшая школа 1989г.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2.         Ю.Д. Железняк “Юный волейболист”, Учебное пособие для тренеров. Москва. Физкультура и спорт, 1988г.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3.         Н.К. Коробейников, А.А.Михеев, Н.Г. Николаенко “Физическое воспитание”, Учебное пособие для средних специальных учебных заведений.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Высшая школа 1984г. 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4.         Королева М.С. К 68 Специальная физическая подготовка волейболистов в вузе: Методические указания. – Оренбург: ГОУ ОГУ, 2004г.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5.         Волейбол: Учебник для высших учебных заведений физической культуры. Под ред. Беляева А.В., Савина М.В., - М.: „Физкультура, образование, наука”, 2000г.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6.         Железняк Ю.Д., Кунянский В.А., Волейбол: У истоков мастерства /под ред. Ю.В. Питерцева.- М.: Издательство „ФАИР-ПРЕСС”, 1998г.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 w:after="100" w:afterAutospacing="1" w:before="100" w:beforeAutospacing="1" w:line="240" w:lineRule="auto"/>
                                <w:ind/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  <w:t xml:space="preserve">7.         Волейбол: Официальные правила ФИВБ 1999-2000. – М.: 1998г.</w:t>
                              </w: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  <w:szCs w:val="24"/>
                                </w:rPr>
                              </w:r>
                            </w:p>
                          </w:tc>
                        </w:tr>
                      </w:tbl>
                      <w:p>
                        <w:pPr>
                          <w:pBdr/>
                          <w:spacing w:after="0" w:line="240" w:lineRule="auto"/>
                          <w:ind/>
                          <w:rPr>
                            <w:rFonts w:ascii="Times New Roman" w:hAnsi="Times New Roman" w:eastAsia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/>
                        <w:tcW w:w="2415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 w:after="100" w:afterAutospacing="1" w:before="100" w:beforeAutospacing="1" w:line="240" w:lineRule="auto"/>
                          <w:ind/>
                          <w:jc w:val="center"/>
                          <w:rPr>
                            <w:rFonts w:ascii="Times New Roman" w:hAnsi="Times New Roman" w:eastAsia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pBdr/>
                          <w:spacing w:after="0" w:line="240" w:lineRule="auto"/>
                          <w:ind/>
                          <w:rPr>
                            <w:rFonts w:ascii="Times New Roman" w:hAnsi="Times New Roman" w:eastAsia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Bdr/>
                    <w:spacing w:after="0" w:line="240" w:lineRule="auto"/>
                    <w:ind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pBdr/>
        <w:spacing w:after="0" w:line="240" w:lineRule="auto"/>
        <w:ind/>
        <w:rPr>
          <w:rFonts w:ascii="Times New Roman" w:hAnsi="Times New Roman" w:eastAsia="Times New Roman" w:cs="Times New Roman"/>
          <w:vanish/>
          <w:sz w:val="24"/>
          <w:szCs w:val="24"/>
        </w:rPr>
      </w:pPr>
      <w:r>
        <w:rPr>
          <w:rFonts w:ascii="Times New Roman" w:hAnsi="Times New Roman" w:eastAsia="Times New Roman" w:cs="Times New Roman"/>
          <w:vanish/>
          <w:sz w:val="24"/>
          <w:szCs w:val="24"/>
        </w:rPr>
      </w:r>
      <w:r>
        <w:rPr>
          <w:rFonts w:ascii="Times New Roman" w:hAnsi="Times New Roman" w:eastAsia="Times New Roman" w:cs="Times New Roman"/>
          <w:vanish/>
          <w:sz w:val="24"/>
          <w:szCs w:val="24"/>
        </w:rPr>
      </w:r>
    </w:p>
    <w:p>
      <w:pPr>
        <w:pBdr/>
        <w:spacing/>
        <w:ind/>
        <w:rPr/>
      </w:pPr>
      <w:r/>
      <w:r/>
    </w:p>
    <w:sectPr>
      <w:footerReference w:type="default" r:id="rId8"/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778911"/>
      <w:docPartObj>
        <w:docPartGallery w:val="Page Numbers (Bottom of Page)"/>
        <w:docPartUnique w:val="true"/>
      </w:docPartObj>
      <w:rPr/>
    </w:sdtPr>
    <w:sdtContent>
      <w:p>
        <w:pPr>
          <w:pStyle w:val="768"/>
          <w:pBdr/>
          <w:spacing/>
          <w:ind/>
          <w:rPr/>
        </w:pPr>
        <w:r>
          <w:rPr>
            <w:lang w:eastAsia="zh-TW"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64515" cy="238760"/>
                  <wp:effectExtent l="0" t="0" r="0" b="0"/>
                  <wp:wrapNone/>
                  <wp:docPr id="1" name="_x0000_s307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64515" cy="238760"/>
                          </a:xfrm>
                          <a:custGeom>
                            <a:avLst>
                              <a:gd name="adj0" fmla="val 3600"/>
                            </a:avLst>
                            <a:gdLst>
                              <a:gd name="gd0" fmla="val 65536"/>
                              <a:gd name="gd1" fmla="val adj0"/>
                              <a:gd name="gd2" fmla="+- 21600 0 adj0"/>
                              <a:gd name="gd3" fmla="+- 21600 0 adj0"/>
                              <a:gd name="gd4" fmla="*/ gd1 2929 10000"/>
                              <a:gd name="gd5" fmla="+- 21600 0 gd4"/>
                              <a:gd name="gd6" fmla="+- 21600 0 gd4"/>
                              <a:gd name="gd7" fmla="val 21600"/>
                              <a:gd name="gd8" fmla="val 21600"/>
                              <a:gd name="gd9" fmla="*/ 21600 1 2"/>
                              <a:gd name="gd10" fmla="*/ 21600 1 2"/>
                              <a:gd name="gd11" fmla="val gd1"/>
                              <a:gd name="gd12" fmla="val 0"/>
                              <a:gd name="gd13" fmla="+- 0 0 gd11"/>
                              <a:gd name="gd14" fmla="+- gd1 0 gd12"/>
                              <a:gd name="gd15" fmla="?: gd13 1 -1"/>
                              <a:gd name="gd16" fmla="?: gd14 1 -1"/>
                              <a:gd name="gd17" fmla="*/ gd15 gd16 1"/>
                              <a:gd name="gd18" fmla="?: gd14 16200000 5400000"/>
                              <a:gd name="gd19" fmla="?: gd17 5400000 -5400000"/>
                              <a:gd name="gd20" fmla="*/ gd13 -1 1"/>
                              <a:gd name="gd21" fmla="*/ gd14 -1 1"/>
                              <a:gd name="gd22" fmla="?: gd13 gd13 gd20"/>
                              <a:gd name="gd23" fmla="?: gd14 gd14 gd21"/>
                              <a:gd name="gd24" fmla="val 0"/>
                              <a:gd name="gd25" fmla="val gd1"/>
                              <a:gd name="gd26" fmla="val 0"/>
                              <a:gd name="gd27" fmla="val gd3"/>
                              <a:gd name="gd28" fmla="+- gd1 0 gd26"/>
                              <a:gd name="gd29" fmla="+- 21600 0 gd27"/>
                              <a:gd name="gd30" fmla="?: gd28 1 -1"/>
                              <a:gd name="gd31" fmla="?: gd29 1 -1"/>
                              <a:gd name="gd32" fmla="*/ gd30 gd31 1"/>
                              <a:gd name="gd33" fmla="?: gd28 10800000 0"/>
                              <a:gd name="gd34" fmla="?: gd32 -5400000 5400000"/>
                              <a:gd name="gd35" fmla="*/ gd28 -1 1"/>
                              <a:gd name="gd36" fmla="*/ gd29 -1 1"/>
                              <a:gd name="gd37" fmla="?: gd28 gd28 gd35"/>
                              <a:gd name="gd38" fmla="?: gd29 gd29 gd36"/>
                              <a:gd name="gd39" fmla="val gd1"/>
                              <a:gd name="gd40" fmla="val 21600"/>
                              <a:gd name="gd41" fmla="val gd2"/>
                              <a:gd name="gd42" fmla="val 0"/>
                              <a:gd name="gd43" fmla="+- 21600 0 gd41"/>
                              <a:gd name="gd44" fmla="+- gd1 0 gd42"/>
                              <a:gd name="gd45" fmla="?: gd43 1 -1"/>
                              <a:gd name="gd46" fmla="?: gd44 1 -1"/>
                              <a:gd name="gd47" fmla="*/ gd45 gd46 1"/>
                              <a:gd name="gd48" fmla="?: gd44 16200000 5400000"/>
                              <a:gd name="gd49" fmla="?: gd47 5400000 -5400000"/>
                              <a:gd name="gd50" fmla="*/ gd43 -1 1"/>
                              <a:gd name="gd51" fmla="*/ gd44 -1 1"/>
                              <a:gd name="gd52" fmla="?: gd43 gd43 gd50"/>
                              <a:gd name="gd53" fmla="?: gd44 gd44 gd51"/>
                              <a:gd name="gd54" fmla="val 21600"/>
                              <a:gd name="gd55" fmla="val gd1"/>
                              <a:gd name="gd56" fmla="val 21600"/>
                              <a:gd name="gd57" fmla="val gd3"/>
                              <a:gd name="gd58" fmla="+- gd2 0 gd56"/>
                              <a:gd name="gd59" fmla="+- 21600 0 gd57"/>
                              <a:gd name="gd60" fmla="?: gd58 1 -1"/>
                              <a:gd name="gd61" fmla="?: gd59 1 -1"/>
                              <a:gd name="gd62" fmla="*/ gd60 gd61 1"/>
                              <a:gd name="gd63" fmla="?: gd58 10800000 0"/>
                              <a:gd name="gd64" fmla="?: gd62 -5400000 5400000"/>
                              <a:gd name="gd65" fmla="*/ gd58 -1 1"/>
                              <a:gd name="gd66" fmla="*/ gd59 -1 1"/>
                              <a:gd name="gd67" fmla="?: gd58 gd58 gd65"/>
                              <a:gd name="gd68" fmla="?: gd59 gd59 gd66"/>
                              <a:gd name="gd69" fmla="val gd2"/>
                              <a:gd name="gd70" fmla="val 21600"/>
                              <a:gd name="gd71" fmla="val gd1"/>
                              <a:gd name="gd72" fmla="val 0"/>
                              <a:gd name="gd73" fmla="+- 0 0 gd71"/>
                              <a:gd name="gd74" fmla="+- gd1 0 gd72"/>
                              <a:gd name="gd75" fmla="?: gd73 1 -1"/>
                              <a:gd name="gd76" fmla="?: gd74 1 -1"/>
                              <a:gd name="gd77" fmla="*/ gd75 gd76 1"/>
                              <a:gd name="gd78" fmla="?: gd74 16200000 5400000"/>
                              <a:gd name="gd79" fmla="?: gd77 5400000 -5400000"/>
                              <a:gd name="gd80" fmla="*/ gd73 -1 1"/>
                              <a:gd name="gd81" fmla="*/ gd74 -1 1"/>
                              <a:gd name="gd82" fmla="?: gd73 gd73 gd80"/>
                              <a:gd name="gd83" fmla="?: gd74 gd74 gd81"/>
                              <a:gd name="gd84" fmla="val 0"/>
                              <a:gd name="gd85" fmla="val gd1"/>
                              <a:gd name="gd86" fmla="val 0"/>
                              <a:gd name="gd87" fmla="val gd3"/>
                              <a:gd name="gd88" fmla="+- gd1 0 gd86"/>
                              <a:gd name="gd89" fmla="+- 21600 0 gd87"/>
                              <a:gd name="gd90" fmla="?: gd88 1 -1"/>
                              <a:gd name="gd91" fmla="?: gd89 1 -1"/>
                              <a:gd name="gd92" fmla="*/ gd90 gd91 1"/>
                              <a:gd name="gd93" fmla="?: gd88 10800000 0"/>
                              <a:gd name="gd94" fmla="?: gd92 -5400000 5400000"/>
                              <a:gd name="gd95" fmla="*/ gd88 -1 1"/>
                              <a:gd name="gd96" fmla="*/ gd89 -1 1"/>
                              <a:gd name="gd97" fmla="?: gd88 gd88 gd95"/>
                              <a:gd name="gd98" fmla="?: gd89 gd89 gd96"/>
                              <a:gd name="gd99" fmla="val gd1"/>
                              <a:gd name="gd100" fmla="val 21600"/>
                              <a:gd name="gd101" fmla="val gd2"/>
                              <a:gd name="gd102" fmla="val 21600"/>
                              <a:gd name="gd103" fmla="+- 21600 0 gd101"/>
                              <a:gd name="gd104" fmla="+- gd3 0 gd102"/>
                              <a:gd name="gd105" fmla="?: gd103 1 -1"/>
                              <a:gd name="gd106" fmla="?: gd104 1 -1"/>
                              <a:gd name="gd107" fmla="*/ gd105 gd106 1"/>
                              <a:gd name="gd108" fmla="?: gd104 16200000 5400000"/>
                              <a:gd name="gd109" fmla="?: gd107 5400000 -5400000"/>
                              <a:gd name="gd110" fmla="*/ gd103 -1 1"/>
                              <a:gd name="gd111" fmla="*/ gd104 -1 1"/>
                              <a:gd name="gd112" fmla="?: gd103 gd103 gd110"/>
                              <a:gd name="gd113" fmla="?: gd104 gd104 gd111"/>
                              <a:gd name="gd114" fmla="val 21600"/>
                              <a:gd name="gd115" fmla="val gd3"/>
                              <a:gd name="gd116" fmla="val 21600"/>
                              <a:gd name="gd117" fmla="val gd1"/>
                              <a:gd name="gd118" fmla="+- gd2 0 gd116"/>
                              <a:gd name="gd119" fmla="+- 0 0 gd117"/>
                              <a:gd name="gd120" fmla="?: gd118 1 -1"/>
                              <a:gd name="gd121" fmla="?: gd119 1 -1"/>
                              <a:gd name="gd122" fmla="*/ gd120 gd121 1"/>
                              <a:gd name="gd123" fmla="?: gd118 10800000 0"/>
                              <a:gd name="gd124" fmla="?: gd122 -5400000 5400000"/>
                              <a:gd name="gd125" fmla="*/ gd118 -1 1"/>
                              <a:gd name="gd126" fmla="*/ gd119 -1 1"/>
                              <a:gd name="gd127" fmla="?: gd118 gd118 gd125"/>
                              <a:gd name="gd128" fmla="?: gd119 gd119 gd126"/>
                              <a:gd name="gd129" fmla="val gd2"/>
                              <a:gd name="gd130" fmla="val 0"/>
                              <a:gd name="gd131" fmla="*/ w gd4 21600"/>
                              <a:gd name="gd132" fmla="*/ h gd4 21600"/>
                              <a:gd name="gd133" fmla="*/ w gd5 21600"/>
                              <a:gd name="gd134" fmla="*/ h gd6 21600"/>
                              <a:gd name="gd135" fmla="*/ w adj0 21600"/>
                              <a:gd name="gd136" fmla="*/ h 0 1"/>
                            </a:gdLst>
                            <a:ahLst>
                              <a:ahXY gdRefX="adj0" minX="0" maxX="10800">
                                <a:pos x="gd135" y="gd136"/>
                              </a:ahXY>
                            </a:ahLst>
                            <a:cxnLst/>
                            <a:rect l="gd131" t="gd132" r="gd133" b="gd134"/>
                            <a:pathLst>
                              <a:path w="21600" h="21600" fill="none" stroke="1" extrusionOk="0">
                                <a:moveTo>
                                  <a:pt x="gd11" y="gd12"/>
                                </a:moveTo>
                                <a:arcTo wR="gd22" hR="gd23" stAng="gd18" swAng="gd19"/>
                                <a:lnTo>
                                  <a:pt x="gd26" y="gd27"/>
                                </a:lnTo>
                                <a:arcTo wR="gd37" hR="gd38" stAng="gd33" swAng="gd34"/>
                              </a:path>
                              <a:path w="21600" h="21600" fill="none" stroke="1" extrusionOk="0">
                                <a:moveTo>
                                  <a:pt x="gd41" y="gd42"/>
                                </a:moveTo>
                                <a:arcTo wR="gd52" hR="gd53" stAng="gd48" swAng="gd49"/>
                                <a:lnTo>
                                  <a:pt x="gd56" y="gd57"/>
                                </a:lnTo>
                                <a:arcTo wR="gd67" hR="gd68" stAng="gd63" swAng="gd64"/>
                              </a:path>
                              <a:path w="21600" h="21600" fill="norm" stroke="0" extrusionOk="0">
                                <a:moveTo>
                                  <a:pt x="gd71" y="gd72"/>
                                </a:moveTo>
                                <a:arcTo wR="gd82" hR="gd83" stAng="gd78" swAng="gd79"/>
                                <a:lnTo>
                                  <a:pt x="gd86" y="gd87"/>
                                </a:lnTo>
                                <a:arcTo wR="gd97" hR="gd98" stAng="gd93" swAng="gd94"/>
                                <a:lnTo>
                                  <a:pt x="gd101" y="gd102"/>
                                </a:lnTo>
                                <a:arcTo wR="gd112" hR="gd113" stAng="gd108" swAng="gd109"/>
                                <a:lnTo>
                                  <a:pt x="gd116" y="gd117"/>
                                </a:lnTo>
                                <a:arcTo wR="gd127" hR="gd128" stAng="gd123" swAng="gd124"/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jc w:val="center"/>
                                <w:rPr/>
                              </w:pPr>
                              <w:fldSimple w:instr="PAGE \* MERGEFORMAT">
                                <w:r>
                                  <w:t xml:space="preserve">1</w:t>
                                </w:r>
                              </w:fldSimple>
                              <w:r/>
                              <w:r/>
                            </w:p>
                          </w:txbxContent>
                        </wps:txbx>
                        <wps:bodyPr wrap="square" lIns="1270" tIns="0" rIns="1270" bIns="0" upright="1"/>
                      </wps:wsp>
                    </a:graphicData>
                  </a:graphic>
                  <wp14:sizeRelH relativeFrom="margin">
                    <wp14:pctWidth>10000</wp14:pctWidth>
                  </wp14:sizeRelH>
                </wp:anchor>
              </w:drawing>
            </mc:Choice>
            <mc:Fallback>
              <w:pict>
                <v:shape id="shape 0" o:spid="_x0000_s0" style="position:absolute;z-index:251661312;o:allowoverlap:true;o:allowincell:true;mso-position-horizontal-relative:margin;mso-position-horizontal:center;mso-position-vertical-relative:bottom-margin-area;mso-position-vertical:center;width:44.45pt;height:18.80pt;mso-wrap-distance-left:9.00pt;mso-wrap-distance-top:0.00pt;mso-wrap-distance-right:9.00pt;mso-wrap-distance-bottom:0.00pt;visibility:visible;" path="m16667,0l16667,0c16667,0,16667,0,16667,0c7524,0,0,7524,0,16667l0,83333l0,83333c0,83333,0,83333,0,83333c0,92476,7524,100000,16667,100000nfem83333,0l83333,0c92476,0,100000,7524,100000,16667l100000,16667c100000,16667,100000,16667,100000,16667l100000,83333l100000,83333c100000,83333,100000,83333,100000,83333l100000,83333c100000,92476,92476,100000,83333,100000c83333,100000,83333,100000,83333,100000nfem16667,0l16667,0c16667,0,16667,0,16667,0c7524,0,0,7524,0,16667l0,83333l0,83333c0,83333,0,83333,0,83333c0,92476,7524,100000,16667,100000l83333,100000l83333,100000c83333,100000,83333,100000,83333,100000c92476,100000,100000,92476,100000,83333l100000,16667l100000,16667c100000,7524,92476,0,83333,0xnse" coordsize="100000,100000" fillcolor="#FFFFFF" strokecolor="#808080" strokeweight="2.25pt">
                  <v:path textboxrect="4879,4879,95118,95118"/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jc w:val="center"/>
                          <w:rPr/>
                        </w:pPr>
                        <w:fldSimple w:instr="PAGE \* MERGEFORMAT">
                          <w:r>
                            <w:t xml:space="preserve">1</w:t>
                          </w:r>
                        </w:fldSimple>
                        <w:r/>
                        <w:r/>
                      </w:p>
                    </w:txbxContent>
                  </v:textbox>
                </v:shape>
              </w:pict>
            </mc:Fallback>
          </mc:AlternateContent>
        </w:r>
        <w:r>
          <w:rPr>
            <w:lang w:eastAsia="zh-TW"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0" t="0" r="0" b="0"/>
                  <wp:wrapNone/>
                  <wp:docPr id="2" name="_x0000_s307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518150" cy="0"/>
                          </a:xfrm>
                          <a:custGeom>
                            <a:avLst/>
                            <a:gdLst>
                              <a:gd name="gd0" fmla="val 65536"/>
                              <a:gd name="gd1" fmla="val 0"/>
                              <a:gd name="gd2" fmla="val 0"/>
                              <a:gd name="gd3" fmla="val 21600"/>
                              <a:gd name="gd4" fmla="val 21600"/>
                            </a:gdLst>
                            <a:ahLst/>
                            <a:cxnLst/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gd1" y="gd2"/>
                                </a:moveTo>
                                <a:lnTo>
                                  <a:pt x="gd3" y="gd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808080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id="shape 1" o:spid="_x0000_s1" style="position:absolute;z-index:251660288;o:allowoverlap:true;o:allowincell:true;mso-position-horizontal-relative:margin;mso-position-horizontal:center;mso-position-vertical-relative:bottom-margin-area;mso-position-vertical:center;width:434.50pt;height:0.00pt;mso-wrap-distance-left:9.00pt;mso-wrap-distance-top:0.00pt;mso-wrap-distance-right:9.00pt;mso-wrap-distance-bottom:0.00pt;visibility:visible;" path="m0,0l100000,100000e" coordsize="100000,100000" filled="f" strokecolor="#808080" strokeweight="1.00pt">
                  <v:path textboxrect="0,0,0,0"/>
                </v:shape>
              </w:pict>
            </mc:Fallback>
          </mc:AlternateContent>
        </w:r>
        <w:r/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75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75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5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5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2">
    <w:name w:val="Heading 4"/>
    <w:basedOn w:val="752"/>
    <w:next w:val="75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52"/>
    <w:next w:val="752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52"/>
    <w:next w:val="75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52"/>
    <w:next w:val="752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52"/>
    <w:next w:val="752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52"/>
    <w:next w:val="752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756"/>
    <w:link w:val="75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756"/>
    <w:link w:val="75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756"/>
    <w:link w:val="75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56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56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56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56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5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56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52"/>
    <w:next w:val="752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756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52"/>
    <w:next w:val="752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756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52"/>
    <w:next w:val="752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756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752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75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52"/>
    <w:next w:val="752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756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75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52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75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756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756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75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75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7">
    <w:name w:val="Header Char"/>
    <w:basedOn w:val="756"/>
    <w:link w:val="766"/>
    <w:uiPriority w:val="99"/>
    <w:pPr>
      <w:pBdr/>
      <w:spacing/>
      <w:ind/>
    </w:pPr>
  </w:style>
  <w:style w:type="character" w:styleId="179">
    <w:name w:val="Footer Char"/>
    <w:basedOn w:val="756"/>
    <w:link w:val="768"/>
    <w:uiPriority w:val="99"/>
    <w:pPr>
      <w:pBdr/>
      <w:spacing/>
      <w:ind/>
    </w:pPr>
  </w:style>
  <w:style w:type="paragraph" w:styleId="180">
    <w:name w:val="Caption"/>
    <w:basedOn w:val="752"/>
    <w:next w:val="75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52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56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56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52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56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56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75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75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52"/>
    <w:next w:val="752"/>
    <w:uiPriority w:val="39"/>
    <w:unhideWhenUsed/>
    <w:pPr>
      <w:pBdr/>
      <w:spacing w:after="100"/>
      <w:ind/>
    </w:pPr>
  </w:style>
  <w:style w:type="paragraph" w:styleId="190">
    <w:name w:val="toc 2"/>
    <w:basedOn w:val="752"/>
    <w:next w:val="752"/>
    <w:uiPriority w:val="39"/>
    <w:unhideWhenUsed/>
    <w:pPr>
      <w:pBdr/>
      <w:spacing w:after="100"/>
      <w:ind w:left="220"/>
    </w:pPr>
  </w:style>
  <w:style w:type="paragraph" w:styleId="191">
    <w:name w:val="toc 3"/>
    <w:basedOn w:val="752"/>
    <w:next w:val="752"/>
    <w:uiPriority w:val="39"/>
    <w:unhideWhenUsed/>
    <w:pPr>
      <w:pBdr/>
      <w:spacing w:after="100"/>
      <w:ind w:left="440"/>
    </w:pPr>
  </w:style>
  <w:style w:type="paragraph" w:styleId="192">
    <w:name w:val="toc 4"/>
    <w:basedOn w:val="752"/>
    <w:next w:val="752"/>
    <w:uiPriority w:val="39"/>
    <w:unhideWhenUsed/>
    <w:pPr>
      <w:pBdr/>
      <w:spacing w:after="100"/>
      <w:ind w:left="660"/>
    </w:pPr>
  </w:style>
  <w:style w:type="paragraph" w:styleId="193">
    <w:name w:val="toc 5"/>
    <w:basedOn w:val="752"/>
    <w:next w:val="752"/>
    <w:uiPriority w:val="39"/>
    <w:unhideWhenUsed/>
    <w:pPr>
      <w:pBdr/>
      <w:spacing w:after="100"/>
      <w:ind w:left="880"/>
    </w:pPr>
  </w:style>
  <w:style w:type="paragraph" w:styleId="194">
    <w:name w:val="toc 6"/>
    <w:basedOn w:val="752"/>
    <w:next w:val="752"/>
    <w:uiPriority w:val="39"/>
    <w:unhideWhenUsed/>
    <w:pPr>
      <w:pBdr/>
      <w:spacing w:after="100"/>
      <w:ind w:left="1100"/>
    </w:pPr>
  </w:style>
  <w:style w:type="paragraph" w:styleId="195">
    <w:name w:val="toc 7"/>
    <w:basedOn w:val="752"/>
    <w:next w:val="752"/>
    <w:uiPriority w:val="39"/>
    <w:unhideWhenUsed/>
    <w:pPr>
      <w:pBdr/>
      <w:spacing w:after="100"/>
      <w:ind w:left="1320"/>
    </w:pPr>
  </w:style>
  <w:style w:type="paragraph" w:styleId="196">
    <w:name w:val="toc 8"/>
    <w:basedOn w:val="752"/>
    <w:next w:val="752"/>
    <w:uiPriority w:val="39"/>
    <w:unhideWhenUsed/>
    <w:pPr>
      <w:pBdr/>
      <w:spacing w:after="100"/>
      <w:ind w:left="1540"/>
    </w:pPr>
  </w:style>
  <w:style w:type="paragraph" w:styleId="197">
    <w:name w:val="toc 9"/>
    <w:basedOn w:val="752"/>
    <w:next w:val="752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56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52"/>
    <w:next w:val="752"/>
    <w:uiPriority w:val="99"/>
    <w:unhideWhenUsed/>
    <w:pPr>
      <w:pBdr/>
      <w:spacing w:after="0" w:afterAutospacing="0"/>
      <w:ind/>
    </w:pPr>
  </w:style>
  <w:style w:type="paragraph" w:styleId="752" w:default="1">
    <w:name w:val="Normal"/>
    <w:qFormat/>
    <w:pPr>
      <w:pBdr/>
      <w:spacing/>
      <w:ind/>
    </w:pPr>
  </w:style>
  <w:style w:type="paragraph" w:styleId="753">
    <w:name w:val="Heading 1"/>
    <w:basedOn w:val="752"/>
    <w:link w:val="759"/>
    <w:uiPriority w:val="9"/>
    <w:qFormat/>
    <w:pPr>
      <w:pBdr/>
      <w:spacing w:after="100" w:afterAutospacing="1" w:before="100" w:beforeAutospacing="1" w:line="240" w:lineRule="auto"/>
      <w:ind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754">
    <w:name w:val="Heading 2"/>
    <w:basedOn w:val="752"/>
    <w:link w:val="760"/>
    <w:uiPriority w:val="9"/>
    <w:qFormat/>
    <w:pPr>
      <w:pBdr/>
      <w:spacing w:after="100" w:afterAutospacing="1" w:before="100" w:beforeAutospacing="1" w:line="240" w:lineRule="auto"/>
      <w:ind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755">
    <w:name w:val="Heading 3"/>
    <w:basedOn w:val="752"/>
    <w:link w:val="761"/>
    <w:uiPriority w:val="9"/>
    <w:qFormat/>
    <w:pPr>
      <w:pBdr/>
      <w:spacing w:after="100" w:afterAutospacing="1" w:before="100" w:beforeAutospacing="1" w:line="240" w:lineRule="auto"/>
      <w:ind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756" w:default="1">
    <w:name w:val="Default Paragraph Font"/>
    <w:uiPriority w:val="1"/>
    <w:semiHidden/>
    <w:unhideWhenUsed/>
    <w:pPr>
      <w:pBdr/>
      <w:spacing/>
      <w:ind/>
    </w:pPr>
  </w:style>
  <w:style w:type="table" w:styleId="757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8" w:default="1">
    <w:name w:val="No List"/>
    <w:uiPriority w:val="99"/>
    <w:semiHidden/>
    <w:unhideWhenUsed/>
    <w:pPr>
      <w:pBdr/>
      <w:spacing/>
      <w:ind/>
    </w:pPr>
  </w:style>
  <w:style w:type="character" w:styleId="759" w:customStyle="1">
    <w:name w:val="Заголовок 1 Знак"/>
    <w:basedOn w:val="756"/>
    <w:link w:val="753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760" w:customStyle="1">
    <w:name w:val="Заголовок 2 Знак"/>
    <w:basedOn w:val="756"/>
    <w:link w:val="754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761" w:customStyle="1">
    <w:name w:val="Заголовок 3 Знак"/>
    <w:basedOn w:val="756"/>
    <w:link w:val="755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762">
    <w:name w:val="Normal (Web)"/>
    <w:basedOn w:val="752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  <w:style w:type="character" w:styleId="763" w:customStyle="1">
    <w:name w:val="d34"/>
    <w:basedOn w:val="756"/>
    <w:pPr>
      <w:pBdr/>
      <w:spacing/>
      <w:ind/>
    </w:pPr>
  </w:style>
  <w:style w:type="paragraph" w:styleId="764">
    <w:name w:val="Balloon Text"/>
    <w:basedOn w:val="752"/>
    <w:link w:val="765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765" w:customStyle="1">
    <w:name w:val="Текст выноски Знак"/>
    <w:basedOn w:val="756"/>
    <w:link w:val="764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766">
    <w:name w:val="Header"/>
    <w:basedOn w:val="752"/>
    <w:link w:val="767"/>
    <w:uiPriority w:val="99"/>
    <w:semiHidden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767" w:customStyle="1">
    <w:name w:val="Верхний колонтитул Знак"/>
    <w:basedOn w:val="756"/>
    <w:link w:val="766"/>
    <w:uiPriority w:val="99"/>
    <w:semiHidden/>
    <w:pPr>
      <w:pBdr/>
      <w:spacing/>
      <w:ind/>
    </w:pPr>
  </w:style>
  <w:style w:type="paragraph" w:styleId="768">
    <w:name w:val="Footer"/>
    <w:basedOn w:val="752"/>
    <w:link w:val="769"/>
    <w:uiPriority w:val="99"/>
    <w:semiHidden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769" w:customStyle="1">
    <w:name w:val="Нижний колонтитул Знак"/>
    <w:basedOn w:val="756"/>
    <w:link w:val="768"/>
    <w:uiPriority w:val="99"/>
    <w:semiHidden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revision>4</cp:revision>
  <dcterms:created xsi:type="dcterms:W3CDTF">2012-12-16T15:28:00Z</dcterms:created>
  <dcterms:modified xsi:type="dcterms:W3CDTF">2026-08-31T10:33:15Z</dcterms:modified>
</cp:coreProperties>
</file>