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2E" w:rsidRDefault="0010342E" w:rsidP="0010342E">
      <w:pPr>
        <w:keepNext/>
        <w:spacing w:before="240" w:after="60" w:line="240" w:lineRule="auto"/>
        <w:ind w:left="-567" w:right="283"/>
        <w:jc w:val="right"/>
        <w:outlineLvl w:val="1"/>
        <w:rPr>
          <w:rFonts w:ascii="Times New Roman" w:eastAsia="Times New Roman" w:hAnsi="Times New Roman" w:cs="Times New Roman"/>
          <w:bCs/>
          <w:i w:val="0"/>
          <w:sz w:val="28"/>
          <w:szCs w:val="28"/>
        </w:rPr>
      </w:pPr>
      <w:r>
        <w:rPr>
          <w:rFonts w:ascii="Times New Roman" w:eastAsia="Times New Roman" w:hAnsi="Times New Roman" w:cs="Times New Roman"/>
          <w:bCs/>
          <w:i w:val="0"/>
          <w:sz w:val="28"/>
          <w:szCs w:val="28"/>
        </w:rPr>
        <w:t>Игнатова А.Н.</w:t>
      </w:r>
    </w:p>
    <w:p w:rsidR="00173A26" w:rsidRDefault="00173A26" w:rsidP="0010342E">
      <w:pPr>
        <w:keepNext/>
        <w:spacing w:before="240" w:after="60" w:line="240" w:lineRule="auto"/>
        <w:ind w:left="-567" w:right="283"/>
        <w:jc w:val="center"/>
        <w:outlineLvl w:val="1"/>
        <w:rPr>
          <w:rFonts w:ascii="Times New Roman" w:eastAsia="Times New Roman" w:hAnsi="Times New Roman" w:cs="Times New Roman"/>
          <w:bCs/>
          <w:i w:val="0"/>
          <w:color w:val="000000"/>
          <w:sz w:val="28"/>
          <w:szCs w:val="28"/>
        </w:rPr>
      </w:pPr>
      <w:r>
        <w:rPr>
          <w:rFonts w:ascii="Times New Roman" w:hAnsi="Times New Roman" w:cs="Times New Roman"/>
          <w:b/>
          <w:i w:val="0"/>
          <w:color w:val="000000"/>
          <w:sz w:val="28"/>
          <w:szCs w:val="28"/>
          <w:shd w:val="clear" w:color="auto" w:fill="FFFFFF"/>
        </w:rPr>
        <w:t>«</w:t>
      </w:r>
      <w:r w:rsidRPr="00173A26">
        <w:rPr>
          <w:rFonts w:ascii="Times New Roman" w:hAnsi="Times New Roman" w:cs="Times New Roman"/>
          <w:b/>
          <w:i w:val="0"/>
          <w:color w:val="000000"/>
          <w:sz w:val="28"/>
          <w:szCs w:val="28"/>
          <w:shd w:val="clear" w:color="auto" w:fill="FFFFFF"/>
        </w:rPr>
        <w:t>Важнейшие задачи в работе преподавателя по формированию исполнительской техники юного домриста</w:t>
      </w:r>
      <w:r w:rsidR="0010342E" w:rsidRPr="008120AE">
        <w:rPr>
          <w:rFonts w:ascii="Times New Roman" w:eastAsia="Times New Roman" w:hAnsi="Times New Roman" w:cs="Times New Roman"/>
          <w:bCs/>
          <w:i w:val="0"/>
          <w:color w:val="000000"/>
          <w:sz w:val="28"/>
          <w:szCs w:val="28"/>
        </w:rPr>
        <w:t xml:space="preserve"> </w:t>
      </w:r>
      <w:bookmarkStart w:id="0" w:name="_GoBack"/>
      <w:bookmarkEnd w:id="0"/>
      <w:r>
        <w:rPr>
          <w:rFonts w:ascii="Times New Roman" w:eastAsia="Times New Roman" w:hAnsi="Times New Roman" w:cs="Times New Roman"/>
          <w:bCs/>
          <w:i w:val="0"/>
          <w:color w:val="000000"/>
          <w:sz w:val="28"/>
          <w:szCs w:val="28"/>
        </w:rPr>
        <w:t>»</w:t>
      </w:r>
    </w:p>
    <w:p w:rsidR="0010342E" w:rsidRPr="008120AE" w:rsidRDefault="0010342E" w:rsidP="0010342E">
      <w:pPr>
        <w:keepNext/>
        <w:spacing w:before="240" w:after="60" w:line="240" w:lineRule="auto"/>
        <w:ind w:left="-567" w:right="283"/>
        <w:jc w:val="center"/>
        <w:outlineLvl w:val="1"/>
        <w:rPr>
          <w:rFonts w:ascii="Times New Roman" w:eastAsia="Times New Roman" w:hAnsi="Times New Roman" w:cs="Times New Roman"/>
          <w:bCs/>
          <w:i w:val="0"/>
          <w:color w:val="000000"/>
          <w:sz w:val="28"/>
          <w:szCs w:val="28"/>
        </w:rPr>
      </w:pPr>
      <w:r w:rsidRPr="008120AE">
        <w:rPr>
          <w:rFonts w:ascii="Times New Roman" w:eastAsia="Times New Roman" w:hAnsi="Times New Roman" w:cs="Times New Roman"/>
          <w:bCs/>
          <w:i w:val="0"/>
          <w:color w:val="000000"/>
          <w:sz w:val="28"/>
          <w:szCs w:val="28"/>
        </w:rPr>
        <w:t>Освоение тетрахордов и их сочетаний</w:t>
      </w:r>
    </w:p>
    <w:p w:rsidR="0010342E" w:rsidRPr="006A3B65" w:rsidRDefault="0010342E" w:rsidP="0010342E">
      <w:pPr>
        <w:spacing w:after="0" w:line="240" w:lineRule="auto"/>
        <w:ind w:left="-567" w:right="283" w:firstLine="567"/>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Основной принцип развития беглости домриста: от </w:t>
      </w:r>
      <w:proofErr w:type="spellStart"/>
      <w:r w:rsidRPr="006A3B65">
        <w:rPr>
          <w:rFonts w:ascii="Times New Roman" w:eastAsia="Calibri" w:hAnsi="Times New Roman" w:cs="Times New Roman"/>
          <w:i w:val="0"/>
          <w:iCs w:val="0"/>
          <w:sz w:val="28"/>
          <w:szCs w:val="28"/>
        </w:rPr>
        <w:t>слышания</w:t>
      </w:r>
      <w:proofErr w:type="spellEnd"/>
      <w:r w:rsidRPr="006A3B65">
        <w:rPr>
          <w:rFonts w:ascii="Times New Roman" w:eastAsia="Calibri" w:hAnsi="Times New Roman" w:cs="Times New Roman"/>
          <w:i w:val="0"/>
          <w:iCs w:val="0"/>
          <w:sz w:val="28"/>
          <w:szCs w:val="28"/>
        </w:rPr>
        <w:t xml:space="preserve"> </w:t>
      </w:r>
      <w:proofErr w:type="spellStart"/>
      <w:r w:rsidRPr="006A3B65">
        <w:rPr>
          <w:rFonts w:ascii="Times New Roman" w:eastAsia="Calibri" w:hAnsi="Times New Roman" w:cs="Times New Roman"/>
          <w:i w:val="0"/>
          <w:iCs w:val="0"/>
          <w:sz w:val="28"/>
          <w:szCs w:val="28"/>
        </w:rPr>
        <w:t>координированности</w:t>
      </w:r>
      <w:proofErr w:type="spellEnd"/>
      <w:r w:rsidRPr="006A3B65">
        <w:rPr>
          <w:rFonts w:ascii="Times New Roman" w:eastAsia="Calibri" w:hAnsi="Times New Roman" w:cs="Times New Roman"/>
          <w:i w:val="0"/>
          <w:iCs w:val="0"/>
          <w:sz w:val="28"/>
          <w:szCs w:val="28"/>
        </w:rPr>
        <w:t xml:space="preserve"> каждого единичного звука, выполняемого броском медиатора и пальца до активного слухового охвата целого построения единым движением. В работе над упражнением 7 следуем принципу – от медленного темпа </w:t>
      </w:r>
      <w:proofErr w:type="gramStart"/>
      <w:r w:rsidRPr="006A3B65">
        <w:rPr>
          <w:rFonts w:ascii="Times New Roman" w:eastAsia="Calibri" w:hAnsi="Times New Roman" w:cs="Times New Roman"/>
          <w:i w:val="0"/>
          <w:iCs w:val="0"/>
          <w:sz w:val="28"/>
          <w:szCs w:val="28"/>
        </w:rPr>
        <w:t>к</w:t>
      </w:r>
      <w:proofErr w:type="gramEnd"/>
      <w:r w:rsidRPr="006A3B65">
        <w:rPr>
          <w:rFonts w:ascii="Times New Roman" w:eastAsia="Calibri" w:hAnsi="Times New Roman" w:cs="Times New Roman"/>
          <w:i w:val="0"/>
          <w:iCs w:val="0"/>
          <w:sz w:val="28"/>
          <w:szCs w:val="28"/>
        </w:rPr>
        <w:t xml:space="preserve"> быстрому и в обратном порядке – от быстрого к медленному. В медленном темпе слух вычленяет каждую ноту, внимание концентрируется на координацию бросковой работы: ускоренного падения медиатора на струну и пальца на лад.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В стремлении к более быстрому темпу меняется слуховая установка: она направлена уже на охват смыслового комплекса, - мелодического или ритмического.  Возникают слуховые интонационные связи, ощущение интервальных сопряжений, внутри-ладовых связей.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Оформляются </w:t>
      </w:r>
      <w:proofErr w:type="spellStart"/>
      <w:r w:rsidRPr="006A3B65">
        <w:rPr>
          <w:rFonts w:ascii="Times New Roman" w:eastAsia="Calibri" w:hAnsi="Times New Roman" w:cs="Times New Roman"/>
          <w:i w:val="0"/>
          <w:iCs w:val="0"/>
          <w:sz w:val="28"/>
          <w:szCs w:val="28"/>
        </w:rPr>
        <w:t>фразировочные</w:t>
      </w:r>
      <w:proofErr w:type="spellEnd"/>
      <w:r w:rsidRPr="006A3B65">
        <w:rPr>
          <w:rFonts w:ascii="Times New Roman" w:eastAsia="Calibri" w:hAnsi="Times New Roman" w:cs="Times New Roman"/>
          <w:i w:val="0"/>
          <w:iCs w:val="0"/>
          <w:sz w:val="28"/>
          <w:szCs w:val="28"/>
        </w:rPr>
        <w:t xml:space="preserve"> комплексы – как слуховые, так и двигательные. Меняется и двигательная установка. Если в медленном темпе мы следили за ровностью ударов медиатора вниз и вверх, точностью координации, то в более быстром амплитуда движении медиатора уменьшается, приближаясь к струне, а пальцы левой руки к ладам.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Восемь тетрахордов – свод практически всех наиболее употребляемых в практике исполнительства комбинаций пальцевых движений.</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7.</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418A85A6" wp14:editId="7A360479">
            <wp:extent cx="5924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1295400"/>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Довести исполнение тетрахордов и их вариантов до максимально быстрого темпа, меняя слуховую установку – задача ученика.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В восходящем движении не снимать пальцы с ладов после извлечения звука, оставлять их на ладах, слегка ослабив нажатие. Это необходимо для экономии движений и подготовки пальцев на нужных ладах при возвратном движении.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8</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lang w:val="en-US"/>
        </w:rPr>
      </w:pPr>
      <w:r>
        <w:rPr>
          <w:rFonts w:ascii="Times New Roman" w:eastAsia="Calibri" w:hAnsi="Times New Roman" w:cs="Times New Roman"/>
          <w:i w:val="0"/>
          <w:iCs w:val="0"/>
          <w:noProof/>
          <w:sz w:val="28"/>
          <w:szCs w:val="28"/>
          <w:lang w:eastAsia="ru-RU"/>
        </w:rPr>
        <w:lastRenderedPageBreak/>
        <w:drawing>
          <wp:inline distT="0" distB="0" distL="0" distR="0" wp14:anchorId="055687A1" wp14:editId="639DCDBB">
            <wp:extent cx="5924550" cy="1200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1200150"/>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9</w:t>
      </w:r>
    </w:p>
    <w:p w:rsidR="0010342E" w:rsidRPr="008120AE" w:rsidRDefault="0010342E" w:rsidP="0010342E">
      <w:pPr>
        <w:spacing w:after="0" w:line="240" w:lineRule="auto"/>
        <w:ind w:left="-567" w:right="283"/>
        <w:contextualSpacing/>
        <w:jc w:val="center"/>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37EA5926" wp14:editId="346AD4F5">
            <wp:extent cx="5934075" cy="619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19125"/>
                    </a:xfrm>
                    <a:prstGeom prst="rect">
                      <a:avLst/>
                    </a:prstGeom>
                    <a:noFill/>
                    <a:ln>
                      <a:noFill/>
                    </a:ln>
                  </pic:spPr>
                </pic:pic>
              </a:graphicData>
            </a:graphic>
          </wp:inline>
        </w:drawing>
      </w:r>
    </w:p>
    <w:p w:rsidR="0010342E" w:rsidRPr="008120AE" w:rsidRDefault="0010342E" w:rsidP="0010342E">
      <w:pPr>
        <w:spacing w:after="0" w:line="240" w:lineRule="auto"/>
        <w:ind w:left="-567" w:right="283"/>
        <w:contextualSpacing/>
        <w:jc w:val="center"/>
        <w:outlineLvl w:val="1"/>
        <w:rPr>
          <w:rFonts w:ascii="Times New Roman" w:eastAsia="Calibri" w:hAnsi="Times New Roman" w:cs="Times New Roman"/>
          <w:i w:val="0"/>
          <w:iCs w:val="0"/>
          <w:sz w:val="28"/>
          <w:szCs w:val="28"/>
        </w:rPr>
      </w:pPr>
      <w:bookmarkStart w:id="1" w:name="_Toc336207377"/>
      <w:r w:rsidRPr="008120AE">
        <w:rPr>
          <w:rFonts w:ascii="Times New Roman" w:eastAsia="Calibri" w:hAnsi="Times New Roman" w:cs="Times New Roman"/>
          <w:i w:val="0"/>
          <w:iCs w:val="0"/>
          <w:sz w:val="28"/>
          <w:szCs w:val="28"/>
        </w:rPr>
        <w:t>Соединение тетрахордов</w:t>
      </w:r>
      <w:bookmarkEnd w:id="1"/>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В момент перехода к новому тетрахорду необходимо заранее стремительно расставить подушечки пальцев низко над будущими ладами, готовя интервально новые сопряжения.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10.</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01787FCB" wp14:editId="06CB387C">
            <wp:extent cx="6410325" cy="885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0325" cy="885825"/>
                    </a:xfrm>
                    <a:prstGeom prst="rect">
                      <a:avLst/>
                    </a:prstGeom>
                    <a:noFill/>
                    <a:ln>
                      <a:noFill/>
                    </a:ln>
                  </pic:spPr>
                </pic:pic>
              </a:graphicData>
            </a:graphic>
          </wp:inline>
        </w:drawing>
      </w:r>
      <w:r w:rsidRPr="006A3B65">
        <w:rPr>
          <w:rFonts w:ascii="Times New Roman" w:eastAsia="Calibri" w:hAnsi="Times New Roman" w:cs="Times New Roman"/>
          <w:i w:val="0"/>
          <w:iCs w:val="0"/>
          <w:sz w:val="28"/>
          <w:szCs w:val="28"/>
        </w:rPr>
        <w:t>Смена позиций «лесенкой»</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Следить за полнейшим звучанием последней ноты перед сменой позиции.</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 Упражнение 11.</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3D42A731" wp14:editId="4114E658">
            <wp:extent cx="6400800" cy="762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762000"/>
                    </a:xfrm>
                    <a:prstGeom prst="rect">
                      <a:avLst/>
                    </a:prstGeom>
                    <a:noFill/>
                    <a:ln>
                      <a:noFill/>
                    </a:ln>
                  </pic:spPr>
                </pic:pic>
              </a:graphicData>
            </a:graphic>
          </wp:inline>
        </w:drawing>
      </w:r>
    </w:p>
    <w:p w:rsidR="0010342E" w:rsidRPr="008120AE" w:rsidRDefault="0010342E" w:rsidP="0010342E">
      <w:pPr>
        <w:spacing w:after="0" w:line="240" w:lineRule="auto"/>
        <w:ind w:left="-567" w:right="283"/>
        <w:contextualSpacing/>
        <w:jc w:val="center"/>
        <w:outlineLvl w:val="1"/>
        <w:rPr>
          <w:rFonts w:ascii="Times New Roman" w:eastAsia="Calibri" w:hAnsi="Times New Roman" w:cs="Times New Roman"/>
          <w:i w:val="0"/>
          <w:iCs w:val="0"/>
          <w:sz w:val="28"/>
          <w:szCs w:val="28"/>
        </w:rPr>
      </w:pPr>
      <w:bookmarkStart w:id="2" w:name="_Toc336207378"/>
      <w:r w:rsidRPr="008120AE">
        <w:rPr>
          <w:rFonts w:ascii="Times New Roman" w:eastAsia="Calibri" w:hAnsi="Times New Roman" w:cs="Times New Roman"/>
          <w:i w:val="0"/>
          <w:iCs w:val="0"/>
          <w:sz w:val="28"/>
          <w:szCs w:val="28"/>
        </w:rPr>
        <w:t>Скачки тетрахордами</w:t>
      </w:r>
      <w:bookmarkEnd w:id="2"/>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Подготовительные упражнения:</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а) на ноту фа диез струны «ми» первый палец должен быть поставлен уже во время игры последних нот тетрахорда, а в последнем такте он должен быть заранее установлен, но ноту «ми» первой октавы. Кисть левой руки не отводится в сторону, меняется лишь форма указательного пальца, подушечка которого то приближается к своей же фаланге, то удаляется от нее.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13</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59D5908A" wp14:editId="7116DE6A">
            <wp:extent cx="4848225" cy="809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80962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proofErr w:type="gramStart"/>
      <w:r w:rsidRPr="006A3B65">
        <w:rPr>
          <w:rFonts w:ascii="Times New Roman" w:eastAsia="Calibri" w:hAnsi="Times New Roman" w:cs="Times New Roman"/>
          <w:i w:val="0"/>
          <w:iCs w:val="0"/>
          <w:sz w:val="28"/>
          <w:szCs w:val="28"/>
        </w:rPr>
        <w:t>б</w:t>
      </w:r>
      <w:proofErr w:type="gramEnd"/>
      <w:r w:rsidRPr="006A3B65">
        <w:rPr>
          <w:rFonts w:ascii="Times New Roman" w:eastAsia="Calibri" w:hAnsi="Times New Roman" w:cs="Times New Roman"/>
          <w:i w:val="0"/>
          <w:iCs w:val="0"/>
          <w:sz w:val="28"/>
          <w:szCs w:val="28"/>
        </w:rPr>
        <w:t>, в) кисть остается неподвижной, максимально подвижен и гибок указательный палец.</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14</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lastRenderedPageBreak/>
        <w:drawing>
          <wp:inline distT="0" distB="0" distL="0" distR="0" wp14:anchorId="155F7203" wp14:editId="09A586FA">
            <wp:extent cx="4924425" cy="885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885825"/>
                    </a:xfrm>
                    <a:prstGeom prst="rect">
                      <a:avLst/>
                    </a:prstGeom>
                    <a:noFill/>
                    <a:ln>
                      <a:noFill/>
                    </a:ln>
                  </pic:spPr>
                </pic:pic>
              </a:graphicData>
            </a:graphic>
          </wp:inline>
        </w:drawing>
      </w:r>
    </w:p>
    <w:p w:rsidR="0010342E" w:rsidRPr="008120AE" w:rsidRDefault="0010342E" w:rsidP="0010342E">
      <w:pPr>
        <w:spacing w:after="0" w:line="240" w:lineRule="auto"/>
        <w:ind w:left="-567" w:right="283"/>
        <w:contextualSpacing/>
        <w:jc w:val="center"/>
        <w:outlineLvl w:val="1"/>
        <w:rPr>
          <w:rFonts w:ascii="Times New Roman" w:eastAsia="Calibri" w:hAnsi="Times New Roman" w:cs="Times New Roman"/>
          <w:i w:val="0"/>
          <w:iCs w:val="0"/>
          <w:sz w:val="28"/>
          <w:szCs w:val="28"/>
        </w:rPr>
      </w:pPr>
      <w:bookmarkStart w:id="3" w:name="_Toc336207380"/>
      <w:r w:rsidRPr="008120AE">
        <w:rPr>
          <w:rFonts w:ascii="Times New Roman" w:eastAsia="Calibri" w:hAnsi="Times New Roman" w:cs="Times New Roman"/>
          <w:i w:val="0"/>
          <w:iCs w:val="0"/>
          <w:sz w:val="28"/>
          <w:szCs w:val="28"/>
        </w:rPr>
        <w:t>Гаммаобразное соединение тетрахордов</w:t>
      </w:r>
      <w:bookmarkEnd w:id="3"/>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Гаммаобразное соединение тетрахордов:</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а) одинаковых,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б) разных.</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Упражнения этого раздела готовят исполнителя к овладению важнейшим видом техники – смене позиций.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Вводим в работу крупные мышцы предплечья и плеча левой руки, а также предплечья правой руки. Сложность технологии изучения смены позиции, наложения мелкой пальцевой работы (мелкой техники) на активную ведущую работу более крупных частей руки.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Точно разграничим их функции.  Главное в смене позиции – не препятствовать сквозному движению руки вдоль грифа, настройки слуха и движения пальцев на охват всей мелодической восходящей линии, а затем и нисходящей.</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О </w:t>
      </w:r>
      <w:proofErr w:type="gramStart"/>
      <w:r w:rsidRPr="006A3B65">
        <w:rPr>
          <w:rFonts w:ascii="Times New Roman" w:eastAsia="Calibri" w:hAnsi="Times New Roman" w:cs="Times New Roman"/>
          <w:i w:val="0"/>
          <w:iCs w:val="0"/>
          <w:sz w:val="28"/>
          <w:szCs w:val="28"/>
        </w:rPr>
        <w:t>предваряющем</w:t>
      </w:r>
      <w:proofErr w:type="gramEnd"/>
      <w:r w:rsidRPr="006A3B65">
        <w:rPr>
          <w:rFonts w:ascii="Times New Roman" w:eastAsia="Calibri" w:hAnsi="Times New Roman" w:cs="Times New Roman"/>
          <w:i w:val="0"/>
          <w:iCs w:val="0"/>
          <w:sz w:val="28"/>
          <w:szCs w:val="28"/>
        </w:rPr>
        <w:t xml:space="preserve"> замахом движения предплечья левой руки.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Ведущим началом при смене позиции становится предваряющие смену предплечевой замах и вынос большого пальца левой руки в новую позицию. </w:t>
      </w:r>
      <w:r w:rsidRPr="006A3B65">
        <w:rPr>
          <w:rFonts w:ascii="Times New Roman" w:eastAsia="Calibri" w:hAnsi="Times New Roman" w:cs="Times New Roman"/>
          <w:i w:val="0"/>
          <w:iCs w:val="0"/>
          <w:sz w:val="28"/>
          <w:szCs w:val="28"/>
        </w:rPr>
        <w:tab/>
        <w:t xml:space="preserve">В момент смены позиций указательный и большой пальцы не тормозят движение руки, а легко скользят вдоль грифа.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Вся опора на гриф при смене позиции осуществляется при помощи скольжения по нему четвертого пальца, последовательно ослабевающего нажим на струну по мере приближения новой позиции.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Принцип последовательного ослабления нажима при скольжении даже в очень быстром темпе без изменения формы скользящего пальца – второе центральное условие надежности исполнения.  Налаженная взаимосвязь ведущей работы предплечья  и ведомой  - скользящего по грифу пальца с работой играющих пальцев предыдущей и последующих позициях – основа рациональной смены позиций.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12</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2E37ECE7" wp14:editId="328829B8">
            <wp:extent cx="6305550" cy="1419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5550" cy="141922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Осуществив восходящее движение, тотчас же настраиваем предплечье на возвратный нисходящий ход. Уже на последних двух нотах восходящего хода, предплечье производит готовящий обратный поворот замах, передавая его через гибкую кисть скользящему пальцу. Благодаря предварительному </w:t>
      </w:r>
      <w:r w:rsidRPr="006A3B65">
        <w:rPr>
          <w:rFonts w:ascii="Times New Roman" w:eastAsia="Calibri" w:hAnsi="Times New Roman" w:cs="Times New Roman"/>
          <w:i w:val="0"/>
          <w:iCs w:val="0"/>
          <w:sz w:val="28"/>
          <w:szCs w:val="28"/>
        </w:rPr>
        <w:lastRenderedPageBreak/>
        <w:t>выведению большого пальца в новую позицию, предплечье оказывается в ней ранее скользящего и играющих пальцев. Оно как бы подтягивает кисть с пальцами в новую позицию. Такая  гибкость в смене позиций возможна благодаря подвижности нескованных суставов собранной не расслабленной руки.</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И еще одно замечание, не следует снимать с ладов пальцы при исполнении одинаковых тетрахордов восходящем движением. Не нужно плотно прижимать лады после того как отзвучала последовательность звуков. Сохраняя на ладах пальцы, мы экономим  повторяемые движения, тем более что в нисходящем движении прозвучит та же последовательность звуков.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с использованием максимально уплотненной аппликатуры.</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2CB53C7B" wp14:editId="3FDDFCD8">
            <wp:extent cx="3429000" cy="981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98107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Цель этих упражнений – приблизить подушечки крайних пальцев друг к другу.</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Владение уплотненной аппликатурой обеспечивает смену позиций без скольжения. Технология выполнения упражнений такова:</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-указательный палец устанавливается на лад той своей частью, которая расположена ближе к большому пальцу. Его ногтевая фаланга расположена полого относительно лада. Мизинец же устанавливается на ту свою часть, что наиболее удалена от большого пальца. Суставы мизинца выгнуты. </w:t>
      </w:r>
      <w:r w:rsidRPr="006A3B65">
        <w:rPr>
          <w:rFonts w:ascii="Times New Roman" w:eastAsia="Calibri" w:hAnsi="Times New Roman" w:cs="Times New Roman"/>
          <w:i w:val="0"/>
          <w:iCs w:val="0"/>
          <w:sz w:val="28"/>
          <w:szCs w:val="28"/>
        </w:rPr>
        <w:tab/>
        <w:t xml:space="preserve">Подушечки указательного пальца и мизинца соприкасаются. </w:t>
      </w:r>
      <w:r w:rsidRPr="006A3B65">
        <w:rPr>
          <w:rFonts w:ascii="Times New Roman" w:eastAsia="Calibri" w:hAnsi="Times New Roman" w:cs="Times New Roman"/>
          <w:i w:val="0"/>
          <w:iCs w:val="0"/>
          <w:sz w:val="28"/>
          <w:szCs w:val="28"/>
        </w:rPr>
        <w:tab/>
      </w:r>
      <w:proofErr w:type="gramStart"/>
      <w:r w:rsidRPr="006A3B65">
        <w:rPr>
          <w:rFonts w:ascii="Times New Roman" w:eastAsia="Calibri" w:hAnsi="Times New Roman" w:cs="Times New Roman"/>
          <w:i w:val="0"/>
          <w:iCs w:val="0"/>
          <w:sz w:val="28"/>
          <w:szCs w:val="28"/>
        </w:rPr>
        <w:t>Безымянный</w:t>
      </w:r>
      <w:proofErr w:type="gramEnd"/>
      <w:r w:rsidRPr="006A3B65">
        <w:rPr>
          <w:rFonts w:ascii="Times New Roman" w:eastAsia="Calibri" w:hAnsi="Times New Roman" w:cs="Times New Roman"/>
          <w:i w:val="0"/>
          <w:iCs w:val="0"/>
          <w:sz w:val="28"/>
          <w:szCs w:val="28"/>
        </w:rPr>
        <w:t xml:space="preserve"> и средний пальцы приподняты над сомкнувшимися  указательным и мизинцем.</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Во время смены позиций сохраняем неизменное близкое расстояние между подушечками. Скольжение выполняться практически, опираясь на оба пальца.</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15</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4239D338" wp14:editId="3F68E2A3">
            <wp:extent cx="5924550" cy="676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0" cy="67627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Упражнение данного раздела наиболее употребляемы в технике смены позиций на трехструнной домре. Специфика квартового строя такова, что умение близко располагать подушечки крайних пальцев обеспечивается пластичность перехода со струны на струну в гаммаобразных последовательностях. Еще более значима роль уплотненного расположения пальцев в исполнении гамм терциями и секстами на трехструнной домре.</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16</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35CB5225" wp14:editId="541B217E">
            <wp:extent cx="6477000" cy="695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0" cy="69532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lastRenderedPageBreak/>
        <w:tab/>
        <w:t>Развитая техника смены позиций с одной стороны опирается на идеально отлаженную мелкую технику, а с другой немыслимо без функционирования крупных мышц. Достаточно небольшой неточности в движениях при смене позиции и уже разлаживается вся система координаций.</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При смене позиций требуется идеальная отработка двух основных моментов:</w:t>
      </w:r>
    </w:p>
    <w:p w:rsidR="0010342E" w:rsidRPr="006A3B65" w:rsidRDefault="0010342E" w:rsidP="0010342E">
      <w:pPr>
        <w:numPr>
          <w:ilvl w:val="0"/>
          <w:numId w:val="1"/>
        </w:numPr>
        <w:spacing w:after="0" w:line="240" w:lineRule="auto"/>
        <w:ind w:left="-567" w:right="283" w:firstLine="0"/>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Предварительный плавный замах предплечья левой руки и предваряющий смену пальцев перенос руки в новую позицию</w:t>
      </w:r>
    </w:p>
    <w:p w:rsidR="0010342E" w:rsidRPr="006A3B65" w:rsidRDefault="0010342E" w:rsidP="0010342E">
      <w:pPr>
        <w:numPr>
          <w:ilvl w:val="0"/>
          <w:numId w:val="1"/>
        </w:numPr>
        <w:spacing w:after="0" w:line="240" w:lineRule="auto"/>
        <w:ind w:left="-567" w:right="283" w:firstLine="0"/>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Скольжение руки выполняется на глубоком погружении пальца, прижимающего последнюю ноту предыдущей позиции. По мере приближения к новой позиции нажим пальца ослабевает, будущий же палец во время скольжения подводится ближе к подушечке скользящего пальца и подменяет его только тогда, когда вся рука уже заняла новую позицию. </w:t>
      </w:r>
      <w:r w:rsidRPr="006A3B65">
        <w:rPr>
          <w:rFonts w:ascii="Times New Roman" w:eastAsia="Calibri" w:hAnsi="Times New Roman" w:cs="Times New Roman"/>
          <w:i w:val="0"/>
          <w:iCs w:val="0"/>
          <w:sz w:val="28"/>
          <w:szCs w:val="28"/>
        </w:rPr>
        <w:tab/>
        <w:t>Сложность пластики движения при смене позиций – во владении гибкостью суставов, ведь работает вся рука от плеча до цепких подушечек скользящих пальцев.</w:t>
      </w:r>
    </w:p>
    <w:p w:rsidR="0010342E" w:rsidRPr="008120AE"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b/>
          <w:i w:val="0"/>
          <w:iCs w:val="0"/>
          <w:sz w:val="28"/>
          <w:szCs w:val="28"/>
        </w:rPr>
        <w:tab/>
      </w:r>
      <w:r w:rsidRPr="008120AE">
        <w:rPr>
          <w:rFonts w:ascii="Times New Roman" w:eastAsia="Calibri" w:hAnsi="Times New Roman" w:cs="Times New Roman"/>
          <w:i w:val="0"/>
          <w:iCs w:val="0"/>
          <w:sz w:val="28"/>
          <w:szCs w:val="28"/>
        </w:rPr>
        <w:t xml:space="preserve">Существует 3 вида смены позиций: о смене позиций пальцев, кисти, предплечья. </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Выше мы детально разобрали наиболее используемые в практике исполнительства – смену позиции предплечья.</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ab/>
        <w:t xml:space="preserve">Смена позиций одним пальцем за счет изменения его формы (вытягивания его фаланг) без изменения положения в кисти и большого пальца на грифе называется сменой позиции пальцев. </w:t>
      </w:r>
    </w:p>
    <w:p w:rsidR="0010342E" w:rsidRPr="006A3B65" w:rsidRDefault="0010342E" w:rsidP="0010342E">
      <w:pPr>
        <w:spacing w:after="0" w:line="240" w:lineRule="auto"/>
        <w:ind w:left="-567" w:right="283"/>
        <w:contextualSpacing/>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Упражнение 17</w:t>
      </w:r>
    </w:p>
    <w:p w:rsidR="0010342E" w:rsidRPr="006A3B65" w:rsidRDefault="0010342E" w:rsidP="0010342E">
      <w:pPr>
        <w:spacing w:after="0" w:line="240" w:lineRule="auto"/>
        <w:ind w:left="-567" w:right="283"/>
        <w:contextualSpacing/>
        <w:jc w:val="center"/>
        <w:rPr>
          <w:rFonts w:ascii="Times New Roman" w:eastAsia="Calibri" w:hAnsi="Times New Roman" w:cs="Times New Roman"/>
          <w:i w:val="0"/>
          <w:iCs w:val="0"/>
          <w:sz w:val="28"/>
          <w:szCs w:val="28"/>
        </w:rPr>
      </w:pPr>
      <w:r>
        <w:rPr>
          <w:rFonts w:ascii="Times New Roman" w:eastAsia="Calibri" w:hAnsi="Times New Roman" w:cs="Times New Roman"/>
          <w:i w:val="0"/>
          <w:iCs w:val="0"/>
          <w:noProof/>
          <w:sz w:val="28"/>
          <w:szCs w:val="28"/>
          <w:lang w:eastAsia="ru-RU"/>
        </w:rPr>
        <w:drawing>
          <wp:inline distT="0" distB="0" distL="0" distR="0" wp14:anchorId="2FE0C6A0" wp14:editId="5D30B886">
            <wp:extent cx="6029325" cy="2962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29325" cy="2962275"/>
                    </a:xfrm>
                    <a:prstGeom prst="rect">
                      <a:avLst/>
                    </a:prstGeom>
                    <a:noFill/>
                    <a:ln>
                      <a:noFill/>
                    </a:ln>
                  </pic:spPr>
                </pic:pic>
              </a:graphicData>
            </a:graphic>
          </wp:inline>
        </w:drawing>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«Тот же звукоряд можно исполнять одним пальцем, но значительно меньше меняя его форму и степень его </w:t>
      </w:r>
      <w:proofErr w:type="spellStart"/>
      <w:r w:rsidRPr="006A3B65">
        <w:rPr>
          <w:rFonts w:ascii="Times New Roman" w:eastAsia="Calibri" w:hAnsi="Times New Roman" w:cs="Times New Roman"/>
          <w:i w:val="0"/>
          <w:iCs w:val="0"/>
          <w:sz w:val="28"/>
          <w:szCs w:val="28"/>
        </w:rPr>
        <w:t>согнутости</w:t>
      </w:r>
      <w:proofErr w:type="spellEnd"/>
      <w:r w:rsidRPr="006A3B65">
        <w:rPr>
          <w:rFonts w:ascii="Times New Roman" w:eastAsia="Calibri" w:hAnsi="Times New Roman" w:cs="Times New Roman"/>
          <w:i w:val="0"/>
          <w:iCs w:val="0"/>
          <w:sz w:val="28"/>
          <w:szCs w:val="28"/>
        </w:rPr>
        <w:t>. Для этого уже придется максимально использовать движение кистевого сустава. При этом кистевой сустав будет выгибаться тем больше, чем дальше от порошка находится на грифе искомое место. Большой же палец сохранит свое место сбоку грифа. Эту работу мы будем называть сменой позиции кисти». (</w:t>
      </w:r>
      <w:proofErr w:type="spellStart"/>
      <w:r w:rsidRPr="006A3B65">
        <w:rPr>
          <w:rFonts w:ascii="Times New Roman" w:eastAsia="Calibri" w:hAnsi="Times New Roman" w:cs="Times New Roman"/>
          <w:i w:val="0"/>
          <w:iCs w:val="0"/>
          <w:sz w:val="28"/>
          <w:szCs w:val="28"/>
        </w:rPr>
        <w:t>М.М.Гелис</w:t>
      </w:r>
      <w:proofErr w:type="spellEnd"/>
      <w:r w:rsidRPr="006A3B65">
        <w:rPr>
          <w:rFonts w:ascii="Times New Roman" w:eastAsia="Calibri" w:hAnsi="Times New Roman" w:cs="Times New Roman"/>
          <w:i w:val="0"/>
          <w:iCs w:val="0"/>
          <w:sz w:val="28"/>
          <w:szCs w:val="28"/>
        </w:rPr>
        <w:t xml:space="preserve"> «Методика обучения игры на домре»).</w:t>
      </w:r>
    </w:p>
    <w:p w:rsidR="0010342E" w:rsidRPr="006A3B65" w:rsidRDefault="0010342E" w:rsidP="0010342E">
      <w:pPr>
        <w:spacing w:after="0" w:line="240" w:lineRule="auto"/>
        <w:ind w:left="-567" w:right="283"/>
        <w:contextualSpacing/>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lastRenderedPageBreak/>
        <w:t xml:space="preserve">Владение тремя видами смены позиций, а не только одним (предплечья) развивается гибкость суставов левой руки, особенно необходимую для исполнения кантилены. </w:t>
      </w:r>
    </w:p>
    <w:p w:rsidR="0010342E" w:rsidRPr="006A3B65" w:rsidRDefault="0010342E" w:rsidP="0010342E">
      <w:pPr>
        <w:autoSpaceDE w:val="0"/>
        <w:autoSpaceDN w:val="0"/>
        <w:adjustRightInd w:val="0"/>
        <w:spacing w:after="0" w:line="240" w:lineRule="auto"/>
        <w:ind w:left="-567" w:right="283" w:firstLine="567"/>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Удачное, яркое, эмоционально наполненное и в тоже время глубоко продуманное исполнение музыкального произведения, завершающее работу над техникой исполнения, всегда будет иметь </w:t>
      </w:r>
      <w:proofErr w:type="gramStart"/>
      <w:r w:rsidRPr="006A3B65">
        <w:rPr>
          <w:rFonts w:ascii="Times New Roman" w:eastAsia="Calibri" w:hAnsi="Times New Roman" w:cs="Times New Roman"/>
          <w:i w:val="0"/>
          <w:iCs w:val="0"/>
          <w:sz w:val="28"/>
          <w:szCs w:val="28"/>
        </w:rPr>
        <w:t>важное значение</w:t>
      </w:r>
      <w:proofErr w:type="gramEnd"/>
      <w:r w:rsidRPr="006A3B65">
        <w:rPr>
          <w:rFonts w:ascii="Times New Roman" w:eastAsia="Calibri" w:hAnsi="Times New Roman" w:cs="Times New Roman"/>
          <w:i w:val="0"/>
          <w:iCs w:val="0"/>
          <w:sz w:val="28"/>
          <w:szCs w:val="28"/>
        </w:rPr>
        <w:t xml:space="preserve"> для учащегося, а иногда становится достижением, своего рода творческой вехой на определенной  ступени его обучения.</w:t>
      </w:r>
    </w:p>
    <w:p w:rsidR="0010342E" w:rsidRPr="006A3B65" w:rsidRDefault="0010342E" w:rsidP="0010342E">
      <w:pPr>
        <w:autoSpaceDE w:val="0"/>
        <w:autoSpaceDN w:val="0"/>
        <w:adjustRightInd w:val="0"/>
        <w:spacing w:after="0" w:line="240" w:lineRule="auto"/>
        <w:ind w:left="-567" w:right="283"/>
        <w:jc w:val="both"/>
        <w:rPr>
          <w:rFonts w:ascii="Times New Roman" w:eastAsia="Calibri" w:hAnsi="Times New Roman" w:cs="Times New Roman"/>
          <w:i w:val="0"/>
          <w:iCs w:val="0"/>
          <w:color w:val="000000"/>
          <w:sz w:val="28"/>
          <w:szCs w:val="28"/>
          <w:lang w:eastAsia="ru-RU"/>
        </w:rPr>
      </w:pPr>
      <w:r w:rsidRPr="006A3B65">
        <w:rPr>
          <w:rFonts w:ascii="Times New Roman" w:eastAsia="Calibri" w:hAnsi="Times New Roman" w:cs="Times New Roman"/>
          <w:i w:val="0"/>
          <w:iCs w:val="0"/>
          <w:color w:val="000000"/>
          <w:sz w:val="28"/>
          <w:szCs w:val="28"/>
          <w:lang w:eastAsia="ru-RU"/>
        </w:rPr>
        <w:t>Многочисленные грамоты и дипломы на конкурсах и фестивалях республиканского и городского значения, которые получили мои ученики, подтверждают справедливость утверждения о важности детализированной, продуманной, систематизированной работы с начинающими учениками по постановке и развитию технических исполнительских навыков, в частности для развития мелкой техники. Умело закрепленные и используемые в художественном репертуаре они развивают сценическую уверенность ученика и вовлекают его всё больше в мир музыки, укрепляя желание достичь еще больших исполнительских вершин.</w:t>
      </w:r>
    </w:p>
    <w:p w:rsidR="0010342E" w:rsidRDefault="0010342E" w:rsidP="0010342E">
      <w:pPr>
        <w:autoSpaceDE w:val="0"/>
        <w:autoSpaceDN w:val="0"/>
        <w:adjustRightInd w:val="0"/>
        <w:spacing w:after="0" w:line="240" w:lineRule="auto"/>
        <w:ind w:left="-567" w:right="283"/>
        <w:jc w:val="center"/>
        <w:rPr>
          <w:rFonts w:ascii="Times New Roman" w:eastAsia="Calibri" w:hAnsi="Times New Roman" w:cs="Times New Roman"/>
          <w:i w:val="0"/>
          <w:iCs w:val="0"/>
          <w:color w:val="000000"/>
          <w:sz w:val="28"/>
          <w:szCs w:val="28"/>
        </w:rPr>
      </w:pPr>
      <w:r>
        <w:rPr>
          <w:rFonts w:ascii="Times New Roman" w:eastAsia="Calibri" w:hAnsi="Times New Roman" w:cs="Times New Roman"/>
          <w:i w:val="0"/>
          <w:iCs w:val="0"/>
          <w:color w:val="000000"/>
          <w:sz w:val="28"/>
          <w:szCs w:val="28"/>
        </w:rPr>
        <w:t>Заключение</w:t>
      </w:r>
    </w:p>
    <w:p w:rsidR="0010342E" w:rsidRDefault="0010342E" w:rsidP="0010342E">
      <w:pPr>
        <w:autoSpaceDE w:val="0"/>
        <w:autoSpaceDN w:val="0"/>
        <w:adjustRightInd w:val="0"/>
        <w:spacing w:after="0" w:line="240" w:lineRule="auto"/>
        <w:ind w:left="-567" w:right="283"/>
        <w:jc w:val="both"/>
        <w:rPr>
          <w:rFonts w:ascii="Times New Roman" w:eastAsia="Calibri" w:hAnsi="Times New Roman" w:cs="Times New Roman"/>
          <w:i w:val="0"/>
          <w:iCs w:val="0"/>
          <w:color w:val="000000"/>
          <w:sz w:val="28"/>
          <w:szCs w:val="28"/>
        </w:rPr>
      </w:pPr>
      <w:r w:rsidRPr="006A3B65">
        <w:rPr>
          <w:rFonts w:ascii="Times New Roman" w:eastAsia="Calibri" w:hAnsi="Times New Roman" w:cs="Times New Roman"/>
          <w:i w:val="0"/>
          <w:iCs w:val="0"/>
          <w:color w:val="000000"/>
          <w:sz w:val="28"/>
          <w:szCs w:val="28"/>
        </w:rPr>
        <w:t xml:space="preserve">Итак, мы приходим к выводу, что техническое развитие и совершенствование начинающего ученика-домриста базируется на умении анализировать законы движения. Активная слуховая работа с учеником, формирование его умения находить причинные связи технических и художественных компонентов, регулярное выполнение домашних заданий обуславливают успех педагогической и  исполнительской деятельности. </w:t>
      </w:r>
      <w:proofErr w:type="gramStart"/>
      <w:r w:rsidRPr="006A3B65">
        <w:rPr>
          <w:rFonts w:ascii="Times New Roman" w:eastAsia="Calibri" w:hAnsi="Times New Roman" w:cs="Times New Roman"/>
          <w:i w:val="0"/>
          <w:iCs w:val="0"/>
          <w:color w:val="000000"/>
          <w:sz w:val="28"/>
          <w:szCs w:val="28"/>
        </w:rPr>
        <w:t>И</w:t>
      </w:r>
      <w:proofErr w:type="gramEnd"/>
      <w:r w:rsidRPr="006A3B65">
        <w:rPr>
          <w:rFonts w:ascii="Times New Roman" w:eastAsia="Calibri" w:hAnsi="Times New Roman" w:cs="Times New Roman"/>
          <w:i w:val="0"/>
          <w:iCs w:val="0"/>
          <w:color w:val="000000"/>
          <w:sz w:val="28"/>
          <w:szCs w:val="28"/>
        </w:rPr>
        <w:t xml:space="preserve"> конечно же главный путь к успеху – учить детей слушать и воспринимать музыку, развивать эстетический вкус, пробуждать чуткое отношение к звучанию музыкального инструмента.</w:t>
      </w:r>
    </w:p>
    <w:p w:rsidR="0010342E" w:rsidRPr="008120AE" w:rsidRDefault="0010342E" w:rsidP="0010342E">
      <w:pPr>
        <w:keepNext/>
        <w:spacing w:before="240" w:after="60" w:line="240" w:lineRule="auto"/>
        <w:ind w:left="-567" w:right="283"/>
        <w:jc w:val="center"/>
        <w:outlineLvl w:val="0"/>
        <w:rPr>
          <w:rFonts w:ascii="Times New Roman" w:eastAsia="Times New Roman" w:hAnsi="Times New Roman" w:cs="Times New Roman"/>
          <w:i w:val="0"/>
          <w:iCs w:val="0"/>
          <w:kern w:val="32"/>
          <w:sz w:val="32"/>
          <w:szCs w:val="32"/>
        </w:rPr>
      </w:pPr>
      <w:r w:rsidRPr="008120AE">
        <w:rPr>
          <w:rFonts w:ascii="Times New Roman" w:eastAsia="Times New Roman" w:hAnsi="Times New Roman" w:cs="Times New Roman"/>
          <w:i w:val="0"/>
          <w:iCs w:val="0"/>
          <w:kern w:val="32"/>
          <w:sz w:val="32"/>
          <w:szCs w:val="32"/>
        </w:rPr>
        <w:t>Литература</w:t>
      </w:r>
    </w:p>
    <w:p w:rsidR="0010342E" w:rsidRPr="006A3B65" w:rsidRDefault="0010342E" w:rsidP="0010342E">
      <w:pPr>
        <w:numPr>
          <w:ilvl w:val="0"/>
          <w:numId w:val="2"/>
        </w:numPr>
        <w:autoSpaceDE w:val="0"/>
        <w:autoSpaceDN w:val="0"/>
        <w:adjustRightInd w:val="0"/>
        <w:spacing w:after="0" w:line="240" w:lineRule="auto"/>
        <w:ind w:left="-567" w:right="283" w:firstLine="0"/>
        <w:jc w:val="both"/>
        <w:rPr>
          <w:rFonts w:ascii="Times New Roman" w:eastAsia="Calibri" w:hAnsi="Times New Roman" w:cs="Times New Roman"/>
          <w:i w:val="0"/>
          <w:iCs w:val="0"/>
          <w:sz w:val="28"/>
          <w:szCs w:val="28"/>
        </w:rPr>
      </w:pPr>
      <w:proofErr w:type="spellStart"/>
      <w:r w:rsidRPr="006A3B65">
        <w:rPr>
          <w:rFonts w:ascii="Times New Roman" w:eastAsia="Calibri" w:hAnsi="Times New Roman" w:cs="Times New Roman"/>
          <w:i w:val="0"/>
          <w:iCs w:val="0"/>
          <w:sz w:val="28"/>
          <w:szCs w:val="28"/>
        </w:rPr>
        <w:t>Вольская</w:t>
      </w:r>
      <w:proofErr w:type="spellEnd"/>
      <w:r w:rsidRPr="006A3B65">
        <w:rPr>
          <w:rFonts w:ascii="Times New Roman" w:eastAsia="Calibri" w:hAnsi="Times New Roman" w:cs="Times New Roman"/>
          <w:i w:val="0"/>
          <w:iCs w:val="0"/>
          <w:sz w:val="28"/>
          <w:szCs w:val="28"/>
        </w:rPr>
        <w:t xml:space="preserve"> Т.И., </w:t>
      </w:r>
      <w:proofErr w:type="spellStart"/>
      <w:r w:rsidRPr="006A3B65">
        <w:rPr>
          <w:rFonts w:ascii="Times New Roman" w:eastAsia="Calibri" w:hAnsi="Times New Roman" w:cs="Times New Roman"/>
          <w:i w:val="0"/>
          <w:iCs w:val="0"/>
          <w:sz w:val="28"/>
          <w:szCs w:val="28"/>
        </w:rPr>
        <w:t>Уляшкин</w:t>
      </w:r>
      <w:proofErr w:type="spellEnd"/>
      <w:r w:rsidRPr="006A3B65">
        <w:rPr>
          <w:rFonts w:ascii="Times New Roman" w:eastAsia="Calibri" w:hAnsi="Times New Roman" w:cs="Times New Roman"/>
          <w:i w:val="0"/>
          <w:iCs w:val="0"/>
          <w:sz w:val="28"/>
          <w:szCs w:val="28"/>
        </w:rPr>
        <w:t xml:space="preserve"> М.И. Школа мастерства домриста. Е</w:t>
      </w:r>
    </w:p>
    <w:p w:rsidR="0010342E" w:rsidRPr="006A3B65" w:rsidRDefault="0010342E" w:rsidP="0010342E">
      <w:pPr>
        <w:autoSpaceDE w:val="0"/>
        <w:autoSpaceDN w:val="0"/>
        <w:adjustRightInd w:val="0"/>
        <w:spacing w:after="0" w:line="240" w:lineRule="auto"/>
        <w:ind w:left="-567" w:right="283"/>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 xml:space="preserve"> Екатеринбург, 1995</w:t>
      </w:r>
    </w:p>
    <w:p w:rsidR="0010342E" w:rsidRPr="006A3B65" w:rsidRDefault="0010342E" w:rsidP="0010342E">
      <w:pPr>
        <w:numPr>
          <w:ilvl w:val="0"/>
          <w:numId w:val="2"/>
        </w:numPr>
        <w:autoSpaceDE w:val="0"/>
        <w:autoSpaceDN w:val="0"/>
        <w:adjustRightInd w:val="0"/>
        <w:spacing w:after="0" w:line="240" w:lineRule="auto"/>
        <w:ind w:left="-567" w:right="283" w:firstLine="0"/>
        <w:jc w:val="both"/>
        <w:rPr>
          <w:rFonts w:ascii="Times New Roman" w:eastAsia="Calibri" w:hAnsi="Times New Roman" w:cs="Times New Roman"/>
          <w:i w:val="0"/>
          <w:iCs w:val="0"/>
          <w:sz w:val="28"/>
          <w:szCs w:val="28"/>
        </w:rPr>
      </w:pPr>
      <w:r w:rsidRPr="006A3B65">
        <w:rPr>
          <w:rFonts w:ascii="Times New Roman" w:eastAsia="Calibri" w:hAnsi="Times New Roman" w:cs="Times New Roman"/>
          <w:i w:val="0"/>
          <w:iCs w:val="0"/>
          <w:sz w:val="28"/>
          <w:szCs w:val="28"/>
        </w:rPr>
        <w:t>Круглов В. Искусство игры на домре. М,2001</w:t>
      </w:r>
    </w:p>
    <w:p w:rsidR="0010342E" w:rsidRPr="006A3B65" w:rsidRDefault="0010342E" w:rsidP="0010342E">
      <w:pPr>
        <w:numPr>
          <w:ilvl w:val="0"/>
          <w:numId w:val="2"/>
        </w:numPr>
        <w:autoSpaceDE w:val="0"/>
        <w:autoSpaceDN w:val="0"/>
        <w:adjustRightInd w:val="0"/>
        <w:spacing w:after="0" w:line="240" w:lineRule="auto"/>
        <w:ind w:left="-567" w:right="283" w:firstLine="0"/>
        <w:jc w:val="both"/>
        <w:rPr>
          <w:rFonts w:ascii="Times New Roman" w:eastAsia="Calibri" w:hAnsi="Times New Roman" w:cs="Times New Roman"/>
          <w:i w:val="0"/>
          <w:iCs w:val="0"/>
          <w:sz w:val="28"/>
          <w:szCs w:val="28"/>
        </w:rPr>
      </w:pPr>
      <w:proofErr w:type="spellStart"/>
      <w:r w:rsidRPr="006A3B65">
        <w:rPr>
          <w:rFonts w:ascii="Times New Roman" w:eastAsia="Calibri" w:hAnsi="Times New Roman" w:cs="Times New Roman"/>
          <w:i w:val="0"/>
          <w:iCs w:val="0"/>
          <w:sz w:val="28"/>
          <w:szCs w:val="28"/>
        </w:rPr>
        <w:t>Чунин</w:t>
      </w:r>
      <w:proofErr w:type="spellEnd"/>
      <w:r w:rsidRPr="006A3B65">
        <w:rPr>
          <w:rFonts w:ascii="Times New Roman" w:eastAsia="Calibri" w:hAnsi="Times New Roman" w:cs="Times New Roman"/>
          <w:i w:val="0"/>
          <w:iCs w:val="0"/>
          <w:sz w:val="28"/>
          <w:szCs w:val="28"/>
        </w:rPr>
        <w:t xml:space="preserve"> В.С. Школа игры на трёхструнной домре. М,1985</w:t>
      </w:r>
    </w:p>
    <w:p w:rsidR="0010342E" w:rsidRPr="006A3B65" w:rsidRDefault="0010342E" w:rsidP="0010342E">
      <w:pPr>
        <w:numPr>
          <w:ilvl w:val="0"/>
          <w:numId w:val="2"/>
        </w:numPr>
        <w:spacing w:after="0" w:line="240" w:lineRule="auto"/>
        <w:ind w:left="-567" w:right="283" w:firstLine="0"/>
        <w:jc w:val="both"/>
        <w:rPr>
          <w:rFonts w:ascii="Times New Roman" w:eastAsia="Calibri" w:hAnsi="Times New Roman" w:cs="Times New Roman"/>
          <w:i w:val="0"/>
          <w:iCs w:val="0"/>
          <w:sz w:val="28"/>
          <w:szCs w:val="28"/>
        </w:rPr>
      </w:pPr>
      <w:proofErr w:type="spellStart"/>
      <w:r w:rsidRPr="006A3B65">
        <w:rPr>
          <w:rFonts w:ascii="Times New Roman" w:eastAsia="Calibri" w:hAnsi="Times New Roman" w:cs="Times New Roman"/>
          <w:i w:val="0"/>
          <w:iCs w:val="0"/>
          <w:sz w:val="28"/>
          <w:szCs w:val="28"/>
        </w:rPr>
        <w:t>Гелис</w:t>
      </w:r>
      <w:proofErr w:type="spellEnd"/>
      <w:r w:rsidRPr="006A3B65">
        <w:rPr>
          <w:rFonts w:ascii="Times New Roman" w:eastAsia="Calibri" w:hAnsi="Times New Roman" w:cs="Times New Roman"/>
          <w:i w:val="0"/>
          <w:iCs w:val="0"/>
          <w:sz w:val="28"/>
          <w:szCs w:val="28"/>
        </w:rPr>
        <w:t xml:space="preserve"> М.М. Методика обучения игры на домре. Сведловск,1988</w:t>
      </w:r>
    </w:p>
    <w:p w:rsidR="0098591E" w:rsidRDefault="0098591E"/>
    <w:sectPr w:rsidR="00985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3551"/>
    <w:multiLevelType w:val="hybridMultilevel"/>
    <w:tmpl w:val="42202646"/>
    <w:lvl w:ilvl="0" w:tplc="2DDA609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46A6D"/>
    <w:multiLevelType w:val="hybridMultilevel"/>
    <w:tmpl w:val="20360382"/>
    <w:lvl w:ilvl="0" w:tplc="D2B61E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2E"/>
    <w:rsid w:val="0010342E"/>
    <w:rsid w:val="00173A26"/>
    <w:rsid w:val="00766D22"/>
    <w:rsid w:val="00985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2E"/>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10342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0342E"/>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2E"/>
    <w:rPr>
      <w:i/>
      <w:iCs/>
      <w:sz w:val="20"/>
      <w:szCs w:val="20"/>
    </w:rPr>
  </w:style>
  <w:style w:type="paragraph" w:styleId="1">
    <w:name w:val="heading 1"/>
    <w:basedOn w:val="a"/>
    <w:next w:val="a"/>
    <w:link w:val="10"/>
    <w:uiPriority w:val="9"/>
    <w:qFormat/>
    <w:rsid w:val="00766D2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66D2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66D2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66D2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66D2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66D2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66D2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66D2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66D2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D2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66D2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66D2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66D2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66D2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66D2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66D2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66D2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66D2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66D22"/>
    <w:rPr>
      <w:b/>
      <w:bCs/>
      <w:color w:val="943634" w:themeColor="accent2" w:themeShade="BF"/>
      <w:sz w:val="18"/>
      <w:szCs w:val="18"/>
    </w:rPr>
  </w:style>
  <w:style w:type="paragraph" w:styleId="a4">
    <w:name w:val="Title"/>
    <w:basedOn w:val="a"/>
    <w:next w:val="a"/>
    <w:link w:val="a5"/>
    <w:uiPriority w:val="10"/>
    <w:qFormat/>
    <w:rsid w:val="00766D2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66D2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66D2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66D2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66D22"/>
    <w:rPr>
      <w:b/>
      <w:bCs/>
      <w:spacing w:val="0"/>
    </w:rPr>
  </w:style>
  <w:style w:type="character" w:styleId="a9">
    <w:name w:val="Emphasis"/>
    <w:uiPriority w:val="20"/>
    <w:qFormat/>
    <w:rsid w:val="00766D2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66D22"/>
    <w:pPr>
      <w:spacing w:after="0" w:line="240" w:lineRule="auto"/>
    </w:pPr>
  </w:style>
  <w:style w:type="paragraph" w:styleId="ab">
    <w:name w:val="List Paragraph"/>
    <w:basedOn w:val="a"/>
    <w:uiPriority w:val="34"/>
    <w:qFormat/>
    <w:rsid w:val="00766D22"/>
    <w:pPr>
      <w:ind w:left="720"/>
      <w:contextualSpacing/>
    </w:pPr>
  </w:style>
  <w:style w:type="paragraph" w:styleId="21">
    <w:name w:val="Quote"/>
    <w:basedOn w:val="a"/>
    <w:next w:val="a"/>
    <w:link w:val="22"/>
    <w:uiPriority w:val="29"/>
    <w:qFormat/>
    <w:rsid w:val="00766D22"/>
    <w:rPr>
      <w:i w:val="0"/>
      <w:iCs w:val="0"/>
      <w:color w:val="943634" w:themeColor="accent2" w:themeShade="BF"/>
    </w:rPr>
  </w:style>
  <w:style w:type="character" w:customStyle="1" w:styleId="22">
    <w:name w:val="Цитата 2 Знак"/>
    <w:basedOn w:val="a0"/>
    <w:link w:val="21"/>
    <w:uiPriority w:val="29"/>
    <w:rsid w:val="00766D22"/>
    <w:rPr>
      <w:color w:val="943634" w:themeColor="accent2" w:themeShade="BF"/>
      <w:sz w:val="20"/>
      <w:szCs w:val="20"/>
    </w:rPr>
  </w:style>
  <w:style w:type="paragraph" w:styleId="ac">
    <w:name w:val="Intense Quote"/>
    <w:basedOn w:val="a"/>
    <w:next w:val="a"/>
    <w:link w:val="ad"/>
    <w:uiPriority w:val="30"/>
    <w:qFormat/>
    <w:rsid w:val="00766D2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66D2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66D22"/>
    <w:rPr>
      <w:rFonts w:asciiTheme="majorHAnsi" w:eastAsiaTheme="majorEastAsia" w:hAnsiTheme="majorHAnsi" w:cstheme="majorBidi"/>
      <w:i/>
      <w:iCs/>
      <w:color w:val="C0504D" w:themeColor="accent2"/>
    </w:rPr>
  </w:style>
  <w:style w:type="character" w:styleId="af">
    <w:name w:val="Intense Emphasis"/>
    <w:uiPriority w:val="21"/>
    <w:qFormat/>
    <w:rsid w:val="00766D2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66D22"/>
    <w:rPr>
      <w:i/>
      <w:iCs/>
      <w:smallCaps/>
      <w:color w:val="C0504D" w:themeColor="accent2"/>
      <w:u w:color="C0504D" w:themeColor="accent2"/>
    </w:rPr>
  </w:style>
  <w:style w:type="character" w:styleId="af1">
    <w:name w:val="Intense Reference"/>
    <w:uiPriority w:val="32"/>
    <w:qFormat/>
    <w:rsid w:val="00766D22"/>
    <w:rPr>
      <w:b/>
      <w:bCs/>
      <w:i/>
      <w:iCs/>
      <w:smallCaps/>
      <w:color w:val="C0504D" w:themeColor="accent2"/>
      <w:u w:color="C0504D" w:themeColor="accent2"/>
    </w:rPr>
  </w:style>
  <w:style w:type="character" w:styleId="af2">
    <w:name w:val="Book Title"/>
    <w:uiPriority w:val="33"/>
    <w:qFormat/>
    <w:rsid w:val="00766D2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66D22"/>
    <w:pPr>
      <w:outlineLvl w:val="9"/>
    </w:pPr>
    <w:rPr>
      <w:lang w:bidi="en-US"/>
    </w:rPr>
  </w:style>
  <w:style w:type="paragraph" w:styleId="af4">
    <w:name w:val="Balloon Text"/>
    <w:basedOn w:val="a"/>
    <w:link w:val="af5"/>
    <w:uiPriority w:val="99"/>
    <w:semiHidden/>
    <w:unhideWhenUsed/>
    <w:rsid w:val="0010342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0342E"/>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2018-03-16T10:24:00Z</dcterms:created>
  <dcterms:modified xsi:type="dcterms:W3CDTF">2018-04-19T03:26:00Z</dcterms:modified>
</cp:coreProperties>
</file>