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1E" w:rsidRPr="005C5582" w:rsidRDefault="005C5582" w:rsidP="00EE521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5582">
        <w:rPr>
          <w:rFonts w:ascii="Times New Roman" w:hAnsi="Times New Roman" w:cs="Times New Roman"/>
          <w:b/>
          <w:sz w:val="28"/>
          <w:szCs w:val="28"/>
          <w:lang w:val="ru-RU"/>
        </w:rPr>
        <w:t>ЗАКАЧКА ПАРА ПРИ ПОМОЩИ СОЛНЕЧНОЙ ЭНЕРГИИ ДЛЯ ПОВЫШЕНИЯ НЕФТЕОТДАЧИ ПЛАСТОВ: ЯВЛЯЕТСЯ ЛИ ЭТО БУДУЩИМ ТЕПЛОВОГО ПОВЫШЕНИЯ НЕФТЕОТДАЧИ? ЯВЛЯЕТСЯ ЛИ ОН ЧИСТЫМ? УСТОЙЧИВЫЙ?</w:t>
      </w:r>
    </w:p>
    <w:p w:rsidR="005C5582" w:rsidRPr="002A1DE3" w:rsidRDefault="005C5582" w:rsidP="004F0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1DE3">
        <w:rPr>
          <w:rFonts w:ascii="Times New Roman" w:hAnsi="Times New Roman" w:cs="Times New Roman"/>
          <w:sz w:val="28"/>
          <w:szCs w:val="28"/>
          <w:lang w:val="ru-RU"/>
        </w:rPr>
        <w:t>Агбей Кваме. Тюменский Индустриальный Университет, г. Тюмень</w:t>
      </w:r>
    </w:p>
    <w:p w:rsidR="005C5582" w:rsidRPr="005C5582" w:rsidRDefault="005C5582" w:rsidP="004F0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1DE3">
        <w:rPr>
          <w:rFonts w:ascii="Times New Roman" w:hAnsi="Times New Roman" w:cs="Times New Roman"/>
          <w:sz w:val="28"/>
          <w:szCs w:val="28"/>
          <w:lang w:val="ru-RU"/>
        </w:rPr>
        <w:t xml:space="preserve">Почта: </w:t>
      </w:r>
      <w:hyperlink r:id="rId5" w:history="1">
        <w:r w:rsidRPr="00EF4CB1">
          <w:rPr>
            <w:rStyle w:val="Hyperlink"/>
            <w:rFonts w:ascii="Times New Roman" w:hAnsi="Times New Roman" w:cs="Times New Roman"/>
            <w:sz w:val="28"/>
            <w:szCs w:val="28"/>
          </w:rPr>
          <w:t>kwameagbey</w:t>
        </w:r>
        <w:r w:rsidRPr="005C5582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2@</w:t>
        </w:r>
        <w:r w:rsidRPr="00EF4CB1">
          <w:rPr>
            <w:rStyle w:val="Hyperlink"/>
            <w:rFonts w:ascii="Times New Roman" w:hAnsi="Times New Roman" w:cs="Times New Roman"/>
            <w:sz w:val="28"/>
            <w:szCs w:val="28"/>
          </w:rPr>
          <w:t>gmail</w:t>
        </w:r>
        <w:r w:rsidRPr="005C5582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F4CB1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</w:hyperlink>
    </w:p>
    <w:p w:rsidR="005C5582" w:rsidRPr="00EE521E" w:rsidRDefault="005C5582" w:rsidP="004F031F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E521E" w:rsidRDefault="00EE521E" w:rsidP="004F031F">
      <w:pPr>
        <w:jc w:val="both"/>
        <w:rPr>
          <w:lang w:val="ru-RU"/>
        </w:rPr>
      </w:pPr>
      <w:r w:rsidRPr="00EE521E">
        <w:rPr>
          <w:rFonts w:ascii="Times New Roman" w:hAnsi="Times New Roman" w:cs="Times New Roman"/>
          <w:sz w:val="28"/>
          <w:szCs w:val="28"/>
          <w:lang w:val="ru-RU"/>
        </w:rPr>
        <w:t xml:space="preserve">Эта идея возникла еще в начале 1980-х годов. Солнечная тепловая парогенерация предполагает производство пара с использованием энергии солнца. При этом используются зеркала для концентрации и фокусировки солнечного света на приемниках, содержащих воду или соляной раствор. Нагретая жидкость затем используется для производства пара в резервуаре для орошения прямо или косвенно. Это снижает зависимость от ископаемого топлива для производства пара. Однако из-за прерывистого характера солнечной энергии, гибридная система, использующая традиционное ископаемое топливо, была интегрирована в энергетический цикл с солнечной тепловой системой производства пара. Гибридная система пригодится при отсутствии солнечного света (то есть в ночное время и в пасмурную погоду). Компания </w:t>
      </w:r>
      <w:r w:rsidRPr="00EE521E">
        <w:rPr>
          <w:rFonts w:ascii="Times New Roman" w:hAnsi="Times New Roman" w:cs="Times New Roman"/>
          <w:sz w:val="28"/>
          <w:szCs w:val="28"/>
        </w:rPr>
        <w:t>Glass</w:t>
      </w:r>
      <w:r w:rsidRPr="00EE52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521E">
        <w:rPr>
          <w:rFonts w:ascii="Times New Roman" w:hAnsi="Times New Roman" w:cs="Times New Roman"/>
          <w:sz w:val="28"/>
          <w:szCs w:val="28"/>
        </w:rPr>
        <w:t>Point</w:t>
      </w:r>
      <w:r w:rsidRPr="00EE521E">
        <w:rPr>
          <w:rFonts w:ascii="Times New Roman" w:hAnsi="Times New Roman" w:cs="Times New Roman"/>
          <w:sz w:val="28"/>
          <w:szCs w:val="28"/>
          <w:lang w:val="ru-RU"/>
        </w:rPr>
        <w:t xml:space="preserve"> построила первый коммерческий проект солнечной системы повышения нефтеотдачи (солнечно-теплового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</w:t>
      </w:r>
      <w:r w:rsidRPr="00EE521E">
        <w:rPr>
          <w:rFonts w:ascii="Times New Roman" w:hAnsi="Times New Roman" w:cs="Times New Roman"/>
          <w:sz w:val="28"/>
          <w:szCs w:val="28"/>
          <w:lang w:val="ru-RU"/>
        </w:rPr>
        <w:t xml:space="preserve">) в округе Керн, штат Калифорния. Он использует параболические желоба для нагрева воды и непосредственного производства пара для закачки в скважину, вырабатывая 300 кВт тепловой энергии. Параболические желоба хранились в теплице, чтобы защитить их от грязи и песчаных бурь. Система была способна производить пар при давлении 2500 фунтов на квадратный дюйм и температуре 950 </w:t>
      </w:r>
      <w:proofErr w:type="spellStart"/>
      <w:r w:rsidRPr="00EE521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EE521E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EE521E">
        <w:rPr>
          <w:rFonts w:ascii="Times New Roman" w:hAnsi="Times New Roman" w:cs="Times New Roman"/>
          <w:sz w:val="28"/>
          <w:szCs w:val="28"/>
          <w:lang w:val="ru-RU"/>
        </w:rPr>
        <w:t xml:space="preserve">. С тех пор были построены различные системы солнечно-теплового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</w:t>
      </w:r>
      <w:r w:rsidRPr="00EE521E">
        <w:rPr>
          <w:rFonts w:ascii="Times New Roman" w:hAnsi="Times New Roman" w:cs="Times New Roman"/>
          <w:sz w:val="28"/>
          <w:szCs w:val="28"/>
          <w:lang w:val="ru-RU"/>
        </w:rPr>
        <w:t xml:space="preserve">. Использование солнечной и традиционной технологии производства пара позволяет применять циклический метод закачки пара. При этом методе днем закачивается большее количество пара, а ночью скорость закачки поддерживается на минимальном уровне. Это позволяет избежать закрытия закачки в ночное время, что может привести к проблемам, связанным с запуском скважины и тепловыми </w:t>
      </w:r>
      <w:r w:rsidRPr="00EE521E">
        <w:rPr>
          <w:rFonts w:ascii="Times New Roman" w:hAnsi="Times New Roman" w:cs="Times New Roman"/>
          <w:sz w:val="28"/>
          <w:szCs w:val="28"/>
        </w:rPr>
        <w:t>ﬂ</w:t>
      </w:r>
      <w:r w:rsidRPr="00EE521E">
        <w:rPr>
          <w:rFonts w:ascii="Times New Roman" w:hAnsi="Times New Roman" w:cs="Times New Roman"/>
          <w:sz w:val="28"/>
          <w:szCs w:val="28"/>
          <w:lang w:val="ru-RU"/>
        </w:rPr>
        <w:t xml:space="preserve">уктуациями по стволу скважины. Закачка в ночное время может осуществляться либо с использованием традиционных методов производства пара на основе ископаемого топлива, либо с использованием энергии от систем аккумулирования солнечной тепловой энергии. Недавнее исследование показало, что небольшое количество ночной </w:t>
      </w:r>
      <w:r w:rsidRPr="00EE521E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закачки пара увеличивает кумулятивную добычу нефти по сравнению с отсутствием ночной закачки пара. Однако эффективность также зависит от свойств извлекаемой нефти. В исследовании по извлечению тяжелой нефти из месторождения Хамка в Венесуэле не было обнаружено значительного улучшения добычи нефти при закачке пара в ночное время, независимо от количества закачиваемого пара. Таким образом, в данном случае было признано целесообразным использование 100% солнечного пара.</w:t>
      </w:r>
      <w:r w:rsidRPr="00EE521E">
        <w:rPr>
          <w:lang w:val="ru-RU"/>
        </w:rPr>
        <w:t xml:space="preserve"> </w:t>
      </w:r>
    </w:p>
    <w:p w:rsidR="00EE521E" w:rsidRDefault="00EE521E" w:rsidP="004F031F">
      <w:pPr>
        <w:jc w:val="both"/>
        <w:rPr>
          <w:lang w:val="ru-RU"/>
        </w:rPr>
      </w:pPr>
      <w:r w:rsidRPr="00CE18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8063BE" wp14:editId="627F1DE1">
            <wp:extent cx="5943600" cy="3823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21E" w:rsidRPr="00EE521E" w:rsidRDefault="00EE521E" w:rsidP="004F03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21E">
        <w:rPr>
          <w:rFonts w:ascii="Times New Roman" w:hAnsi="Times New Roman" w:cs="Times New Roman"/>
          <w:sz w:val="28"/>
          <w:szCs w:val="28"/>
          <w:lang w:val="ru-RU"/>
        </w:rPr>
        <w:t>Рис. 1 - Схема гибридной солнечно-тепловой системы повышения нефтеотдачи с кислородно-топливной горелкой, патент № 9845667B2, 19 декабря 2017 г.</w:t>
      </w:r>
    </w:p>
    <w:p w:rsidR="001E4CFE" w:rsidRDefault="00EE521E" w:rsidP="004F03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21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использование 100% пара, генерируемого солнечной энергией, в данном случае было признано целесообразным. Мокхаймер и Хабиб раскрыли и выдали патент на повышение нефтеотдачи пласта, который основан на гибридной системе, использующей солнечную тепловую энергию в дневное время и кислородное сжигание топлива в ночное время, как показано на рис. 1. В дневное время солнечный нагреватель генерирует пар, который закачивается в нефть для повышения нефтеотдачи. В ночное время вместо этого может быть использована система кислородного сжигания, </w:t>
      </w:r>
      <w:r w:rsidRPr="00EE521E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которая генерирует продукты сгорания, состоящие в основном из углекислого газа и водяного пара в дополнение к воздуху, обедненному кислородом (азотом). Водяной пар отделяется от продуктов сгорания путем охлаждения. Газы сгорания и азот закачиваются отдельно в нефтяной резервуар с той же целью. Углекислый газ закачивается для смешивающегося повышения нефтеотдачи, а азот - для несмешивающегося повышения нефтеотдачи. Сценарий непрерывной закачки с переменной скоростью был исследован Сандлером и др. с помощью разработанной модели моделирования пласта для парового привода через вертикальные скважины в тяжелом нефтяном песке. Модель также учитывала сезонные колебания с более высокой скоростью закачки в летний период. Скорость закачки пара в вечернее и ночное время при использовании традиционного метода генерации пара была снижена на 96%. Извлечение нефти и другие параметры сравнивались с постоянной скоростью закачки. Циклическая закачка солнечного пара была на одном уровне с закачкой пара с постоянной скоростью при использовании обычного пара. Было установлено, что извлечение нефти не зависит от суточных и годовых циклов в течение нескольких лет. Аналогичные выводы были сделаны Ван Хилом и др. Кроме того, экономический анализ показал, что производство солнечного пара при 100% солнечной фракции имеет самые низкие эксплуатационные затраты и наименее чувствительно к колебаниям цен на природный газ. Это также приводит к значительному сокращению выбросов CO2 при добыче сырой нефти. Следует отметить, что получаемое прямое нормальное облучение является основным фактором при принятии решения о целесообразности проектов SEOR. Он жизнеспособен в районах, которые получают высокую солнечную радиацию в течение всего года, и может оказаться экономически неоправданным для других районов. В исследовании Афсара и Акина с использованием программного обеспечения TRNSYS на месторождении тяжелой нефти в Турции, использующем коллектор с параболическим желобом, было обнаружено, что солнечной энергии недостаточно для непрерывной закачки пара круглый год. Максимальная достигнутая солнечная фракция составила около 42%, что экономически не оправдывало инвестиционные затраты на проект.</w:t>
      </w:r>
    </w:p>
    <w:p w:rsidR="001E4CFE" w:rsidRDefault="001E4CFE" w:rsidP="004F03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234B3" w:rsidRDefault="001E4CFE" w:rsidP="004F031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ИСПОЛЬЗОВАННЫХ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ЛИТЕРАТУРА</w:t>
      </w:r>
    </w:p>
    <w:p w:rsidR="002125DD" w:rsidRDefault="002125DD" w:rsidP="004F03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125DD">
        <w:rPr>
          <w:rFonts w:ascii="Times New Roman" w:hAnsi="Times New Roman" w:cs="Times New Roman"/>
          <w:sz w:val="28"/>
          <w:szCs w:val="28"/>
        </w:rPr>
        <w:t>Mokheimer</w:t>
      </w:r>
      <w:proofErr w:type="spellEnd"/>
      <w:r w:rsidRPr="00212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DD">
        <w:rPr>
          <w:rFonts w:ascii="Times New Roman" w:hAnsi="Times New Roman" w:cs="Times New Roman"/>
          <w:sz w:val="28"/>
          <w:szCs w:val="28"/>
        </w:rPr>
        <w:t>Esmail</w:t>
      </w:r>
      <w:proofErr w:type="spellEnd"/>
      <w:r w:rsidRPr="002125DD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2125DD">
        <w:rPr>
          <w:rFonts w:ascii="Times New Roman" w:hAnsi="Times New Roman" w:cs="Times New Roman"/>
          <w:sz w:val="28"/>
          <w:szCs w:val="28"/>
        </w:rPr>
        <w:t>Hamdy</w:t>
      </w:r>
      <w:proofErr w:type="spellEnd"/>
      <w:r w:rsidRPr="002125DD">
        <w:rPr>
          <w:rFonts w:ascii="Times New Roman" w:hAnsi="Times New Roman" w:cs="Times New Roman"/>
          <w:sz w:val="28"/>
          <w:szCs w:val="28"/>
        </w:rPr>
        <w:t xml:space="preserve">, Mohamed &amp; </w:t>
      </w:r>
      <w:proofErr w:type="spellStart"/>
      <w:r w:rsidRPr="002125DD">
        <w:rPr>
          <w:rFonts w:ascii="Times New Roman" w:hAnsi="Times New Roman" w:cs="Times New Roman"/>
          <w:sz w:val="28"/>
          <w:szCs w:val="28"/>
        </w:rPr>
        <w:t>Abubakar</w:t>
      </w:r>
      <w:proofErr w:type="spellEnd"/>
      <w:r w:rsidRPr="00212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DD">
        <w:rPr>
          <w:rFonts w:ascii="Times New Roman" w:hAnsi="Times New Roman" w:cs="Times New Roman"/>
          <w:sz w:val="28"/>
          <w:szCs w:val="28"/>
        </w:rPr>
        <w:t>Zubairu</w:t>
      </w:r>
      <w:proofErr w:type="spellEnd"/>
      <w:r w:rsidRPr="002125DD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2125DD">
        <w:rPr>
          <w:rFonts w:ascii="Times New Roman" w:hAnsi="Times New Roman" w:cs="Times New Roman"/>
          <w:sz w:val="28"/>
          <w:szCs w:val="28"/>
        </w:rPr>
        <w:t>Shakeel</w:t>
      </w:r>
      <w:proofErr w:type="spellEnd"/>
      <w:r w:rsidRPr="00212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DD">
        <w:rPr>
          <w:rFonts w:ascii="Times New Roman" w:hAnsi="Times New Roman" w:cs="Times New Roman"/>
          <w:sz w:val="28"/>
          <w:szCs w:val="28"/>
        </w:rPr>
        <w:t>Raghib</w:t>
      </w:r>
      <w:proofErr w:type="spellEnd"/>
      <w:r w:rsidRPr="002125DD">
        <w:rPr>
          <w:rFonts w:ascii="Times New Roman" w:hAnsi="Times New Roman" w:cs="Times New Roman"/>
          <w:sz w:val="28"/>
          <w:szCs w:val="28"/>
        </w:rPr>
        <w:t xml:space="preserve"> &amp; Habib, M. </w:t>
      </w:r>
      <w:proofErr w:type="gramStart"/>
      <w:r w:rsidRPr="002125DD">
        <w:rPr>
          <w:rFonts w:ascii="Times New Roman" w:hAnsi="Times New Roman" w:cs="Times New Roman"/>
          <w:sz w:val="28"/>
          <w:szCs w:val="28"/>
        </w:rPr>
        <w:t>A..</w:t>
      </w:r>
      <w:proofErr w:type="gramEnd"/>
      <w:r w:rsidRPr="002125DD">
        <w:rPr>
          <w:rFonts w:ascii="Times New Roman" w:hAnsi="Times New Roman" w:cs="Times New Roman"/>
          <w:sz w:val="28"/>
          <w:szCs w:val="28"/>
        </w:rPr>
        <w:t xml:space="preserve"> (2019). A Comprehensive Review of Thermal Enhanced Oil Recovery: Techniques Evaluation. </w:t>
      </w:r>
      <w:r w:rsidRPr="002125DD">
        <w:rPr>
          <w:rFonts w:ascii="Times New Roman" w:hAnsi="Times New Roman" w:cs="Times New Roman"/>
          <w:sz w:val="28"/>
          <w:szCs w:val="28"/>
          <w:lang w:val="ru-RU"/>
        </w:rPr>
        <w:t>Journal of Energy Resources Technology, Transactions of the ASME. 141. 10.1115/1.4041096.</w:t>
      </w:r>
    </w:p>
    <w:p w:rsidR="002125DD" w:rsidRPr="00726103" w:rsidRDefault="002125DD" w:rsidP="004F03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10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ru-RU"/>
        </w:rPr>
        <w:t>Перспективы развития третичных МУН в мире и в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ru-RU"/>
        </w:rPr>
        <w:t xml:space="preserve"> – 2021 </w:t>
      </w:r>
    </w:p>
    <w:p w:rsidR="002125DD" w:rsidRPr="002125DD" w:rsidRDefault="002125DD" w:rsidP="002125DD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125DD" w:rsidRPr="0021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318D"/>
    <w:multiLevelType w:val="hybridMultilevel"/>
    <w:tmpl w:val="6D48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24081"/>
    <w:multiLevelType w:val="hybridMultilevel"/>
    <w:tmpl w:val="A3045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1E"/>
    <w:rsid w:val="001E4CFE"/>
    <w:rsid w:val="002125DD"/>
    <w:rsid w:val="003234B3"/>
    <w:rsid w:val="004F031F"/>
    <w:rsid w:val="005C5582"/>
    <w:rsid w:val="00E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5B78"/>
  <w15:chartTrackingRefBased/>
  <w15:docId w15:val="{DDA0B0E3-B442-4D58-A037-E9CC4957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5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wameagbey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2</cp:revision>
  <dcterms:created xsi:type="dcterms:W3CDTF">2022-06-10T17:33:00Z</dcterms:created>
  <dcterms:modified xsi:type="dcterms:W3CDTF">2022-06-11T09:43:00Z</dcterms:modified>
</cp:coreProperties>
</file>