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2DD" w:rsidRPr="005D3F3F" w:rsidRDefault="00AF02DD" w:rsidP="00AF02DD">
      <w:pPr>
        <w:pStyle w:val="a3"/>
        <w:ind w:right="-1"/>
        <w:jc w:val="center"/>
        <w:rPr>
          <w:b/>
          <w:sz w:val="36"/>
          <w:szCs w:val="36"/>
          <w:lang w:val="ru-RU"/>
        </w:rPr>
      </w:pPr>
      <w:r w:rsidRPr="005D3F3F">
        <w:rPr>
          <w:b/>
          <w:sz w:val="36"/>
          <w:szCs w:val="36"/>
          <w:lang w:val="ru-RU"/>
        </w:rPr>
        <w:t>Перевод паровых котлов на водогрейный режим работы</w:t>
      </w:r>
    </w:p>
    <w:p w:rsidR="00AF02DD" w:rsidRPr="00AF02DD" w:rsidRDefault="00AF02DD" w:rsidP="00AF02DD">
      <w:pPr>
        <w:pStyle w:val="a3"/>
        <w:ind w:right="-1"/>
        <w:jc w:val="center"/>
        <w:rPr>
          <w:lang w:val="ru-RU"/>
        </w:rPr>
      </w:pPr>
    </w:p>
    <w:p w:rsidR="00AF02DD" w:rsidRDefault="00AF02DD" w:rsidP="00AF02DD">
      <w:pPr>
        <w:pStyle w:val="a3"/>
        <w:ind w:right="-1"/>
        <w:jc w:val="center"/>
        <w:rPr>
          <w:sz w:val="28"/>
          <w:szCs w:val="28"/>
          <w:lang w:val="ru-RU"/>
        </w:rPr>
      </w:pPr>
      <w:proofErr w:type="spellStart"/>
      <w:r w:rsidRPr="00AF02DD">
        <w:rPr>
          <w:sz w:val="28"/>
          <w:szCs w:val="28"/>
          <w:lang w:val="ru-RU"/>
        </w:rPr>
        <w:t>Бухольцев</w:t>
      </w:r>
      <w:proofErr w:type="spellEnd"/>
      <w:r w:rsidRPr="00AF02DD">
        <w:rPr>
          <w:sz w:val="28"/>
          <w:szCs w:val="28"/>
          <w:lang w:val="ru-RU"/>
        </w:rPr>
        <w:t xml:space="preserve"> Е.А.</w:t>
      </w:r>
    </w:p>
    <w:p w:rsidR="00AF02DD" w:rsidRPr="00AF02DD" w:rsidRDefault="00AF02DD" w:rsidP="00AF02DD">
      <w:pPr>
        <w:pStyle w:val="a3"/>
        <w:ind w:right="-1"/>
        <w:jc w:val="center"/>
        <w:rPr>
          <w:sz w:val="28"/>
          <w:szCs w:val="28"/>
          <w:lang w:val="ru-RU"/>
        </w:rPr>
      </w:pPr>
    </w:p>
    <w:p w:rsidR="00AF02DD" w:rsidRPr="00AF02DD" w:rsidRDefault="00AF02DD" w:rsidP="00AF02DD">
      <w:pPr>
        <w:pStyle w:val="a3"/>
        <w:ind w:right="-1"/>
        <w:jc w:val="center"/>
        <w:rPr>
          <w:i/>
          <w:color w:val="000000"/>
          <w:sz w:val="28"/>
          <w:szCs w:val="28"/>
          <w:lang w:val="ru-RU"/>
        </w:rPr>
      </w:pPr>
      <w:r w:rsidRPr="00AF02DD">
        <w:rPr>
          <w:i/>
          <w:color w:val="000000"/>
          <w:sz w:val="28"/>
          <w:szCs w:val="28"/>
          <w:lang w:val="ru-RU"/>
        </w:rPr>
        <w:t>Санкт-Петербургский государственный архитектурно-строительный университе</w:t>
      </w:r>
      <w:r w:rsidR="00F83D14">
        <w:rPr>
          <w:i/>
          <w:color w:val="000000"/>
          <w:sz w:val="28"/>
          <w:szCs w:val="28"/>
          <w:lang w:val="ru-RU"/>
        </w:rPr>
        <w:t>т</w:t>
      </w:r>
    </w:p>
    <w:p w:rsidR="00AF02DD" w:rsidRDefault="00AF02DD" w:rsidP="00AF02DD">
      <w:pPr>
        <w:pStyle w:val="a3"/>
        <w:ind w:right="-1"/>
        <w:jc w:val="center"/>
        <w:rPr>
          <w:i/>
          <w:color w:val="000000"/>
          <w:sz w:val="28"/>
          <w:szCs w:val="28"/>
          <w:lang w:val="ru-RU"/>
        </w:rPr>
      </w:pPr>
    </w:p>
    <w:p w:rsidR="003F6207" w:rsidRPr="00AF02DD" w:rsidRDefault="003F6207" w:rsidP="00AF02DD">
      <w:pPr>
        <w:pStyle w:val="a3"/>
        <w:ind w:right="-1"/>
        <w:jc w:val="center"/>
        <w:rPr>
          <w:i/>
          <w:color w:val="000000"/>
          <w:sz w:val="28"/>
          <w:szCs w:val="28"/>
          <w:lang w:val="ru-RU"/>
        </w:rPr>
      </w:pPr>
    </w:p>
    <w:p w:rsidR="003F6207" w:rsidRPr="005D3F3F" w:rsidRDefault="007D7F67" w:rsidP="00E854CA">
      <w:pPr>
        <w:spacing w:before="1" w:line="360" w:lineRule="auto"/>
        <w:ind w:left="30" w:right="27" w:firstLine="679"/>
        <w:jc w:val="both"/>
        <w:rPr>
          <w:rFonts w:cstheme="minorHAnsi"/>
          <w:sz w:val="28"/>
          <w:szCs w:val="28"/>
        </w:rPr>
      </w:pPr>
      <w:r w:rsidRPr="007D7F67">
        <w:rPr>
          <w:rFonts w:cstheme="minorHAnsi"/>
          <w:b/>
          <w:sz w:val="28"/>
          <w:szCs w:val="28"/>
        </w:rPr>
        <w:t>Аннотация</w:t>
      </w:r>
      <w:r>
        <w:rPr>
          <w:rFonts w:cstheme="minorHAnsi"/>
          <w:sz w:val="28"/>
          <w:szCs w:val="28"/>
        </w:rPr>
        <w:t xml:space="preserve">: </w:t>
      </w:r>
      <w:r w:rsidR="003F6207" w:rsidRPr="005D3F3F">
        <w:rPr>
          <w:rFonts w:cstheme="minorHAnsi"/>
          <w:sz w:val="28"/>
          <w:szCs w:val="28"/>
        </w:rPr>
        <w:t>Проанализированы известные решения по переводу паровых котлов на водогрейный режим работы. Предложены и внедрены авторские варианты реконструкции котлов ДКВР-6,5-13 и ДЕ-6,5-14ГМ.</w:t>
      </w:r>
    </w:p>
    <w:p w:rsidR="00AF02DD" w:rsidRDefault="00EA47F5" w:rsidP="007D7F67">
      <w:pPr>
        <w:spacing w:before="92" w:line="360" w:lineRule="auto"/>
        <w:ind w:firstLine="709"/>
        <w:rPr>
          <w:rFonts w:cstheme="minorHAnsi"/>
          <w:i/>
          <w:sz w:val="28"/>
          <w:szCs w:val="28"/>
        </w:rPr>
      </w:pPr>
      <w:r w:rsidRPr="005D3F3F">
        <w:rPr>
          <w:rFonts w:cstheme="minorHAnsi"/>
          <w:i/>
          <w:sz w:val="28"/>
          <w:szCs w:val="28"/>
        </w:rPr>
        <w:t>Ключевые слова: котлы паровые, реконструкция, водогрейный режим.</w:t>
      </w:r>
    </w:p>
    <w:p w:rsidR="007D7F67" w:rsidRPr="007D7F67" w:rsidRDefault="007D7F67" w:rsidP="007D7F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jc w:val="both"/>
        <w:rPr>
          <w:rFonts w:eastAsia="Times New Roman" w:cstheme="minorHAnsi"/>
          <w:color w:val="212121"/>
          <w:sz w:val="28"/>
          <w:szCs w:val="28"/>
          <w:lang w:eastAsia="ru-RU"/>
        </w:rPr>
      </w:pPr>
      <w:r w:rsidRPr="007D7F67">
        <w:rPr>
          <w:rFonts w:eastAsia="Times New Roman" w:cstheme="minorHAnsi"/>
          <w:color w:val="212121"/>
          <w:sz w:val="28"/>
          <w:szCs w:val="28"/>
          <w:lang w:val="en" w:eastAsia="ru-RU"/>
        </w:rPr>
        <w:t>Annotation: Analyzed are the well-known solutions for the transfer of steam boilers to the water-heating mode of operation. Authors' versions of the reconstruction of boilers DKVR-6</w:t>
      </w:r>
      <w:proofErr w:type="gramStart"/>
      <w:r w:rsidRPr="007D7F67">
        <w:rPr>
          <w:rFonts w:eastAsia="Times New Roman" w:cstheme="minorHAnsi"/>
          <w:color w:val="212121"/>
          <w:sz w:val="28"/>
          <w:szCs w:val="28"/>
          <w:lang w:val="en" w:eastAsia="ru-RU"/>
        </w:rPr>
        <w:t>,5</w:t>
      </w:r>
      <w:proofErr w:type="gramEnd"/>
      <w:r w:rsidRPr="007D7F67">
        <w:rPr>
          <w:rFonts w:eastAsia="Times New Roman" w:cstheme="minorHAnsi"/>
          <w:color w:val="212121"/>
          <w:sz w:val="28"/>
          <w:szCs w:val="28"/>
          <w:lang w:val="en" w:eastAsia="ru-RU"/>
        </w:rPr>
        <w:t>-13 and DE-6,5-14GM were proposed and implemented.</w:t>
      </w:r>
    </w:p>
    <w:p w:rsidR="007D7F67" w:rsidRPr="007D7F67" w:rsidRDefault="007D7F67" w:rsidP="007D7F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rPr>
          <w:rFonts w:eastAsia="Times New Roman" w:cstheme="minorHAnsi"/>
          <w:color w:val="212121"/>
          <w:sz w:val="28"/>
          <w:szCs w:val="28"/>
          <w:lang w:eastAsia="ru-RU"/>
        </w:rPr>
      </w:pPr>
    </w:p>
    <w:p w:rsidR="007D7F67" w:rsidRDefault="007D7F67" w:rsidP="007D7F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eastAsia="Times New Roman" w:cstheme="minorHAnsi"/>
          <w:color w:val="212121"/>
          <w:sz w:val="28"/>
          <w:szCs w:val="28"/>
          <w:lang w:eastAsia="ru-RU"/>
        </w:rPr>
      </w:pPr>
      <w:r w:rsidRPr="007D7F67">
        <w:rPr>
          <w:rFonts w:eastAsia="Times New Roman" w:cstheme="minorHAnsi"/>
          <w:color w:val="212121"/>
          <w:sz w:val="28"/>
          <w:szCs w:val="28"/>
          <w:lang w:val="en" w:eastAsia="ru-RU"/>
        </w:rPr>
        <w:t>Keywords: steam boilers, reconstruction, water-heating mode.</w:t>
      </w:r>
    </w:p>
    <w:p w:rsidR="007D7F67" w:rsidRPr="007D7F67" w:rsidRDefault="007D7F67" w:rsidP="007D7F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/>
        <w:ind w:firstLine="709"/>
        <w:rPr>
          <w:rFonts w:eastAsia="Times New Roman" w:cstheme="minorHAnsi"/>
          <w:color w:val="212121"/>
          <w:sz w:val="28"/>
          <w:szCs w:val="28"/>
          <w:lang w:eastAsia="ru-RU"/>
        </w:rPr>
      </w:pPr>
    </w:p>
    <w:p w:rsidR="007D7F67" w:rsidRPr="007D7F67" w:rsidRDefault="007D7F67" w:rsidP="007D7F67">
      <w:pPr>
        <w:shd w:val="clear" w:color="auto" w:fill="FFFFFF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inherit" w:eastAsia="Times New Roman" w:hAnsi="inherit" w:cs="Courier New"/>
          <w:color w:val="212121"/>
          <w:sz w:val="20"/>
          <w:szCs w:val="20"/>
          <w:lang w:val="en-US" w:eastAsia="ru-RU"/>
        </w:rPr>
      </w:pPr>
    </w:p>
    <w:p w:rsidR="00097659" w:rsidRPr="005D3F3F" w:rsidRDefault="00097659" w:rsidP="00E854CA">
      <w:pPr>
        <w:pStyle w:val="a3"/>
        <w:spacing w:line="360" w:lineRule="auto"/>
        <w:ind w:right="-1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Существующие отопительно-производственные котельные, как правило, выполнены по типовым проектам на базе котлов ДКВР, КЕ, ДЕ. Тепловые схемы таких котельных предусматривают покрытие тепловой нагрузки на технологические нужды за счет пара, а нагрузки на нужды отопления, вентиляции и горячего водоснабжения – путем подогрева сетевой воды в пароводяных теплообменниках.</w:t>
      </w:r>
    </w:p>
    <w:p w:rsidR="00097659" w:rsidRPr="005D3F3F" w:rsidRDefault="00097659" w:rsidP="00E854CA">
      <w:pPr>
        <w:pStyle w:val="a3"/>
        <w:spacing w:before="7" w:line="360" w:lineRule="auto"/>
        <w:ind w:right="-1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За последние годы, в силу ряда причин, паровая нагрузка на технологические нужды резко сократилась или полностью исчезла. В связи с этим становится целесообразным часть или все котлы переводить на водогрейный режим работы, что позволит сократить расход топлива, упростить тепловую схему котельной и ее эксплуатацию, повысить безопасность.</w:t>
      </w:r>
    </w:p>
    <w:p w:rsidR="00097659" w:rsidRPr="005D3F3F" w:rsidRDefault="00097659" w:rsidP="00E854CA">
      <w:pPr>
        <w:pStyle w:val="a3"/>
        <w:spacing w:before="2" w:line="360" w:lineRule="auto"/>
        <w:ind w:right="-1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Анализ известных конструктивных решений по переводу котлов ДКВР на водогрейный режим показал, что их основное различие в схемах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движения воды. К общим недостаткам следует отнести низкую скорость движения воды в трубках поверхностей нагрева, что приводит к появлению местных очагов вскипания, отложению накипи, пережогу трубок, и значительные конструктивные переделки.</w:t>
      </w:r>
    </w:p>
    <w:p w:rsidR="009164AB" w:rsidRPr="005D3F3F" w:rsidRDefault="005D3F3F" w:rsidP="00E854CA">
      <w:pPr>
        <w:pStyle w:val="a3"/>
        <w:spacing w:before="9" w:line="360" w:lineRule="auto"/>
        <w:ind w:right="4515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noProof/>
          <w:sz w:val="28"/>
          <w:szCs w:val="28"/>
          <w:lang w:val="ru-RU"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D963B8" wp14:editId="1AD363AF">
                <wp:simplePos x="0" y="0"/>
                <wp:positionH relativeFrom="column">
                  <wp:posOffset>3442970</wp:posOffset>
                </wp:positionH>
                <wp:positionV relativeFrom="paragraph">
                  <wp:posOffset>2741930</wp:posOffset>
                </wp:positionV>
                <wp:extent cx="2559050" cy="882015"/>
                <wp:effectExtent l="0" t="0" r="0" b="0"/>
                <wp:wrapSquare wrapText="bothSides"/>
                <wp:docPr id="2" name="Поле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59050" cy="882015"/>
                        </a:xfrm>
                        <a:prstGeom prst="rect">
                          <a:avLst/>
                        </a:prstGeom>
                        <a:solidFill>
                          <a:prstClr val="white"/>
                        </a:solidFill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9164AB" w:rsidRPr="00947DB8" w:rsidRDefault="009164AB" w:rsidP="00C74FC8">
                            <w:pPr>
                              <w:spacing w:before="163" w:line="249" w:lineRule="auto"/>
                              <w:ind w:right="204"/>
                              <w:rPr>
                                <w:sz w:val="20"/>
                              </w:rPr>
                            </w:pPr>
                            <w:r w:rsidRPr="00947DB8">
                              <w:rPr>
                                <w:sz w:val="20"/>
                              </w:rPr>
                              <w:t>Рис. 1. Схема реконструкции котла ДКВР-6,5-13: 1 – патрубок для отвода воды; 2 – патрубок для подвода воды; 3 – перегородки в верхнем барабане котла; 4 – перегородки в нижнем барабане котла</w:t>
                            </w:r>
                          </w:p>
                          <w:p w:rsidR="009164AB" w:rsidRPr="009164AB" w:rsidRDefault="009164AB" w:rsidP="009164AB"/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2" o:spid="_x0000_s1026" type="#_x0000_t202" style="position:absolute;left:0;text-align:left;margin-left:271.1pt;margin-top:215.9pt;width:201.5pt;height:69.45pt;z-index:2516613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" stroked="f">
                <v:textbox inset="0,0,0,0">
                  <w:txbxContent>
                    <w:p w:rsidR="009164AB" w:rsidRPr="00947DB8" w:rsidRDefault="009164AB" w:rsidP="00C74FC8">
                      <w:pPr>
                        <w:spacing w:before="163" w:line="249" w:lineRule="auto"/>
                        <w:ind w:right="204"/>
                        <w:rPr>
                          <w:sz w:val="20"/>
                        </w:rPr>
                      </w:pPr>
                      <w:r w:rsidRPr="00947DB8">
                        <w:rPr>
                          <w:sz w:val="20"/>
                        </w:rPr>
                        <w:t>Рис. 1. Схема реконструкции котла ДКВР-6,5-13: 1 – патрубок для отвода воды; 2 – патрубок для подвода воды; 3 – перегородки в верхнем барабане котла; 4 – перегородки в нижнем барабане котла</w:t>
                      </w:r>
                    </w:p>
                    <w:p w:rsidR="009164AB" w:rsidRPr="009164AB" w:rsidRDefault="009164AB" w:rsidP="009164AB"/>
                  </w:txbxContent>
                </v:textbox>
                <w10:wrap type="square"/>
              </v:shape>
            </w:pict>
          </mc:Fallback>
        </mc:AlternateContent>
      </w:r>
      <w:r w:rsidR="00FE28C1" w:rsidRPr="005D3F3F">
        <w:rPr>
          <w:rFonts w:asciiTheme="minorHAnsi" w:hAnsiTheme="minorHAnsi" w:cstheme="minorHAnsi"/>
          <w:noProof/>
          <w:sz w:val="28"/>
          <w:szCs w:val="28"/>
          <w:lang w:val="ru-RU" w:eastAsia="ru-RU"/>
        </w:rPr>
        <w:drawing>
          <wp:anchor distT="0" distB="0" distL="0" distR="0" simplePos="0" relativeHeight="251659264" behindDoc="0" locked="0" layoutInCell="1" allowOverlap="1" wp14:anchorId="458F52AE" wp14:editId="2663C716">
            <wp:simplePos x="0" y="0"/>
            <wp:positionH relativeFrom="page">
              <wp:posOffset>4188460</wp:posOffset>
            </wp:positionH>
            <wp:positionV relativeFrom="paragraph">
              <wp:posOffset>52070</wp:posOffset>
            </wp:positionV>
            <wp:extent cx="2559050" cy="2128520"/>
            <wp:effectExtent l="0" t="0" r="0" b="5080"/>
            <wp:wrapSquare wrapText="bothSides"/>
            <wp:docPr id="1" name="image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png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559050" cy="2128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Схема движения воды показана на рис. 1. Верхний барабан котла разделен перегородками на четыре отсека</w:t>
      </w:r>
      <w:r w:rsidR="00FE28C1" w:rsidRPr="005D3F3F">
        <w:rPr>
          <w:rFonts w:asciiTheme="minorHAnsi" w:hAnsiTheme="minorHAnsi" w:cstheme="minorHAnsi"/>
          <w:sz w:val="28"/>
          <w:szCs w:val="28"/>
          <w:lang w:val="ru-RU"/>
        </w:rPr>
        <w:t>, а ниж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ний – на три. Вода подается в нижний барабан котла (задний отсек), откуда по десяти рядам конвективной части (220 трубок) поднимается в задний отсек верхнего барабана. Следующий ход воды – вниз по двум рядам (44 трубки)  в нижний барабан. Затем во</w:t>
      </w:r>
      <w:r w:rsidR="00FE28C1" w:rsidRPr="005D3F3F">
        <w:rPr>
          <w:rFonts w:asciiTheme="minorHAnsi" w:hAnsiTheme="minorHAnsi" w:cstheme="minorHAnsi"/>
          <w:sz w:val="28"/>
          <w:szCs w:val="28"/>
          <w:lang w:val="ru-RU"/>
        </w:rPr>
        <w:t>да направ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ляется опять вверх по восьми рядам конвект</w:t>
      </w:r>
      <w:r w:rsidR="00FE28C1" w:rsidRPr="005D3F3F">
        <w:rPr>
          <w:rFonts w:asciiTheme="minorHAnsi" w:hAnsiTheme="minorHAnsi" w:cstheme="minorHAnsi"/>
          <w:sz w:val="28"/>
          <w:szCs w:val="28"/>
          <w:lang w:val="ru-RU"/>
        </w:rPr>
        <w:t>ивного пучка (176 трубок). Чет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вертый ход воды – вниз по двум рядам трубок</w:t>
      </w:r>
      <w:r w:rsidR="009164AB" w:rsidRPr="005D3F3F">
        <w:rPr>
          <w:rFonts w:asciiTheme="minorHAnsi" w:hAnsiTheme="minorHAnsi" w:cstheme="minorHAnsi"/>
          <w:spacing w:val="18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и</w:t>
      </w:r>
      <w:r w:rsidR="009164AB" w:rsidRPr="005D3F3F">
        <w:rPr>
          <w:rFonts w:asciiTheme="minorHAnsi" w:hAnsiTheme="minorHAnsi" w:cstheme="minorHAnsi"/>
          <w:spacing w:val="19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пятый</w:t>
      </w:r>
      <w:r w:rsidR="009164AB" w:rsidRPr="005D3F3F">
        <w:rPr>
          <w:rFonts w:asciiTheme="minorHAnsi" w:hAnsiTheme="minorHAnsi" w:cstheme="minorHAnsi"/>
          <w:spacing w:val="18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–</w:t>
      </w:r>
      <w:r w:rsidR="009164AB" w:rsidRPr="005D3F3F">
        <w:rPr>
          <w:rFonts w:asciiTheme="minorHAnsi" w:hAnsiTheme="minorHAnsi" w:cstheme="minorHAnsi"/>
          <w:spacing w:val="19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вверх</w:t>
      </w:r>
      <w:r w:rsidR="009164AB" w:rsidRPr="005D3F3F">
        <w:rPr>
          <w:rFonts w:asciiTheme="minorHAnsi" w:hAnsiTheme="minorHAnsi" w:cstheme="minorHAnsi"/>
          <w:spacing w:val="18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по</w:t>
      </w:r>
      <w:r w:rsidR="009164AB" w:rsidRPr="005D3F3F">
        <w:rPr>
          <w:rFonts w:asciiTheme="minorHAnsi" w:hAnsiTheme="minorHAnsi" w:cstheme="minorHAnsi"/>
          <w:spacing w:val="19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двум</w:t>
      </w:r>
      <w:r w:rsidR="009164AB" w:rsidRPr="005D3F3F">
        <w:rPr>
          <w:rFonts w:asciiTheme="minorHAnsi" w:hAnsiTheme="minorHAnsi" w:cstheme="minorHAnsi"/>
          <w:spacing w:val="18"/>
          <w:sz w:val="28"/>
          <w:szCs w:val="28"/>
          <w:lang w:val="ru-RU"/>
        </w:rPr>
        <w:t xml:space="preserve"> </w:t>
      </w:r>
      <w:r w:rsidR="009164AB" w:rsidRPr="005D3F3F">
        <w:rPr>
          <w:rFonts w:asciiTheme="minorHAnsi" w:hAnsiTheme="minorHAnsi" w:cstheme="minorHAnsi"/>
          <w:sz w:val="28"/>
          <w:szCs w:val="28"/>
          <w:lang w:val="ru-RU"/>
        </w:rPr>
        <w:t>рядам.</w:t>
      </w:r>
    </w:p>
    <w:p w:rsidR="009164AB" w:rsidRPr="005D3F3F" w:rsidRDefault="009164AB" w:rsidP="005D3F3F">
      <w:pPr>
        <w:spacing w:line="360" w:lineRule="auto"/>
        <w:jc w:val="both"/>
        <w:rPr>
          <w:rFonts w:cstheme="minorHAnsi"/>
          <w:sz w:val="28"/>
          <w:szCs w:val="28"/>
        </w:rPr>
        <w:sectPr w:rsidR="009164AB" w:rsidRPr="005D3F3F">
          <w:pgSz w:w="11910" w:h="16840"/>
          <w:pgMar w:top="1280" w:right="1300" w:bottom="1100" w:left="1300" w:header="1060" w:footer="923" w:gutter="0"/>
          <w:cols w:space="720"/>
        </w:sectPr>
      </w:pPr>
    </w:p>
    <w:p w:rsidR="00FE28C1" w:rsidRPr="005D3F3F" w:rsidRDefault="009164AB" w:rsidP="00E854CA">
      <w:pPr>
        <w:pStyle w:val="a3"/>
        <w:spacing w:before="20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Так как эти трубки работают при повышенном тепловом напряжении, скорость течения в них более 1 м/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с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>. Следующий ход воды из верхнего барабана в нижние коллекторы боковых экранов происходит по 28 трубкам, скорость течения в которых превышает 1,5 м/</w:t>
      </w:r>
      <w:r w:rsidRPr="005D3F3F">
        <w:rPr>
          <w:rFonts w:asciiTheme="minorHAnsi" w:hAnsiTheme="minorHAnsi" w:cstheme="minorHAnsi"/>
          <w:sz w:val="28"/>
          <w:szCs w:val="28"/>
        </w:rPr>
        <w:t>c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. Седьмой ход направлен вверх по 44 трубкам боковых экранов, скорость течения в них превышает 1 м/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с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:rsidR="00FE28C1" w:rsidRPr="005D3F3F" w:rsidRDefault="00FE28C1" w:rsidP="00E854CA">
      <w:pPr>
        <w:pStyle w:val="a3"/>
        <w:spacing w:before="1" w:line="360" w:lineRule="auto"/>
        <w:ind w:right="112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Работы по реконструкции котла выполнялись в следующем порядке. Сначала были установлены перегородки в барабанах котла. Коллекторы экранов отключались от нижнего барабана. Патрубок для подвода сетевой воды Ø 219 мм был установлен на нижнем барабане котла, а для отвода воды – на верхнем барабане согласно чертежам. Также выполнялся ряд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незначительных переделок. Тягодутьевое оборудование осталось прежним, т. к. никаких изменений по газовому тракту не предусматривалось.</w:t>
      </w:r>
    </w:p>
    <w:p w:rsidR="00FE28C1" w:rsidRPr="005D3F3F" w:rsidRDefault="00FE28C1" w:rsidP="00E854CA">
      <w:pPr>
        <w:pStyle w:val="a3"/>
        <w:spacing w:before="9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Существенной реконструкции подвергся экономайзер, который был включен в водяной контур системы теплоснабжения. Для увеличения пропускной способности  он был разделен по высоте на два блока, включаемых по воде параллельно. Кроме того, был предусмотрен полный либо частичный пропуск воды по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байпасной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линии. Расчеты показали, что при расходе воды через котел более 300 м</w:t>
      </w:r>
      <w:r w:rsidRPr="005D3F3F">
        <w:rPr>
          <w:rFonts w:asciiTheme="minorHAnsi" w:hAnsiTheme="minorHAnsi" w:cstheme="minorHAnsi"/>
          <w:sz w:val="28"/>
          <w:szCs w:val="28"/>
          <w:vertAlign w:val="superscript"/>
          <w:lang w:val="ru-RU"/>
        </w:rPr>
        <w:t>3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/ч гидравлические потери составили около 3 м вод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.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с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т. При этом увеличились коэффициент теплопередачи, температурный напор (реализуется многократный перекрестный ток теплоносителей) и, следовательно,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теплопроизводительность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котла, которая повысилась почти до 7 Гкал/ч. Затраты, связанные с реконструкцией одного котла, окупились за период менее 6</w:t>
      </w:r>
      <w:r w:rsidRPr="005D3F3F">
        <w:rPr>
          <w:rFonts w:asciiTheme="minorHAnsi" w:hAnsiTheme="minorHAnsi" w:cstheme="minorHAnsi"/>
          <w:spacing w:val="-2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месяцев.</w:t>
      </w:r>
    </w:p>
    <w:p w:rsidR="00FE28C1" w:rsidRPr="005D3F3F" w:rsidRDefault="00FE28C1" w:rsidP="00E854CA">
      <w:pPr>
        <w:pStyle w:val="a3"/>
        <w:spacing w:before="14" w:line="360" w:lineRule="auto"/>
        <w:ind w:right="112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Довольно длительный опыт эксплуатации показал, что котел работает бесшумно, устойчиво и маневренно по режимам. Температура уходящих газов за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котлоагрегатом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на обследованных режимах не превышала 100 – 105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°С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>, чему способствовала работа чугунного экономайзера.</w:t>
      </w:r>
    </w:p>
    <w:p w:rsidR="00C3292B" w:rsidRPr="005D3F3F" w:rsidRDefault="00C3292B" w:rsidP="00E854CA">
      <w:pPr>
        <w:pStyle w:val="a3"/>
        <w:spacing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Положительные отзывы работников котельных с реконструированными котлами ДКВР-6,5-13 (3 котла) подтвердили правильность принятых решений.</w:t>
      </w:r>
    </w:p>
    <w:p w:rsidR="00C3292B" w:rsidRPr="005D3F3F" w:rsidRDefault="00C3292B" w:rsidP="00E854CA">
      <w:pPr>
        <w:pStyle w:val="a3"/>
        <w:spacing w:before="2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Особенностью котлов ДЕ является несимметричная компоновка поверхностей нагрева. Это вызывает объективную невозможность организации движения воды путем установки поперечных перегородок в верхнем и нижнем барабанах по аналогии с котлами</w:t>
      </w:r>
      <w:r w:rsidRPr="005D3F3F">
        <w:rPr>
          <w:rFonts w:asciiTheme="minorHAnsi" w:hAnsiTheme="minorHAnsi" w:cstheme="minorHAnsi"/>
          <w:spacing w:val="-2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ДКВР.</w:t>
      </w:r>
    </w:p>
    <w:p w:rsidR="00C3292B" w:rsidRPr="005D3F3F" w:rsidRDefault="00D06C6D" w:rsidP="00E854CA">
      <w:pPr>
        <w:pStyle w:val="a3"/>
        <w:spacing w:before="6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Мною предложено </w:t>
      </w:r>
      <w:r w:rsidR="00C3292B" w:rsidRPr="005D3F3F">
        <w:rPr>
          <w:rFonts w:asciiTheme="minorHAnsi" w:hAnsiTheme="minorHAnsi" w:cstheme="minorHAnsi"/>
          <w:sz w:val="28"/>
          <w:szCs w:val="28"/>
          <w:lang w:val="ru-RU"/>
        </w:rPr>
        <w:t>конструктивное решение по переводу котла ДЕ-6,5-14ГМ на водогрейный режим (рис. 2) с использованием перегородок другого типа. Установка двух скорлуп-перегородок в верхнем барабане и двух скорлуп-перегородок в нижнем барабане котла позволила организовать движ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ение воды с рекомендуемыми в </w:t>
      </w:r>
      <w:r w:rsidR="00C3292B"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скоростями: 1–1,5 м/с – в экранах с </w:t>
      </w:r>
      <w:r w:rsidR="00C3292B"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опускными трубками, 0,6–0,8 м/с – в экранах с подъемным движением; в конвективных пучках – соответственно 1–1,2 и 0,4–0,6 м/</w:t>
      </w:r>
      <w:proofErr w:type="gramStart"/>
      <w:r w:rsidR="00C3292B" w:rsidRPr="005D3F3F">
        <w:rPr>
          <w:rFonts w:asciiTheme="minorHAnsi" w:hAnsiTheme="minorHAnsi" w:cstheme="minorHAnsi"/>
          <w:sz w:val="28"/>
          <w:szCs w:val="28"/>
          <w:lang w:val="ru-RU"/>
        </w:rPr>
        <w:t>с</w:t>
      </w:r>
      <w:proofErr w:type="gramEnd"/>
      <w:r w:rsidR="00C3292B" w:rsidRPr="005D3F3F">
        <w:rPr>
          <w:rFonts w:asciiTheme="minorHAnsi" w:hAnsiTheme="minorHAnsi" w:cstheme="minorHAnsi"/>
          <w:sz w:val="28"/>
          <w:szCs w:val="28"/>
          <w:lang w:val="ru-RU"/>
        </w:rPr>
        <w:t>.</w:t>
      </w: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5D3F3F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noProof/>
          <w:sz w:val="28"/>
          <w:szCs w:val="28"/>
          <w:lang w:val="ru-RU" w:eastAsia="ru-RU"/>
        </w:rPr>
        <w:drawing>
          <wp:anchor distT="0" distB="0" distL="0" distR="0" simplePos="0" relativeHeight="251663360" behindDoc="0" locked="0" layoutInCell="1" allowOverlap="1" wp14:anchorId="50A8CB6E" wp14:editId="76912C40">
            <wp:simplePos x="0" y="0"/>
            <wp:positionH relativeFrom="page">
              <wp:posOffset>891540</wp:posOffset>
            </wp:positionH>
            <wp:positionV relativeFrom="paragraph">
              <wp:posOffset>-636270</wp:posOffset>
            </wp:positionV>
            <wp:extent cx="3352800" cy="4210685"/>
            <wp:effectExtent l="0" t="0" r="0" b="0"/>
            <wp:wrapNone/>
            <wp:docPr id="3" name="image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352800" cy="42106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C74FC8" w:rsidRPr="005D3F3F" w:rsidRDefault="00C74FC8" w:rsidP="005D3F3F">
      <w:pPr>
        <w:pStyle w:val="a3"/>
        <w:spacing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5D3F3F" w:rsidRDefault="005D3F3F" w:rsidP="005D3F3F">
      <w:pPr>
        <w:spacing w:line="360" w:lineRule="auto"/>
        <w:ind w:right="1042"/>
        <w:rPr>
          <w:rFonts w:eastAsia="Times New Roman" w:cstheme="minorHAnsi"/>
          <w:sz w:val="28"/>
          <w:szCs w:val="28"/>
        </w:rPr>
      </w:pPr>
    </w:p>
    <w:p w:rsidR="003F6207" w:rsidRPr="005D3F3F" w:rsidRDefault="005D3F3F" w:rsidP="005D3F3F">
      <w:pPr>
        <w:spacing w:line="360" w:lineRule="auto"/>
        <w:ind w:right="1042"/>
        <w:rPr>
          <w:rFonts w:cstheme="minorHAnsi"/>
          <w:sz w:val="20"/>
          <w:szCs w:val="20"/>
        </w:rPr>
      </w:pPr>
      <w:r>
        <w:rPr>
          <w:rFonts w:eastAsia="Times New Roman" w:cstheme="minorHAnsi"/>
          <w:sz w:val="28"/>
          <w:szCs w:val="28"/>
        </w:rPr>
        <w:t xml:space="preserve">                                                                                </w:t>
      </w:r>
      <w:r>
        <w:rPr>
          <w:rFonts w:eastAsia="Times New Roman" w:cstheme="minorHAnsi"/>
          <w:sz w:val="20"/>
          <w:szCs w:val="20"/>
        </w:rPr>
        <w:t xml:space="preserve">   </w:t>
      </w:r>
      <w:r w:rsidR="00C74FC8" w:rsidRPr="005D3F3F">
        <w:rPr>
          <w:rFonts w:cstheme="minorHAnsi"/>
          <w:sz w:val="20"/>
          <w:szCs w:val="20"/>
        </w:rPr>
        <w:t xml:space="preserve">Рис. 2. Схема реконструкции </w:t>
      </w:r>
    </w:p>
    <w:p w:rsidR="00C74FC8" w:rsidRPr="005D3F3F" w:rsidRDefault="003F6207" w:rsidP="005D3F3F">
      <w:pPr>
        <w:spacing w:line="360" w:lineRule="auto"/>
        <w:ind w:right="1042"/>
        <w:rPr>
          <w:rFonts w:cstheme="minorHAnsi"/>
          <w:sz w:val="20"/>
          <w:szCs w:val="20"/>
        </w:rPr>
      </w:pPr>
      <w:r w:rsidRPr="005D3F3F">
        <w:rPr>
          <w:rFonts w:cstheme="minorHAnsi"/>
          <w:sz w:val="20"/>
          <w:szCs w:val="20"/>
        </w:rPr>
        <w:t xml:space="preserve">                                                                                                                       </w:t>
      </w:r>
      <w:r w:rsidR="00C74FC8" w:rsidRPr="005D3F3F">
        <w:rPr>
          <w:rFonts w:cstheme="minorHAnsi"/>
          <w:sz w:val="20"/>
          <w:szCs w:val="20"/>
        </w:rPr>
        <w:t>котла ДЕ-</w:t>
      </w:r>
      <w:r w:rsidRPr="005D3F3F">
        <w:rPr>
          <w:rFonts w:cstheme="minorHAnsi"/>
          <w:sz w:val="20"/>
          <w:szCs w:val="20"/>
        </w:rPr>
        <w:t xml:space="preserve"> </w:t>
      </w:r>
      <w:r w:rsidR="00C74FC8" w:rsidRPr="005D3F3F">
        <w:rPr>
          <w:rFonts w:cstheme="minorHAnsi"/>
          <w:sz w:val="20"/>
          <w:szCs w:val="20"/>
        </w:rPr>
        <w:t>6,5-14-ГМ:</w:t>
      </w:r>
    </w:p>
    <w:p w:rsidR="00FE28C1" w:rsidRPr="005D3F3F" w:rsidRDefault="00C74FC8" w:rsidP="005D3F3F">
      <w:pPr>
        <w:spacing w:before="2" w:line="360" w:lineRule="auto"/>
        <w:ind w:left="5814" w:right="1086"/>
        <w:jc w:val="center"/>
        <w:rPr>
          <w:rFonts w:cstheme="minorHAnsi"/>
          <w:sz w:val="20"/>
          <w:szCs w:val="20"/>
        </w:rPr>
      </w:pPr>
      <w:r w:rsidRPr="005D3F3F">
        <w:rPr>
          <w:rFonts w:cstheme="minorHAnsi"/>
          <w:sz w:val="20"/>
          <w:szCs w:val="20"/>
        </w:rPr>
        <w:t>1 – патрубок подвода воды; 2 – 5 – скорлупы (перегородки); 6 – патрубок выхода нагретой воды</w:t>
      </w:r>
    </w:p>
    <w:p w:rsidR="002F13DA" w:rsidRPr="005D3F3F" w:rsidRDefault="002F13DA" w:rsidP="00E854CA">
      <w:pPr>
        <w:pStyle w:val="a3"/>
        <w:spacing w:before="118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Вода после экономайзера подается по патрубку 1 в нижний отсек 2 нижнего барабана котла, откуда по двум трубкам переднего экрана и 49 трубкам  правого экрана поднимается в верхний отсек 3 верхнего барабана. Следующий ход воды направлен вниз по двум трубкам переднего экрана, 12 трубкам поворотного экрана и верхнему коллектору, объединяющему трубки заднего экрана и циркуляционную трубу. По нижнему коллектору заднего экрана вода поступает в дополнительный отсек, откуда попадает в верхний отсек 4 нижнего барабана. Затем вода направляется вверх по трубкам левого экрана (47 трубок) в нижний отсек 5 верхнего барабана</w:t>
      </w:r>
      <w:r w:rsidRPr="005D3F3F">
        <w:rPr>
          <w:rFonts w:asciiTheme="minorHAnsi" w:hAnsiTheme="minorHAnsi" w:cstheme="minorHAnsi"/>
          <w:spacing w:val="-19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котла.</w:t>
      </w:r>
    </w:p>
    <w:p w:rsidR="002F13DA" w:rsidRPr="005D3F3F" w:rsidRDefault="002F13DA" w:rsidP="00E854CA">
      <w:pPr>
        <w:pStyle w:val="a3"/>
        <w:spacing w:before="11" w:line="360" w:lineRule="auto"/>
        <w:ind w:right="96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Четвертый ход воды направлен вниз по двум рядам трубок конвективного пучка (51 трубка) в общую часть нижнего барабана. Пятый ход – вверх по остальным рядам трубок конвективного пучка (131 трубка) в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неотгороженное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пространство верхнего барабана. Из верхнего барабана вода направляется по патрубку 6 через узел рециркуляции и корректировки температуры в тепловую</w:t>
      </w:r>
      <w:r w:rsidRPr="005D3F3F">
        <w:rPr>
          <w:rFonts w:asciiTheme="minorHAnsi" w:hAnsiTheme="minorHAnsi" w:cstheme="minorHAnsi"/>
          <w:spacing w:val="-5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сеть.</w:t>
      </w:r>
    </w:p>
    <w:p w:rsidR="002F13DA" w:rsidRPr="005D3F3F" w:rsidRDefault="002F13DA" w:rsidP="00E854CA">
      <w:pPr>
        <w:pStyle w:val="a3"/>
        <w:spacing w:line="360" w:lineRule="auto"/>
        <w:ind w:right="112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Скорлупы выполнены из сегментных отрезков трубы Ø 426 мм. 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Диаметры подводящего к нижнему барабану и отводящего от верхнего барабана патрубков приняты Ø 219 мм.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В верхних точках отсеков верхнего барабана установлены патрубки с вентилями для выпуска воздуха (</w:t>
      </w:r>
      <w:r w:rsidRPr="005D3F3F">
        <w:rPr>
          <w:rFonts w:asciiTheme="minorHAnsi" w:hAnsiTheme="minorHAnsi" w:cstheme="minorHAnsi"/>
          <w:i/>
          <w:sz w:val="28"/>
          <w:szCs w:val="28"/>
        </w:rPr>
        <w:t>d</w:t>
      </w:r>
      <w:r w:rsidRPr="005D3F3F">
        <w:rPr>
          <w:rFonts w:asciiTheme="minorHAnsi" w:hAnsiTheme="minorHAnsi" w:cstheme="minorHAnsi"/>
          <w:i/>
          <w:sz w:val="28"/>
          <w:szCs w:val="28"/>
          <w:vertAlign w:val="subscript"/>
          <w:lang w:val="ru-RU"/>
        </w:rPr>
        <w:t>у</w:t>
      </w:r>
      <w:r w:rsidRPr="005D3F3F">
        <w:rPr>
          <w:rFonts w:asciiTheme="minorHAnsi" w:hAnsiTheme="minorHAnsi" w:cstheme="minorHAnsi"/>
          <w:i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25 мм); в нижних точках отсеков нижнего барабана предусмотрены патрубки для слива воды в дренаж (</w:t>
      </w:r>
      <w:r w:rsidRPr="005D3F3F">
        <w:rPr>
          <w:rFonts w:asciiTheme="minorHAnsi" w:hAnsiTheme="minorHAnsi" w:cstheme="minorHAnsi"/>
          <w:i/>
          <w:sz w:val="28"/>
          <w:szCs w:val="28"/>
        </w:rPr>
        <w:t>d</w:t>
      </w:r>
      <w:r w:rsidRPr="005D3F3F">
        <w:rPr>
          <w:rFonts w:asciiTheme="minorHAnsi" w:hAnsiTheme="minorHAnsi" w:cstheme="minorHAnsi"/>
          <w:i/>
          <w:sz w:val="28"/>
          <w:szCs w:val="28"/>
          <w:vertAlign w:val="subscript"/>
          <w:lang w:val="ru-RU"/>
        </w:rPr>
        <w:t>у</w:t>
      </w:r>
      <w:r w:rsidRPr="005D3F3F">
        <w:rPr>
          <w:rFonts w:asciiTheme="minorHAnsi" w:hAnsiTheme="minorHAnsi" w:cstheme="minorHAnsi"/>
          <w:i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40 мм)</w:t>
      </w:r>
      <w:proofErr w:type="gramStart"/>
      <w:r w:rsidRPr="005D3F3F">
        <w:rPr>
          <w:rFonts w:asciiTheme="minorHAnsi" w:hAnsiTheme="minorHAnsi" w:cstheme="minorHAnsi"/>
          <w:spacing w:val="-37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.</w:t>
      </w:r>
      <w:proofErr w:type="gramEnd"/>
    </w:p>
    <w:p w:rsidR="002F13DA" w:rsidRPr="005D3F3F" w:rsidRDefault="002F13DA" w:rsidP="00E854CA">
      <w:pPr>
        <w:pStyle w:val="a3"/>
        <w:spacing w:before="7" w:line="360" w:lineRule="auto"/>
        <w:ind w:right="112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Гидравлический расчет показал, что при расходе воды 235 т/ч потери напора в котле не превышают 1 м вод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.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с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т. По результатам теплового расчета,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теплопроизводтельность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котла в водогрейном режиме составит около 5,5 МВт (4,73 Гкал/ч). 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Фактическая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теплопроизводительность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ограничивается возможностями установленной горелки ГМГ-4 (бывшей в эксплуатации).</w:t>
      </w:r>
    </w:p>
    <w:p w:rsidR="002F13DA" w:rsidRPr="005D3F3F" w:rsidRDefault="002F13DA" w:rsidP="00E854CA">
      <w:pPr>
        <w:pStyle w:val="a3"/>
        <w:spacing w:before="7" w:line="360" w:lineRule="auto"/>
        <w:ind w:right="109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Реконструированный котел работает надежно, бесшумно,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хорошими динамическими показателями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 xml:space="preserve">при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изменении нагрузки,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 xml:space="preserve">КПД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не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менее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90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 xml:space="preserve">%.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Сказанное подтверждает эффективность предложенного варианта реконструкции котла ДЕ-6,5-14ГМ,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>вы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полненной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по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чертежам силами владельца котельной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 xml:space="preserve">под 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>авторским надзором.</w:t>
      </w:r>
    </w:p>
    <w:p w:rsidR="002F13DA" w:rsidRPr="005D3F3F" w:rsidRDefault="002F13DA" w:rsidP="00E854CA">
      <w:pPr>
        <w:pStyle w:val="a3"/>
        <w:spacing w:before="5" w:line="360" w:lineRule="auto"/>
        <w:ind w:right="112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Таким образом, упрощается эксплуатация котельных с реконструированными котлами, повышается их безопасность, снижается потребление газового топлива, исходной воды и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химреагентов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водоподготовки.</w:t>
      </w:r>
    </w:p>
    <w:p w:rsidR="001A0BD7" w:rsidRPr="005D3F3F" w:rsidRDefault="001A0BD7" w:rsidP="005D3F3F">
      <w:pPr>
        <w:pStyle w:val="2"/>
        <w:spacing w:before="104" w:line="360" w:lineRule="auto"/>
        <w:ind w:left="869" w:right="18"/>
        <w:jc w:val="center"/>
        <w:rPr>
          <w:rFonts w:asciiTheme="minorHAnsi" w:hAnsiTheme="minorHAnsi" w:cstheme="minorHAnsi"/>
          <w:b w:val="0"/>
          <w:sz w:val="32"/>
          <w:szCs w:val="32"/>
        </w:rPr>
      </w:pPr>
      <w:r w:rsidRPr="005D3F3F">
        <w:rPr>
          <w:rFonts w:asciiTheme="minorHAnsi" w:hAnsiTheme="minorHAnsi" w:cstheme="minorHAnsi"/>
          <w:b w:val="0"/>
          <w:sz w:val="32"/>
          <w:szCs w:val="32"/>
        </w:rPr>
        <w:t>Заключение</w:t>
      </w:r>
    </w:p>
    <w:p w:rsidR="001A0BD7" w:rsidRPr="005D3F3F" w:rsidRDefault="001A0BD7" w:rsidP="00E854CA">
      <w:pPr>
        <w:pStyle w:val="a3"/>
        <w:spacing w:before="93" w:line="360" w:lineRule="auto"/>
        <w:ind w:right="113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Одним из путей повышения экономичности, надежности и безопасности работы котельных является перевод части или всех паровых котлов на водогрейный режим работы при снижении или полном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lastRenderedPageBreak/>
        <w:t>отсутствии паровой нагрузки.</w:t>
      </w:r>
    </w:p>
    <w:p w:rsidR="001A0BD7" w:rsidRPr="005D3F3F" w:rsidRDefault="001A0BD7" w:rsidP="00E854CA">
      <w:pPr>
        <w:pStyle w:val="a3"/>
        <w:spacing w:before="4" w:line="360" w:lineRule="auto"/>
        <w:ind w:right="111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Следует отметить следующие преимущества предложенных схем перевода котлов ДКВР-6,5-13 и ДЕ-6,5-14ГМ на водогрейный режим работы перед существующими решениями: высокую эффективность реконструированных котлов, увеличение их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теплопроизводительности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>, положительные отзывы обслуживающего персонала.</w:t>
      </w:r>
    </w:p>
    <w:p w:rsidR="001A0BD7" w:rsidRPr="005D3F3F" w:rsidRDefault="001A0BD7" w:rsidP="00E854CA">
      <w:pPr>
        <w:pStyle w:val="a3"/>
        <w:spacing w:before="6" w:line="360" w:lineRule="auto"/>
        <w:ind w:right="114" w:firstLine="709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В каждом отдельном случае перевод должен производиться по специальному проекту с учетом специфики котлов и температурного графика тепловой сети.</w:t>
      </w:r>
    </w:p>
    <w:p w:rsidR="001A0BD7" w:rsidRPr="005D3F3F" w:rsidRDefault="001A0BD7" w:rsidP="005D3F3F">
      <w:pPr>
        <w:pStyle w:val="a3"/>
        <w:spacing w:before="11" w:line="360" w:lineRule="auto"/>
        <w:rPr>
          <w:rFonts w:asciiTheme="minorHAnsi" w:hAnsiTheme="minorHAnsi" w:cstheme="minorHAnsi"/>
          <w:sz w:val="28"/>
          <w:szCs w:val="28"/>
          <w:lang w:val="ru-RU"/>
        </w:rPr>
      </w:pPr>
    </w:p>
    <w:p w:rsidR="001A0BD7" w:rsidRPr="005D3F3F" w:rsidRDefault="001A0BD7" w:rsidP="005D3F3F">
      <w:pPr>
        <w:pStyle w:val="2"/>
        <w:spacing w:line="360" w:lineRule="auto"/>
        <w:ind w:left="869" w:right="16"/>
        <w:jc w:val="center"/>
        <w:rPr>
          <w:rFonts w:asciiTheme="minorHAnsi" w:hAnsiTheme="minorHAnsi" w:cstheme="minorHAnsi"/>
          <w:b w:val="0"/>
          <w:sz w:val="32"/>
          <w:szCs w:val="32"/>
        </w:rPr>
      </w:pPr>
      <w:r w:rsidRPr="005D3F3F">
        <w:rPr>
          <w:rFonts w:asciiTheme="minorHAnsi" w:hAnsiTheme="minorHAnsi" w:cstheme="minorHAnsi"/>
          <w:b w:val="0"/>
          <w:sz w:val="32"/>
          <w:szCs w:val="32"/>
        </w:rPr>
        <w:t>Список литературы</w:t>
      </w:r>
    </w:p>
    <w:p w:rsidR="001A0BD7" w:rsidRPr="005D3F3F" w:rsidRDefault="001A0BD7" w:rsidP="005D3F3F">
      <w:pPr>
        <w:pStyle w:val="a6"/>
        <w:numPr>
          <w:ilvl w:val="1"/>
          <w:numId w:val="1"/>
        </w:numPr>
        <w:tabs>
          <w:tab w:val="left" w:pos="1529"/>
        </w:tabs>
        <w:spacing w:before="73" w:line="360" w:lineRule="auto"/>
        <w:ind w:left="0" w:right="112" w:firstLine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Глущенко, Л.Ф. Перевод промышленно-отопительных котлов с парового на водогрейный режим [Текст] / Л.Ф. Глущенко, Л.С. Шевцов, Б.В.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Кунцевич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. – Киев: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Будивельник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>, 1982. – 56</w:t>
      </w:r>
      <w:r w:rsidRPr="005D3F3F">
        <w:rPr>
          <w:rFonts w:asciiTheme="minorHAnsi" w:hAnsiTheme="minorHAnsi" w:cstheme="minorHAnsi"/>
          <w:spacing w:val="-1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с.</w:t>
      </w:r>
    </w:p>
    <w:p w:rsidR="001A0BD7" w:rsidRPr="005D3F3F" w:rsidRDefault="001A0BD7" w:rsidP="005D3F3F">
      <w:pPr>
        <w:pStyle w:val="a6"/>
        <w:numPr>
          <w:ilvl w:val="1"/>
          <w:numId w:val="1"/>
        </w:numPr>
        <w:tabs>
          <w:tab w:val="left" w:pos="1511"/>
        </w:tabs>
        <w:spacing w:line="360" w:lineRule="auto"/>
        <w:ind w:left="0" w:right="0" w:firstLine="567"/>
        <w:rPr>
          <w:rFonts w:asciiTheme="minorHAnsi" w:hAnsiTheme="minorHAnsi" w:cstheme="minorHAnsi"/>
          <w:sz w:val="28"/>
          <w:szCs w:val="28"/>
          <w:lang w:val="ru-RU"/>
        </w:rPr>
      </w:pPr>
      <w:proofErr w:type="spellStart"/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Войницкий</w:t>
      </w:r>
      <w:proofErr w:type="spellEnd"/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,</w:t>
      </w:r>
      <w:r w:rsidRPr="005D3F3F">
        <w:rPr>
          <w:rFonts w:asciiTheme="minorHAnsi" w:hAnsiTheme="minorHAnsi" w:cstheme="minorHAnsi"/>
          <w:spacing w:val="22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5"/>
          <w:sz w:val="28"/>
          <w:szCs w:val="28"/>
          <w:lang w:val="ru-RU"/>
        </w:rPr>
        <w:t>С.Ф.</w:t>
      </w:r>
      <w:r w:rsidRPr="005D3F3F">
        <w:rPr>
          <w:rFonts w:asciiTheme="minorHAnsi" w:hAnsiTheme="minorHAnsi" w:cstheme="minorHAnsi"/>
          <w:spacing w:val="23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Перевод</w:t>
      </w:r>
      <w:r w:rsidRPr="005D3F3F">
        <w:rPr>
          <w:rFonts w:asciiTheme="minorHAnsi" w:hAnsiTheme="minorHAnsi" w:cstheme="minorHAnsi"/>
          <w:spacing w:val="22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паровых</w:t>
      </w:r>
      <w:r w:rsidRPr="005D3F3F">
        <w:rPr>
          <w:rFonts w:asciiTheme="minorHAnsi" w:hAnsiTheme="minorHAnsi" w:cstheme="minorHAnsi"/>
          <w:spacing w:val="23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5"/>
          <w:sz w:val="28"/>
          <w:szCs w:val="28"/>
          <w:lang w:val="ru-RU"/>
        </w:rPr>
        <w:t>котлов</w:t>
      </w:r>
      <w:r w:rsidRPr="005D3F3F">
        <w:rPr>
          <w:rFonts w:asciiTheme="minorHAnsi" w:hAnsiTheme="minorHAnsi" w:cstheme="minorHAnsi"/>
          <w:spacing w:val="20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3"/>
          <w:sz w:val="28"/>
          <w:szCs w:val="28"/>
          <w:lang w:val="ru-RU"/>
        </w:rPr>
        <w:t>на</w:t>
      </w:r>
      <w:r w:rsidRPr="005D3F3F">
        <w:rPr>
          <w:rFonts w:asciiTheme="minorHAnsi" w:hAnsiTheme="minorHAnsi" w:cstheme="minorHAnsi"/>
          <w:spacing w:val="22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водогрейный</w:t>
      </w:r>
      <w:r w:rsidRPr="005D3F3F">
        <w:rPr>
          <w:rFonts w:asciiTheme="minorHAnsi" w:hAnsiTheme="minorHAnsi" w:cstheme="minorHAnsi"/>
          <w:spacing w:val="23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5"/>
          <w:sz w:val="28"/>
          <w:szCs w:val="28"/>
          <w:lang w:val="ru-RU"/>
        </w:rPr>
        <w:t>режим</w:t>
      </w:r>
      <w:r w:rsidRPr="005D3F3F">
        <w:rPr>
          <w:rFonts w:asciiTheme="minorHAnsi" w:hAnsiTheme="minorHAnsi" w:cstheme="minorHAnsi"/>
          <w:spacing w:val="23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5"/>
          <w:sz w:val="28"/>
          <w:szCs w:val="28"/>
          <w:lang w:val="ru-RU"/>
        </w:rPr>
        <w:t>работы</w:t>
      </w:r>
      <w:r w:rsidRPr="005D3F3F">
        <w:rPr>
          <w:rFonts w:asciiTheme="minorHAnsi" w:hAnsiTheme="minorHAnsi" w:cstheme="minorHAnsi"/>
          <w:spacing w:val="20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>[Текст]</w:t>
      </w:r>
      <w:r w:rsidRPr="005D3F3F">
        <w:rPr>
          <w:rFonts w:asciiTheme="minorHAnsi" w:hAnsiTheme="minorHAnsi" w:cstheme="minorHAnsi"/>
          <w:spacing w:val="19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/</w:t>
      </w:r>
    </w:p>
    <w:p w:rsidR="001A0BD7" w:rsidRPr="005D3F3F" w:rsidRDefault="001A0BD7" w:rsidP="005D3F3F">
      <w:pPr>
        <w:pStyle w:val="a3"/>
        <w:spacing w:before="1" w:line="360" w:lineRule="auto"/>
        <w:ind w:firstLine="567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С.Ф.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Войницкий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>, Я.М. Щелоков // Промышленная энергетика. – 1970. – №4. – С. 23–25.</w:t>
      </w:r>
    </w:p>
    <w:p w:rsidR="001A0BD7" w:rsidRPr="005D3F3F" w:rsidRDefault="001A0BD7" w:rsidP="005D3F3F">
      <w:pPr>
        <w:pStyle w:val="a6"/>
        <w:numPr>
          <w:ilvl w:val="1"/>
          <w:numId w:val="1"/>
        </w:numPr>
        <w:tabs>
          <w:tab w:val="left" w:pos="1529"/>
        </w:tabs>
        <w:spacing w:before="2" w:line="360" w:lineRule="auto"/>
        <w:ind w:left="0" w:right="112" w:firstLine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Крючков, Е.Н. Опыт эксплуатации котлов типа ДКВР на водогрейном режиме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 xml:space="preserve">[Текст]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/ Е.Н. Крючков, Н.В.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Трикашный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>, В.К. Михайленко // Промышленная энергетика. – 1989. – №1. –</w:t>
      </w:r>
      <w:r w:rsidRPr="005D3F3F">
        <w:rPr>
          <w:rFonts w:asciiTheme="minorHAnsi" w:hAnsiTheme="minorHAnsi" w:cstheme="minorHAnsi"/>
          <w:spacing w:val="-1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С.20–21.</w:t>
      </w:r>
    </w:p>
    <w:p w:rsidR="001A0BD7" w:rsidRPr="005D3F3F" w:rsidRDefault="001A0BD7" w:rsidP="005D3F3F">
      <w:pPr>
        <w:pStyle w:val="a6"/>
        <w:numPr>
          <w:ilvl w:val="1"/>
          <w:numId w:val="1"/>
        </w:numPr>
        <w:tabs>
          <w:tab w:val="left" w:pos="1529"/>
        </w:tabs>
        <w:spacing w:line="360" w:lineRule="auto"/>
        <w:ind w:left="0" w:firstLine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r w:rsidRPr="005D3F3F">
        <w:rPr>
          <w:rFonts w:asciiTheme="minorHAnsi" w:hAnsiTheme="minorHAnsi" w:cstheme="minorHAnsi"/>
          <w:sz w:val="28"/>
          <w:szCs w:val="28"/>
          <w:lang w:val="ru-RU"/>
        </w:rPr>
        <w:t>Васильев, А.В. Новая схема перевода паровых котлов типа ДКВР на вод</w:t>
      </w:r>
      <w:proofErr w:type="gram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о-</w:t>
      </w:r>
      <w:proofErr w:type="gram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грейный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 режим работы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 xml:space="preserve">[Текст]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/ А.В. Васильев, Г.В. Антропов, Ю.И. Акимов // Новости теплоснабжения. – 2002. – № 11. – С.</w:t>
      </w:r>
      <w:r w:rsidRPr="005D3F3F">
        <w:rPr>
          <w:rFonts w:asciiTheme="minorHAnsi" w:hAnsiTheme="minorHAnsi" w:cstheme="minorHAnsi"/>
          <w:spacing w:val="-4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25–28.</w:t>
      </w:r>
    </w:p>
    <w:p w:rsidR="001A0BD7" w:rsidRPr="005D3F3F" w:rsidRDefault="001A0BD7" w:rsidP="005D3F3F">
      <w:pPr>
        <w:pStyle w:val="a6"/>
        <w:numPr>
          <w:ilvl w:val="1"/>
          <w:numId w:val="1"/>
        </w:numPr>
        <w:tabs>
          <w:tab w:val="left" w:pos="1529"/>
        </w:tabs>
        <w:spacing w:line="360" w:lineRule="auto"/>
        <w:ind w:left="0" w:firstLine="567"/>
        <w:jc w:val="both"/>
        <w:rPr>
          <w:rFonts w:asciiTheme="minorHAnsi" w:hAnsiTheme="minorHAnsi" w:cstheme="minorHAnsi"/>
          <w:sz w:val="28"/>
          <w:szCs w:val="28"/>
          <w:lang w:val="ru-RU"/>
        </w:rPr>
      </w:pP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Роддатис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, К.Ф. Котельные установки </w:t>
      </w:r>
      <w:r w:rsidRPr="005D3F3F">
        <w:rPr>
          <w:rFonts w:asciiTheme="minorHAnsi" w:hAnsiTheme="minorHAnsi" w:cstheme="minorHAnsi"/>
          <w:spacing w:val="-6"/>
          <w:sz w:val="28"/>
          <w:szCs w:val="28"/>
          <w:lang w:val="ru-RU"/>
        </w:rPr>
        <w:t xml:space="preserve">[Текст]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 xml:space="preserve">/ К.Ф. </w:t>
      </w:r>
      <w:proofErr w:type="spellStart"/>
      <w:r w:rsidRPr="005D3F3F">
        <w:rPr>
          <w:rFonts w:asciiTheme="minorHAnsi" w:hAnsiTheme="minorHAnsi" w:cstheme="minorHAnsi"/>
          <w:sz w:val="28"/>
          <w:szCs w:val="28"/>
          <w:lang w:val="ru-RU"/>
        </w:rPr>
        <w:t>Роддатис</w:t>
      </w:r>
      <w:proofErr w:type="spellEnd"/>
      <w:r w:rsidRPr="005D3F3F">
        <w:rPr>
          <w:rFonts w:asciiTheme="minorHAnsi" w:hAnsiTheme="minorHAnsi" w:cstheme="minorHAnsi"/>
          <w:sz w:val="28"/>
          <w:szCs w:val="28"/>
          <w:lang w:val="ru-RU"/>
        </w:rPr>
        <w:t>. – М.: Энергия, 1977. – 432</w:t>
      </w:r>
      <w:r w:rsidRPr="005D3F3F">
        <w:rPr>
          <w:rFonts w:asciiTheme="minorHAnsi" w:hAnsiTheme="minorHAnsi" w:cstheme="minorHAnsi"/>
          <w:spacing w:val="-1"/>
          <w:sz w:val="28"/>
          <w:szCs w:val="28"/>
          <w:lang w:val="ru-RU"/>
        </w:rPr>
        <w:t xml:space="preserve"> </w:t>
      </w:r>
      <w:r w:rsidRPr="005D3F3F">
        <w:rPr>
          <w:rFonts w:asciiTheme="minorHAnsi" w:hAnsiTheme="minorHAnsi" w:cstheme="minorHAnsi"/>
          <w:sz w:val="28"/>
          <w:szCs w:val="28"/>
          <w:lang w:val="ru-RU"/>
        </w:rPr>
        <w:t>с.</w:t>
      </w:r>
    </w:p>
    <w:p w:rsidR="009164AB" w:rsidRDefault="009164AB" w:rsidP="005D3F3F">
      <w:pPr>
        <w:pStyle w:val="a3"/>
        <w:spacing w:before="20"/>
        <w:jc w:val="both"/>
        <w:rPr>
          <w:rFonts w:asciiTheme="minorHAnsi" w:hAnsiTheme="minorHAnsi" w:cstheme="minorHAnsi"/>
          <w:lang w:val="ru-RU"/>
        </w:rPr>
      </w:pPr>
    </w:p>
    <w:p w:rsidR="003D2A16" w:rsidRPr="003D2A16" w:rsidRDefault="003D2A16" w:rsidP="005D3F3F">
      <w:pPr>
        <w:pStyle w:val="a3"/>
        <w:spacing w:before="20"/>
        <w:jc w:val="both"/>
        <w:rPr>
          <w:rFonts w:asciiTheme="minorHAnsi" w:hAnsiTheme="minorHAnsi" w:cstheme="minorHAnsi"/>
          <w:sz w:val="24"/>
          <w:szCs w:val="24"/>
          <w:lang w:val="ru-RU"/>
        </w:rPr>
        <w:sectPr w:rsidR="003D2A16" w:rsidRPr="003D2A16" w:rsidSect="00FE28C1">
          <w:type w:val="continuous"/>
          <w:pgSz w:w="11910" w:h="16840"/>
          <w:pgMar w:top="1280" w:right="1300" w:bottom="1120" w:left="1300" w:header="720" w:footer="720" w:gutter="0"/>
          <w:cols w:space="720"/>
        </w:sectPr>
      </w:pPr>
      <w:r w:rsidRPr="003D2A16">
        <w:rPr>
          <w:rFonts w:asciiTheme="minorHAnsi" w:hAnsiTheme="minorHAnsi" w:cstheme="minorHAnsi"/>
          <w:sz w:val="24"/>
          <w:szCs w:val="24"/>
          <w:lang w:val="ru-RU"/>
        </w:rPr>
        <w:t xml:space="preserve">Информация о себе: </w:t>
      </w:r>
      <w:proofErr w:type="spellStart"/>
      <w:r w:rsidRPr="003D2A16">
        <w:rPr>
          <w:rFonts w:asciiTheme="minorHAnsi" w:hAnsiTheme="minorHAnsi" w:cstheme="minorHAnsi"/>
          <w:sz w:val="24"/>
          <w:szCs w:val="24"/>
          <w:lang w:val="ru-RU"/>
        </w:rPr>
        <w:t>Бухольцев</w:t>
      </w:r>
      <w:proofErr w:type="spellEnd"/>
      <w:r w:rsidRPr="003D2A16">
        <w:rPr>
          <w:rFonts w:asciiTheme="minorHAnsi" w:hAnsiTheme="minorHAnsi" w:cstheme="minorHAnsi"/>
          <w:sz w:val="24"/>
          <w:szCs w:val="24"/>
          <w:lang w:val="ru-RU"/>
        </w:rPr>
        <w:t xml:space="preserve"> Евгений Алексеевич, +79112402417, </w:t>
      </w:r>
      <w:proofErr w:type="spellStart"/>
      <w:r w:rsidRPr="003D2A16">
        <w:rPr>
          <w:rFonts w:asciiTheme="minorHAnsi" w:hAnsiTheme="minorHAnsi" w:cstheme="minorHAnsi"/>
          <w:sz w:val="24"/>
          <w:szCs w:val="24"/>
        </w:rPr>
        <w:t>Bukholtsev</w:t>
      </w:r>
      <w:proofErr w:type="spellEnd"/>
      <w:r w:rsidRPr="003D2A16">
        <w:rPr>
          <w:rFonts w:asciiTheme="minorHAnsi" w:hAnsiTheme="minorHAnsi" w:cstheme="minorHAnsi"/>
          <w:sz w:val="24"/>
          <w:szCs w:val="24"/>
          <w:lang w:val="ru-RU"/>
        </w:rPr>
        <w:t>@</w:t>
      </w:r>
      <w:r w:rsidRPr="003D2A16">
        <w:rPr>
          <w:rFonts w:asciiTheme="minorHAnsi" w:hAnsiTheme="minorHAnsi" w:cstheme="minorHAnsi"/>
          <w:sz w:val="24"/>
          <w:szCs w:val="24"/>
        </w:rPr>
        <w:t>mail</w:t>
      </w:r>
      <w:r w:rsidRPr="003D2A16">
        <w:rPr>
          <w:rFonts w:asciiTheme="minorHAnsi" w:hAnsiTheme="minorHAnsi" w:cstheme="minorHAnsi"/>
          <w:sz w:val="24"/>
          <w:szCs w:val="24"/>
          <w:lang w:val="ru-RU"/>
        </w:rPr>
        <w:t>.</w:t>
      </w:r>
      <w:proofErr w:type="spellStart"/>
      <w:r w:rsidRPr="003D2A16">
        <w:rPr>
          <w:rFonts w:asciiTheme="minorHAnsi" w:hAnsiTheme="minorHAnsi" w:cstheme="minorHAnsi"/>
          <w:sz w:val="24"/>
          <w:szCs w:val="24"/>
        </w:rPr>
        <w:t>ru</w:t>
      </w:r>
      <w:proofErr w:type="spellEnd"/>
    </w:p>
    <w:p w:rsidR="00AB3F68" w:rsidRDefault="00AB3F68" w:rsidP="003D2A16">
      <w:bookmarkStart w:id="0" w:name="_GoBack"/>
      <w:bookmarkEnd w:id="0"/>
    </w:p>
    <w:sectPr w:rsidR="00AB3F68" w:rsidSect="007D7F67">
      <w:pgSz w:w="11906" w:h="16838"/>
      <w:pgMar w:top="1134" w:right="850" w:bottom="1542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F1725D"/>
    <w:multiLevelType w:val="hybridMultilevel"/>
    <w:tmpl w:val="CB644AB8"/>
    <w:lvl w:ilvl="0" w:tplc="F0DCCA12">
      <w:numFmt w:val="bullet"/>
      <w:lvlText w:val="*"/>
      <w:lvlJc w:val="left"/>
      <w:pPr>
        <w:ind w:left="118" w:hanging="138"/>
      </w:pPr>
      <w:rPr>
        <w:rFonts w:ascii="Times New Roman" w:eastAsia="Times New Roman" w:hAnsi="Times New Roman" w:cs="Times New Roman" w:hint="default"/>
        <w:w w:val="99"/>
        <w:position w:val="9"/>
        <w:sz w:val="13"/>
        <w:szCs w:val="13"/>
      </w:rPr>
    </w:lvl>
    <w:lvl w:ilvl="1" w:tplc="F53A6800">
      <w:start w:val="1"/>
      <w:numFmt w:val="decimal"/>
      <w:lvlText w:val="%2."/>
      <w:lvlJc w:val="left"/>
      <w:pPr>
        <w:ind w:left="647" w:hanging="221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</w:rPr>
    </w:lvl>
    <w:lvl w:ilvl="2" w:tplc="4B2648D6">
      <w:numFmt w:val="bullet"/>
      <w:lvlText w:val="•"/>
      <w:lvlJc w:val="left"/>
      <w:pPr>
        <w:ind w:left="1240" w:hanging="221"/>
      </w:pPr>
      <w:rPr>
        <w:rFonts w:hint="default"/>
      </w:rPr>
    </w:lvl>
    <w:lvl w:ilvl="3" w:tplc="994C9306">
      <w:numFmt w:val="bullet"/>
      <w:lvlText w:val="•"/>
      <w:lvlJc w:val="left"/>
      <w:pPr>
        <w:ind w:left="5820" w:hanging="221"/>
      </w:pPr>
      <w:rPr>
        <w:rFonts w:hint="default"/>
      </w:rPr>
    </w:lvl>
    <w:lvl w:ilvl="4" w:tplc="CE148062">
      <w:numFmt w:val="bullet"/>
      <w:lvlText w:val="•"/>
      <w:lvlJc w:val="left"/>
      <w:pPr>
        <w:ind w:left="6317" w:hanging="221"/>
      </w:pPr>
      <w:rPr>
        <w:rFonts w:hint="default"/>
      </w:rPr>
    </w:lvl>
    <w:lvl w:ilvl="5" w:tplc="A32C7044">
      <w:numFmt w:val="bullet"/>
      <w:lvlText w:val="•"/>
      <w:lvlJc w:val="left"/>
      <w:pPr>
        <w:ind w:left="6815" w:hanging="221"/>
      </w:pPr>
      <w:rPr>
        <w:rFonts w:hint="default"/>
      </w:rPr>
    </w:lvl>
    <w:lvl w:ilvl="6" w:tplc="7C1CD666">
      <w:numFmt w:val="bullet"/>
      <w:lvlText w:val="•"/>
      <w:lvlJc w:val="left"/>
      <w:pPr>
        <w:ind w:left="7313" w:hanging="221"/>
      </w:pPr>
      <w:rPr>
        <w:rFonts w:hint="default"/>
      </w:rPr>
    </w:lvl>
    <w:lvl w:ilvl="7" w:tplc="AA68EFFE">
      <w:numFmt w:val="bullet"/>
      <w:lvlText w:val="•"/>
      <w:lvlJc w:val="left"/>
      <w:pPr>
        <w:ind w:left="7811" w:hanging="221"/>
      </w:pPr>
      <w:rPr>
        <w:rFonts w:hint="default"/>
      </w:rPr>
    </w:lvl>
    <w:lvl w:ilvl="8" w:tplc="A656E55A">
      <w:numFmt w:val="bullet"/>
      <w:lvlText w:val="•"/>
      <w:lvlJc w:val="left"/>
      <w:pPr>
        <w:ind w:left="8308" w:hanging="221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7659"/>
    <w:rsid w:val="00097659"/>
    <w:rsid w:val="001A0BD7"/>
    <w:rsid w:val="00234D11"/>
    <w:rsid w:val="002A35CC"/>
    <w:rsid w:val="002F13DA"/>
    <w:rsid w:val="003D2A16"/>
    <w:rsid w:val="003F6207"/>
    <w:rsid w:val="00590955"/>
    <w:rsid w:val="005D3F3F"/>
    <w:rsid w:val="007D7F67"/>
    <w:rsid w:val="009164AB"/>
    <w:rsid w:val="009B45D7"/>
    <w:rsid w:val="00AB3F68"/>
    <w:rsid w:val="00AF02DD"/>
    <w:rsid w:val="00C3292B"/>
    <w:rsid w:val="00C74FC8"/>
    <w:rsid w:val="00C81E64"/>
    <w:rsid w:val="00D06C6D"/>
    <w:rsid w:val="00E854CA"/>
    <w:rsid w:val="00EA47F5"/>
    <w:rsid w:val="00F82227"/>
    <w:rsid w:val="00F83D14"/>
    <w:rsid w:val="00FE2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64"/>
  </w:style>
  <w:style w:type="paragraph" w:styleId="2">
    <w:name w:val="heading 2"/>
    <w:basedOn w:val="a"/>
    <w:link w:val="20"/>
    <w:uiPriority w:val="1"/>
    <w:qFormat/>
    <w:rsid w:val="00C81E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81E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E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1E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0976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97659"/>
    <w:rPr>
      <w:rFonts w:ascii="Times New Roman" w:eastAsia="Times New Roman" w:hAnsi="Times New Roman" w:cs="Times New Roman"/>
      <w:lang w:val="en-US"/>
    </w:rPr>
  </w:style>
  <w:style w:type="paragraph" w:styleId="a5">
    <w:name w:val="caption"/>
    <w:basedOn w:val="a"/>
    <w:next w:val="a"/>
    <w:uiPriority w:val="35"/>
    <w:unhideWhenUsed/>
    <w:qFormat/>
    <w:rsid w:val="009164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List Paragraph"/>
    <w:basedOn w:val="a"/>
    <w:uiPriority w:val="1"/>
    <w:qFormat/>
    <w:rsid w:val="001A0BD7"/>
    <w:pPr>
      <w:widowControl w:val="0"/>
      <w:autoSpaceDE w:val="0"/>
      <w:autoSpaceDN w:val="0"/>
      <w:spacing w:before="4" w:after="0" w:line="240" w:lineRule="auto"/>
      <w:ind w:left="968" w:right="113" w:firstLine="339"/>
    </w:pPr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7D7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F67"/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1E64"/>
  </w:style>
  <w:style w:type="paragraph" w:styleId="2">
    <w:name w:val="heading 2"/>
    <w:basedOn w:val="a"/>
    <w:link w:val="20"/>
    <w:uiPriority w:val="1"/>
    <w:qFormat/>
    <w:rsid w:val="00C81E64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4">
    <w:name w:val="heading 4"/>
    <w:basedOn w:val="a"/>
    <w:link w:val="40"/>
    <w:uiPriority w:val="9"/>
    <w:qFormat/>
    <w:rsid w:val="00C81E64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C81E64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C81E64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3">
    <w:name w:val="Body Text"/>
    <w:basedOn w:val="a"/>
    <w:link w:val="a4"/>
    <w:uiPriority w:val="1"/>
    <w:qFormat/>
    <w:rsid w:val="00097659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/>
    </w:rPr>
  </w:style>
  <w:style w:type="character" w:customStyle="1" w:styleId="a4">
    <w:name w:val="Основной текст Знак"/>
    <w:basedOn w:val="a0"/>
    <w:link w:val="a3"/>
    <w:uiPriority w:val="1"/>
    <w:rsid w:val="00097659"/>
    <w:rPr>
      <w:rFonts w:ascii="Times New Roman" w:eastAsia="Times New Roman" w:hAnsi="Times New Roman" w:cs="Times New Roman"/>
      <w:lang w:val="en-US"/>
    </w:rPr>
  </w:style>
  <w:style w:type="paragraph" w:styleId="a5">
    <w:name w:val="caption"/>
    <w:basedOn w:val="a"/>
    <w:next w:val="a"/>
    <w:uiPriority w:val="35"/>
    <w:unhideWhenUsed/>
    <w:qFormat/>
    <w:rsid w:val="009164AB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6">
    <w:name w:val="List Paragraph"/>
    <w:basedOn w:val="a"/>
    <w:uiPriority w:val="1"/>
    <w:qFormat/>
    <w:rsid w:val="001A0BD7"/>
    <w:pPr>
      <w:widowControl w:val="0"/>
      <w:autoSpaceDE w:val="0"/>
      <w:autoSpaceDN w:val="0"/>
      <w:spacing w:before="4" w:after="0" w:line="240" w:lineRule="auto"/>
      <w:ind w:left="968" w:right="113" w:firstLine="339"/>
    </w:pPr>
    <w:rPr>
      <w:rFonts w:ascii="Times New Roman" w:eastAsia="Times New Roman" w:hAnsi="Times New Roman" w:cs="Times New Roman"/>
      <w:lang w:val="en-US"/>
    </w:rPr>
  </w:style>
  <w:style w:type="paragraph" w:styleId="HTML">
    <w:name w:val="HTML Preformatted"/>
    <w:basedOn w:val="a"/>
    <w:link w:val="HTML0"/>
    <w:uiPriority w:val="99"/>
    <w:semiHidden/>
    <w:unhideWhenUsed/>
    <w:rsid w:val="007D7F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7D7F67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09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Классическая">
      <a:majorFont>
        <a:latin typeface="Arial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Times New Roman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34D12F-9288-41F1-8083-7F7FAAEE47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7</Pages>
  <Words>1351</Words>
  <Characters>7707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17</cp:revision>
  <dcterms:created xsi:type="dcterms:W3CDTF">2018-05-30T13:02:00Z</dcterms:created>
  <dcterms:modified xsi:type="dcterms:W3CDTF">2018-05-31T14:25:00Z</dcterms:modified>
</cp:coreProperties>
</file>