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9D0" w:rsidRDefault="000F79D0" w:rsidP="000F79D0">
      <w:pPr>
        <w:jc w:val="right"/>
        <w:rPr>
          <w:b/>
          <w:bCs/>
          <w:i/>
          <w:sz w:val="28"/>
          <w:szCs w:val="28"/>
        </w:rPr>
      </w:pPr>
      <w:bookmarkStart w:id="0" w:name="_Toc407013862"/>
      <w:r>
        <w:rPr>
          <w:b/>
          <w:bCs/>
          <w:i/>
          <w:sz w:val="28"/>
          <w:szCs w:val="28"/>
        </w:rPr>
        <w:t xml:space="preserve">В.А. </w:t>
      </w:r>
      <w:proofErr w:type="spellStart"/>
      <w:r>
        <w:rPr>
          <w:b/>
          <w:bCs/>
          <w:i/>
          <w:sz w:val="28"/>
          <w:szCs w:val="28"/>
        </w:rPr>
        <w:t>Порубова</w:t>
      </w:r>
      <w:proofErr w:type="spellEnd"/>
      <w:r>
        <w:rPr>
          <w:b/>
          <w:bCs/>
          <w:i/>
          <w:sz w:val="28"/>
          <w:szCs w:val="28"/>
        </w:rPr>
        <w:t>,</w:t>
      </w:r>
    </w:p>
    <w:bookmarkEnd w:id="0"/>
    <w:p w:rsidR="000F79D0" w:rsidRDefault="000F79D0" w:rsidP="000F79D0">
      <w:pPr>
        <w:ind w:firstLine="709"/>
        <w:jc w:val="right"/>
        <w:rPr>
          <w:b/>
          <w:i/>
          <w:color w:val="000000"/>
          <w:sz w:val="28"/>
          <w:szCs w:val="28"/>
          <w:shd w:val="clear" w:color="auto" w:fill="FFFFFF"/>
        </w:rPr>
      </w:pPr>
      <w:r>
        <w:rPr>
          <w:b/>
          <w:i/>
          <w:color w:val="000000"/>
          <w:sz w:val="28"/>
          <w:szCs w:val="28"/>
          <w:shd w:val="clear" w:color="auto" w:fill="FFFFFF"/>
        </w:rPr>
        <w:t xml:space="preserve">Психолого-педагогический институт </w:t>
      </w:r>
    </w:p>
    <w:p w:rsidR="000F79D0" w:rsidRDefault="000F79D0" w:rsidP="000F79D0">
      <w:pPr>
        <w:ind w:firstLine="709"/>
        <w:jc w:val="right"/>
        <w:rPr>
          <w:b/>
          <w:i/>
          <w:sz w:val="28"/>
          <w:szCs w:val="28"/>
        </w:rPr>
      </w:pPr>
      <w:r>
        <w:rPr>
          <w:b/>
          <w:i/>
          <w:sz w:val="28"/>
          <w:szCs w:val="28"/>
        </w:rPr>
        <w:t xml:space="preserve">Мурманский арктический государственный университет, </w:t>
      </w:r>
    </w:p>
    <w:p w:rsidR="000F79D0" w:rsidRDefault="000F79D0" w:rsidP="000F79D0">
      <w:pPr>
        <w:ind w:firstLine="709"/>
        <w:jc w:val="right"/>
        <w:rPr>
          <w:b/>
          <w:i/>
          <w:sz w:val="28"/>
          <w:szCs w:val="28"/>
        </w:rPr>
      </w:pPr>
      <w:r>
        <w:rPr>
          <w:b/>
          <w:i/>
          <w:sz w:val="28"/>
          <w:szCs w:val="28"/>
        </w:rPr>
        <w:t xml:space="preserve">г. Мурманск, Россия </w:t>
      </w:r>
    </w:p>
    <w:p w:rsidR="000F79D0" w:rsidRDefault="000F79D0" w:rsidP="000F79D0">
      <w:pPr>
        <w:pStyle w:val="1"/>
        <w:rPr>
          <w:b/>
          <w:caps/>
          <w:sz w:val="28"/>
          <w:szCs w:val="28"/>
          <w:u w:val="none"/>
        </w:rPr>
      </w:pPr>
    </w:p>
    <w:p w:rsidR="000F79D0" w:rsidRDefault="000F79D0" w:rsidP="000F79D0">
      <w:pPr>
        <w:pStyle w:val="1"/>
        <w:rPr>
          <w:b/>
          <w:caps/>
          <w:sz w:val="28"/>
          <w:szCs w:val="28"/>
          <w:u w:val="none"/>
        </w:rPr>
      </w:pPr>
    </w:p>
    <w:p w:rsidR="000F79D0" w:rsidRDefault="000F79D0" w:rsidP="000F79D0">
      <w:pPr>
        <w:pStyle w:val="1"/>
        <w:rPr>
          <w:b/>
          <w:sz w:val="28"/>
          <w:szCs w:val="28"/>
          <w:u w:val="none"/>
        </w:rPr>
      </w:pPr>
      <w:r>
        <w:rPr>
          <w:b/>
          <w:caps/>
          <w:sz w:val="28"/>
          <w:szCs w:val="28"/>
          <w:u w:val="none"/>
        </w:rPr>
        <w:t>Направление вектора в формировании  профессионального самоопределения  молодежи в районах Крайнего Севера: проблемы, пути решения</w:t>
      </w:r>
    </w:p>
    <w:p w:rsidR="000F79D0" w:rsidRDefault="000F79D0" w:rsidP="000F79D0">
      <w:pPr>
        <w:ind w:firstLine="709"/>
        <w:rPr>
          <w:sz w:val="28"/>
          <w:szCs w:val="28"/>
          <w:lang w:eastAsia="zh-CN"/>
        </w:rPr>
      </w:pPr>
    </w:p>
    <w:p w:rsidR="000F79D0" w:rsidRDefault="000F79D0" w:rsidP="000F79D0">
      <w:pPr>
        <w:ind w:firstLine="708"/>
        <w:jc w:val="both"/>
        <w:rPr>
          <w:b/>
          <w:i/>
          <w:sz w:val="28"/>
          <w:szCs w:val="28"/>
        </w:rPr>
      </w:pPr>
      <w:bookmarkStart w:id="1" w:name="_Toc407010954"/>
      <w:bookmarkStart w:id="2" w:name="_Toc407013865"/>
      <w:r>
        <w:rPr>
          <w:b/>
          <w:i/>
          <w:snapToGrid w:val="0"/>
          <w:sz w:val="28"/>
          <w:szCs w:val="28"/>
        </w:rPr>
        <w:t xml:space="preserve">Аннотация. </w:t>
      </w:r>
      <w:bookmarkEnd w:id="1"/>
      <w:bookmarkEnd w:id="2"/>
      <w:r>
        <w:rPr>
          <w:b/>
          <w:i/>
          <w:snapToGrid w:val="0"/>
          <w:sz w:val="28"/>
          <w:szCs w:val="28"/>
        </w:rPr>
        <w:t>В статье рассмотрены</w:t>
      </w:r>
      <w:r>
        <w:rPr>
          <w:b/>
          <w:i/>
          <w:sz w:val="28"/>
          <w:szCs w:val="28"/>
          <w:lang w:eastAsia="ru-RU"/>
        </w:rPr>
        <w:t xml:space="preserve"> ведущие стратегии современного образования, направленного на реализацию личностного и профессионального потенциала молодежи региона в различных видах профессиональной деятельности, а также определены </w:t>
      </w:r>
      <w:r>
        <w:rPr>
          <w:b/>
          <w:i/>
          <w:sz w:val="28"/>
          <w:szCs w:val="28"/>
        </w:rPr>
        <w:t>современные представления о закономерностях профессионального самоопределения молодежи в районах Крайнего Севера в контексте трансформационных процессов.</w:t>
      </w:r>
    </w:p>
    <w:p w:rsidR="000F79D0" w:rsidRDefault="000F79D0" w:rsidP="000F79D0">
      <w:pPr>
        <w:pStyle w:val="a4"/>
        <w:ind w:firstLine="708"/>
        <w:rPr>
          <w:i/>
          <w:snapToGrid w:val="0"/>
          <w:sz w:val="28"/>
          <w:szCs w:val="28"/>
        </w:rPr>
      </w:pPr>
      <w:r>
        <w:rPr>
          <w:b/>
          <w:i/>
          <w:snapToGrid w:val="0"/>
          <w:sz w:val="28"/>
          <w:szCs w:val="28"/>
        </w:rPr>
        <w:t>Ключевые слова:</w:t>
      </w:r>
      <w:r>
        <w:rPr>
          <w:i/>
          <w:snapToGrid w:val="0"/>
          <w:sz w:val="28"/>
          <w:szCs w:val="28"/>
        </w:rPr>
        <w:t xml:space="preserve"> </w:t>
      </w:r>
      <w:r>
        <w:rPr>
          <w:b/>
          <w:i/>
          <w:snapToGrid w:val="0"/>
          <w:sz w:val="28"/>
          <w:szCs w:val="28"/>
        </w:rPr>
        <w:t xml:space="preserve">Профессиональное самоопределение, профессиональное развитие, молодежь, молодежная политика, человеческий капитал, </w:t>
      </w:r>
      <w:proofErr w:type="gramStart"/>
      <w:r>
        <w:rPr>
          <w:b/>
          <w:i/>
          <w:snapToGrid w:val="0"/>
          <w:sz w:val="28"/>
          <w:szCs w:val="28"/>
        </w:rPr>
        <w:t>образовательные</w:t>
      </w:r>
      <w:proofErr w:type="gramEnd"/>
      <w:r>
        <w:rPr>
          <w:b/>
          <w:i/>
          <w:snapToGrid w:val="0"/>
          <w:sz w:val="28"/>
          <w:szCs w:val="28"/>
        </w:rPr>
        <w:t xml:space="preserve"> учреждении, личностный и профессиональный потенциал.  </w:t>
      </w:r>
    </w:p>
    <w:p w:rsidR="000F79D0" w:rsidRDefault="000F79D0" w:rsidP="000F79D0">
      <w:pPr>
        <w:pStyle w:val="a4"/>
        <w:ind w:left="87" w:firstLine="567"/>
        <w:rPr>
          <w:i/>
          <w:snapToGrid w:val="0"/>
          <w:sz w:val="28"/>
          <w:szCs w:val="28"/>
        </w:rPr>
      </w:pPr>
    </w:p>
    <w:p w:rsidR="000F79D0" w:rsidRDefault="000F79D0" w:rsidP="000F79D0">
      <w:pPr>
        <w:pStyle w:val="13"/>
        <w:rPr>
          <w:rFonts w:ascii="Times New Roman" w:hAnsi="Times New Roman"/>
          <w:lang w:val="en-US"/>
        </w:rPr>
      </w:pPr>
      <w:r>
        <w:rPr>
          <w:rFonts w:ascii="Times New Roman" w:hAnsi="Times New Roman"/>
          <w:lang w:val="en-US"/>
        </w:rPr>
        <w:t xml:space="preserve">V.A. </w:t>
      </w:r>
      <w:proofErr w:type="spellStart"/>
      <w:r>
        <w:rPr>
          <w:rFonts w:ascii="Times New Roman" w:hAnsi="Times New Roman"/>
          <w:lang w:val="en-US"/>
        </w:rPr>
        <w:t>Porubova</w:t>
      </w:r>
      <w:proofErr w:type="spellEnd"/>
      <w:r>
        <w:rPr>
          <w:rFonts w:ascii="Times New Roman" w:hAnsi="Times New Roman"/>
          <w:lang w:val="en-US"/>
        </w:rPr>
        <w:t xml:space="preserve"> </w:t>
      </w:r>
    </w:p>
    <w:p w:rsidR="000F79D0" w:rsidRDefault="000F79D0" w:rsidP="000F79D0">
      <w:pPr>
        <w:pStyle w:val="13"/>
        <w:rPr>
          <w:rFonts w:ascii="Times New Roman" w:hAnsi="Times New Roman"/>
          <w:lang w:val="en-US"/>
        </w:rPr>
      </w:pPr>
      <w:r>
        <w:rPr>
          <w:rFonts w:ascii="Times New Roman" w:hAnsi="Times New Roman"/>
          <w:lang w:val="en-US"/>
        </w:rPr>
        <w:t>Psychology of management and organizational activity</w:t>
      </w:r>
    </w:p>
    <w:p w:rsidR="000F79D0" w:rsidRDefault="000F79D0" w:rsidP="000F79D0">
      <w:pPr>
        <w:pStyle w:val="13"/>
        <w:rPr>
          <w:rFonts w:ascii="Times New Roman" w:hAnsi="Times New Roman"/>
          <w:lang w:val="en-US"/>
        </w:rPr>
      </w:pPr>
      <w:r>
        <w:rPr>
          <w:rFonts w:ascii="Times New Roman" w:hAnsi="Times New Roman"/>
          <w:lang w:val="en-US"/>
        </w:rPr>
        <w:t>Psycho-Pedagogical Institute of Murmansk Arctic State University,</w:t>
      </w:r>
    </w:p>
    <w:p w:rsidR="000F79D0" w:rsidRDefault="000F79D0" w:rsidP="000F79D0">
      <w:pPr>
        <w:pStyle w:val="13"/>
        <w:rPr>
          <w:rFonts w:ascii="Times New Roman" w:hAnsi="Times New Roman"/>
        </w:rPr>
      </w:pPr>
      <w:r>
        <w:rPr>
          <w:rFonts w:ascii="Times New Roman" w:hAnsi="Times New Roman"/>
          <w:lang w:val="en-US"/>
        </w:rPr>
        <w:t>Murmansk</w:t>
      </w:r>
    </w:p>
    <w:p w:rsidR="000F79D0" w:rsidRDefault="000F79D0" w:rsidP="000F79D0">
      <w:pPr>
        <w:pStyle w:val="a4"/>
        <w:jc w:val="right"/>
        <w:rPr>
          <w:snapToGrid w:val="0"/>
          <w:sz w:val="28"/>
          <w:szCs w:val="28"/>
        </w:rPr>
      </w:pPr>
    </w:p>
    <w:p w:rsidR="000F79D0" w:rsidRDefault="000F79D0" w:rsidP="000F79D0">
      <w:pPr>
        <w:ind w:firstLine="709"/>
        <w:jc w:val="center"/>
        <w:rPr>
          <w:b/>
          <w:sz w:val="28"/>
          <w:szCs w:val="28"/>
          <w:lang w:val="en-US" w:eastAsia="zh-CN"/>
        </w:rPr>
      </w:pPr>
      <w:r>
        <w:rPr>
          <w:b/>
          <w:sz w:val="28"/>
          <w:szCs w:val="28"/>
          <w:lang w:val="en-US" w:eastAsia="zh-CN"/>
        </w:rPr>
        <w:t>DIRECTION OF VECTOR IN FORMING THE PROFESSIONAL SELF-DETERMINATION OF YOUTH IN THE AREAS OF THE EDGE NORTH: PROBLEMS, WAYS OF SOLUTION</w:t>
      </w:r>
    </w:p>
    <w:p w:rsidR="000F79D0" w:rsidRDefault="000F79D0" w:rsidP="000F79D0">
      <w:pPr>
        <w:pStyle w:val="a4"/>
        <w:rPr>
          <w:snapToGrid w:val="0"/>
          <w:sz w:val="28"/>
          <w:szCs w:val="28"/>
          <w:lang w:val="en-US"/>
        </w:rPr>
      </w:pPr>
    </w:p>
    <w:p w:rsidR="000F79D0" w:rsidRDefault="000F79D0" w:rsidP="000F79D0">
      <w:pPr>
        <w:ind w:firstLine="708"/>
        <w:jc w:val="both"/>
        <w:rPr>
          <w:b/>
          <w:i/>
          <w:sz w:val="28"/>
          <w:szCs w:val="28"/>
          <w:lang w:val="en-US"/>
        </w:rPr>
      </w:pPr>
      <w:proofErr w:type="gramStart"/>
      <w:r>
        <w:rPr>
          <w:b/>
          <w:i/>
          <w:snapToGrid w:val="0"/>
          <w:sz w:val="28"/>
          <w:szCs w:val="28"/>
          <w:lang w:val="en-US"/>
        </w:rPr>
        <w:t>Annotation.</w:t>
      </w:r>
      <w:proofErr w:type="gramEnd"/>
      <w:r>
        <w:rPr>
          <w:b/>
          <w:i/>
          <w:snapToGrid w:val="0"/>
          <w:sz w:val="28"/>
          <w:szCs w:val="28"/>
          <w:lang w:val="en-US"/>
        </w:rPr>
        <w:t xml:space="preserve"> The article considers the leading strategies of modern education which aimed to realize the personal and professional potential of the youth in the region in various types of professional activity, as well as modern ideas about the patterns of youth self-determination in the regions of the Far North in the context of transformation processes.</w:t>
      </w:r>
    </w:p>
    <w:p w:rsidR="000F79D0" w:rsidRDefault="000F79D0" w:rsidP="000F79D0">
      <w:pPr>
        <w:pStyle w:val="a3"/>
        <w:ind w:left="0" w:firstLine="709"/>
        <w:jc w:val="both"/>
        <w:outlineLvl w:val="1"/>
        <w:rPr>
          <w:bCs/>
          <w:i/>
          <w:iCs/>
          <w:sz w:val="28"/>
          <w:szCs w:val="28"/>
          <w:lang w:val="en-US"/>
        </w:rPr>
      </w:pPr>
      <w:r>
        <w:rPr>
          <w:b/>
          <w:i/>
          <w:snapToGrid w:val="0"/>
          <w:sz w:val="28"/>
          <w:szCs w:val="28"/>
          <w:lang w:val="en-US"/>
        </w:rPr>
        <w:t>Keywords:</w:t>
      </w:r>
      <w:r>
        <w:rPr>
          <w:sz w:val="28"/>
          <w:szCs w:val="28"/>
          <w:lang w:val="en-US"/>
        </w:rPr>
        <w:t xml:space="preserve"> </w:t>
      </w:r>
      <w:r>
        <w:rPr>
          <w:b/>
          <w:i/>
          <w:sz w:val="28"/>
          <w:szCs w:val="28"/>
          <w:lang w:val="en-US"/>
        </w:rPr>
        <w:t>Professional self-determination, professional development, youth, youth policy, human capital, educational institutions, personal and professional potential.</w:t>
      </w:r>
    </w:p>
    <w:p w:rsidR="000F79D0" w:rsidRDefault="000F79D0" w:rsidP="000F79D0">
      <w:pPr>
        <w:pStyle w:val="a4"/>
        <w:rPr>
          <w:snapToGrid w:val="0"/>
          <w:sz w:val="28"/>
          <w:szCs w:val="28"/>
          <w:lang w:val="en-US"/>
        </w:rPr>
      </w:pPr>
    </w:p>
    <w:p w:rsidR="000F79D0" w:rsidRDefault="000F79D0" w:rsidP="000F79D0">
      <w:pPr>
        <w:ind w:firstLine="709"/>
        <w:jc w:val="both"/>
        <w:rPr>
          <w:sz w:val="28"/>
          <w:szCs w:val="28"/>
        </w:rPr>
      </w:pPr>
      <w:r>
        <w:rPr>
          <w:sz w:val="28"/>
          <w:szCs w:val="28"/>
          <w:lang w:eastAsia="ru-RU"/>
        </w:rPr>
        <w:t xml:space="preserve">На современном этапе развития российского общества требования, предъявляемые к выпускникам профессиональных образовательных учреждений и определяющие социальный заказ государства довольно </w:t>
      </w:r>
      <w:r>
        <w:rPr>
          <w:sz w:val="28"/>
          <w:szCs w:val="28"/>
          <w:lang w:eastAsia="ru-RU"/>
        </w:rPr>
        <w:lastRenderedPageBreak/>
        <w:t>высоки. Это относится не только к уровню профессиональных знаний и умений, но и к профессионально-значимым качествам личности.</w:t>
      </w:r>
    </w:p>
    <w:p w:rsidR="000F79D0" w:rsidRDefault="000F79D0" w:rsidP="000F79D0">
      <w:pPr>
        <w:ind w:firstLine="709"/>
        <w:jc w:val="both"/>
        <w:rPr>
          <w:sz w:val="28"/>
          <w:szCs w:val="28"/>
        </w:rPr>
      </w:pPr>
      <w:r>
        <w:rPr>
          <w:sz w:val="28"/>
          <w:szCs w:val="28"/>
          <w:lang w:eastAsia="ru-RU"/>
        </w:rPr>
        <w:t>Актуальность исследования заключается</w:t>
      </w:r>
      <w:r>
        <w:rPr>
          <w:b/>
          <w:sz w:val="28"/>
          <w:szCs w:val="28"/>
          <w:lang w:eastAsia="ru-RU"/>
        </w:rPr>
        <w:t xml:space="preserve"> </w:t>
      </w:r>
      <w:r>
        <w:rPr>
          <w:sz w:val="28"/>
          <w:szCs w:val="28"/>
          <w:lang w:eastAsia="ru-RU"/>
        </w:rPr>
        <w:t xml:space="preserve">в ведущей стратегии современного образования, направленного на раскрытие личностного и профессионального потенциала каждого субъекта различных видов профессиональной деятельности. Современная парадигма высшего образования ориентирует всех участников образовательного процесса на максимальное раскрытие в человеке творческой самостоятельности, индивидуального своеобразия личности, на осмысление себя и других, на развитие способности быть субъектом профессионального определения и самореализации. Таким образом, личностно-профессиональное развитие студента становится одной из важнейших задач современного высшего образования, подлинная цель и стратегия которого основывается на личностной направленности. </w:t>
      </w:r>
    </w:p>
    <w:p w:rsidR="000F79D0" w:rsidRDefault="000F79D0" w:rsidP="000F79D0">
      <w:pPr>
        <w:ind w:firstLine="709"/>
        <w:jc w:val="both"/>
        <w:rPr>
          <w:sz w:val="28"/>
          <w:szCs w:val="28"/>
          <w:lang w:eastAsia="ru-RU"/>
        </w:rPr>
      </w:pPr>
      <w:r>
        <w:rPr>
          <w:sz w:val="28"/>
          <w:szCs w:val="28"/>
          <w:lang w:eastAsia="ru-RU"/>
        </w:rPr>
        <w:t xml:space="preserve">Психологические исследования в области </w:t>
      </w:r>
      <w:proofErr w:type="spellStart"/>
      <w:r>
        <w:rPr>
          <w:sz w:val="28"/>
          <w:szCs w:val="28"/>
          <w:lang w:eastAsia="ru-RU"/>
        </w:rPr>
        <w:t>карьерно-профессионального</w:t>
      </w:r>
      <w:proofErr w:type="spellEnd"/>
      <w:r>
        <w:rPr>
          <w:sz w:val="28"/>
          <w:szCs w:val="28"/>
          <w:lang w:eastAsia="ru-RU"/>
        </w:rPr>
        <w:t xml:space="preserve"> самоопределения личности достаточно разнообразны. Проблема самоопределения личности рассмотрена в трудах таких ученых как С.Л. Рубинштейн, </w:t>
      </w:r>
      <w:proofErr w:type="spellStart"/>
      <w:r>
        <w:rPr>
          <w:sz w:val="28"/>
          <w:szCs w:val="28"/>
          <w:lang w:eastAsia="ru-RU"/>
        </w:rPr>
        <w:t>Л.И.Божович</w:t>
      </w:r>
      <w:proofErr w:type="spellEnd"/>
      <w:r>
        <w:rPr>
          <w:sz w:val="28"/>
          <w:szCs w:val="28"/>
          <w:lang w:eastAsia="ru-RU"/>
        </w:rPr>
        <w:t xml:space="preserve">, А.В.Петровский. </w:t>
      </w:r>
      <w:proofErr w:type="gramStart"/>
      <w:r>
        <w:rPr>
          <w:sz w:val="28"/>
          <w:szCs w:val="28"/>
          <w:lang w:eastAsia="ru-RU"/>
        </w:rPr>
        <w:t xml:space="preserve">Проблемам юношеского возраста, связанным с социальным становлением личности, а также особенностям становления и развития современного студенчества посвящены исследования Л.И.Анциферовой, К.Штарке, </w:t>
      </w:r>
      <w:proofErr w:type="spellStart"/>
      <w:r>
        <w:rPr>
          <w:sz w:val="28"/>
          <w:szCs w:val="28"/>
          <w:lang w:eastAsia="ru-RU"/>
        </w:rPr>
        <w:t>Э.Эриксона</w:t>
      </w:r>
      <w:proofErr w:type="spellEnd"/>
      <w:r>
        <w:rPr>
          <w:sz w:val="28"/>
          <w:szCs w:val="28"/>
          <w:lang w:eastAsia="ru-RU"/>
        </w:rPr>
        <w:t xml:space="preserve"> и др.  Личностное и профессиональное становление и развитие студенческой молодежи в новых социально-экономических условиях России изучали </w:t>
      </w:r>
      <w:proofErr w:type="spellStart"/>
      <w:r>
        <w:rPr>
          <w:sz w:val="28"/>
          <w:szCs w:val="28"/>
          <w:lang w:eastAsia="ru-RU"/>
        </w:rPr>
        <w:t>К.А.Абульханова-Славская</w:t>
      </w:r>
      <w:proofErr w:type="spellEnd"/>
      <w:r>
        <w:rPr>
          <w:sz w:val="28"/>
          <w:szCs w:val="28"/>
          <w:lang w:eastAsia="ru-RU"/>
        </w:rPr>
        <w:t xml:space="preserve">, Н.Э.Касаткина, </w:t>
      </w:r>
      <w:proofErr w:type="spellStart"/>
      <w:r>
        <w:rPr>
          <w:sz w:val="28"/>
          <w:szCs w:val="28"/>
          <w:lang w:eastAsia="ru-RU"/>
        </w:rPr>
        <w:t>Б.Б.Коссов</w:t>
      </w:r>
      <w:proofErr w:type="spellEnd"/>
      <w:r>
        <w:rPr>
          <w:sz w:val="28"/>
          <w:szCs w:val="28"/>
          <w:lang w:eastAsia="ru-RU"/>
        </w:rPr>
        <w:t xml:space="preserve">, А.А.Крылов, </w:t>
      </w:r>
      <w:proofErr w:type="spellStart"/>
      <w:r>
        <w:rPr>
          <w:sz w:val="28"/>
          <w:szCs w:val="28"/>
          <w:lang w:eastAsia="ru-RU"/>
        </w:rPr>
        <w:t>Б.П.Невзоров</w:t>
      </w:r>
      <w:proofErr w:type="spellEnd"/>
      <w:r>
        <w:rPr>
          <w:sz w:val="28"/>
          <w:szCs w:val="28"/>
          <w:lang w:eastAsia="ru-RU"/>
        </w:rPr>
        <w:t xml:space="preserve">, </w:t>
      </w:r>
      <w:proofErr w:type="spellStart"/>
      <w:r>
        <w:rPr>
          <w:sz w:val="28"/>
          <w:szCs w:val="28"/>
          <w:lang w:eastAsia="ru-RU"/>
        </w:rPr>
        <w:t>Н.С.Пряжников</w:t>
      </w:r>
      <w:proofErr w:type="spellEnd"/>
      <w:r>
        <w:rPr>
          <w:sz w:val="28"/>
          <w:szCs w:val="28"/>
          <w:lang w:eastAsia="ru-RU"/>
        </w:rPr>
        <w:t xml:space="preserve">, </w:t>
      </w:r>
      <w:proofErr w:type="spellStart"/>
      <w:r>
        <w:rPr>
          <w:sz w:val="28"/>
          <w:szCs w:val="28"/>
          <w:lang w:eastAsia="ru-RU"/>
        </w:rPr>
        <w:t>Л.</w:t>
      </w:r>
      <w:proofErr w:type="gramEnd"/>
      <w:r>
        <w:rPr>
          <w:sz w:val="28"/>
          <w:szCs w:val="28"/>
          <w:lang w:eastAsia="ru-RU"/>
        </w:rPr>
        <w:t>В.Темнова</w:t>
      </w:r>
      <w:proofErr w:type="spellEnd"/>
      <w:r>
        <w:rPr>
          <w:sz w:val="28"/>
          <w:szCs w:val="28"/>
          <w:lang w:eastAsia="ru-RU"/>
        </w:rPr>
        <w:t xml:space="preserve">, С.Н.Чистякова и др. Таким образом, </w:t>
      </w:r>
      <w:r>
        <w:rPr>
          <w:sz w:val="28"/>
          <w:szCs w:val="28"/>
        </w:rPr>
        <w:t xml:space="preserve">феномен профессионального самоопределения является психолого-педагогической проблемой в контексте осмысления этапов и механизмов социализации подрастающих поколений. </w:t>
      </w:r>
    </w:p>
    <w:p w:rsidR="000F79D0" w:rsidRDefault="000F79D0" w:rsidP="000F79D0">
      <w:pPr>
        <w:ind w:firstLine="709"/>
        <w:jc w:val="both"/>
        <w:rPr>
          <w:sz w:val="28"/>
          <w:szCs w:val="28"/>
        </w:rPr>
      </w:pPr>
      <w:r>
        <w:rPr>
          <w:sz w:val="28"/>
          <w:szCs w:val="28"/>
        </w:rPr>
        <w:t>Понятие «профессиональное самоопределение» раскрывается по отношению к профессиональной социализации как проявление субъективн</w:t>
      </w:r>
      <w:proofErr w:type="gramStart"/>
      <w:r>
        <w:rPr>
          <w:sz w:val="28"/>
          <w:szCs w:val="28"/>
        </w:rPr>
        <w:t>о-</w:t>
      </w:r>
      <w:proofErr w:type="gramEnd"/>
      <w:r>
        <w:rPr>
          <w:sz w:val="28"/>
          <w:szCs w:val="28"/>
        </w:rPr>
        <w:t xml:space="preserve"> </w:t>
      </w:r>
      <w:proofErr w:type="spellStart"/>
      <w:r>
        <w:rPr>
          <w:sz w:val="28"/>
          <w:szCs w:val="28"/>
        </w:rPr>
        <w:t>деятельностного</w:t>
      </w:r>
      <w:proofErr w:type="spellEnd"/>
      <w:r>
        <w:rPr>
          <w:sz w:val="28"/>
          <w:szCs w:val="28"/>
        </w:rPr>
        <w:t xml:space="preserve"> компонента сложного процесса социализации. В отличие от адаптации, профессиональное самоопределение представляет собой активный способ интеграции в социальную структуру общества, связанный с принятием решений, осуществлением выбора. С опорой на идеи отечественных психологов (Е.А. Климова, Е.Ю. </w:t>
      </w:r>
      <w:proofErr w:type="spellStart"/>
      <w:r>
        <w:rPr>
          <w:sz w:val="28"/>
          <w:szCs w:val="28"/>
        </w:rPr>
        <w:t>Пряжниковой</w:t>
      </w:r>
      <w:proofErr w:type="spellEnd"/>
      <w:r>
        <w:rPr>
          <w:sz w:val="28"/>
          <w:szCs w:val="28"/>
        </w:rPr>
        <w:t>, А.К. Марковой, Т.В. Кудрявцева и др.) устанавливается процессуальная природа феномена профессионального самоопределения, что позволяет разграничить понятия «профессиональное самоопределение» и «профессиональный выбор». Профессиональное самоопределение, будучи непрерывным процессом, продолжается на протяжении всей жизни индивида.</w:t>
      </w:r>
    </w:p>
    <w:p w:rsidR="000F79D0" w:rsidRDefault="000F79D0" w:rsidP="000F79D0">
      <w:pPr>
        <w:ind w:firstLine="709"/>
        <w:jc w:val="both"/>
        <w:rPr>
          <w:sz w:val="28"/>
          <w:szCs w:val="28"/>
        </w:rPr>
      </w:pPr>
      <w:r>
        <w:rPr>
          <w:sz w:val="28"/>
          <w:szCs w:val="28"/>
        </w:rPr>
        <w:t xml:space="preserve">В настоящее время города конкурируют между собой за ресурсы, инвестиции, человеческий капитал. Будущая конкурентоспособность города закладывается в стратегии развития с учетом экономических особенностей, темпов развития. Современная система образования должна стать эффективным средством для сохранения человеческого потенциала, </w:t>
      </w:r>
      <w:r>
        <w:rPr>
          <w:sz w:val="28"/>
          <w:szCs w:val="28"/>
        </w:rPr>
        <w:lastRenderedPageBreak/>
        <w:t>повышения его качества, развития интеллекта и духовности, поэтому политика в этой сфере должна быть согласованной на всех уровнях. Образовательные учреждения города Мурманска позволяет обеспечить права граждан на получение бесплатного общего среднего, начального профессионального образования и на конкурсной основе - бесплатного высшего и среднего профессионального образования.</w:t>
      </w:r>
    </w:p>
    <w:p w:rsidR="000F79D0" w:rsidRDefault="000F79D0" w:rsidP="000F79D0">
      <w:pPr>
        <w:ind w:firstLine="708"/>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В выстраиваемой модели современного российского образования всё большая роль отводится индивидуализации образовательной траектории студента. Имеется в виду, что она формируется не образовательной организацией, а строится самим обучающимся на основе осознанного выбора. Вместе с тем успешность молодого специалиста во многом зависит от трудоустройства по специальности, полученной в ходе образования. Поэтому профессиональные образовательные организации и вузы существенно ориентированы на требования рынка, поскольку успешность трудоустройства выпускников повышает их собственный статус. </w:t>
      </w:r>
    </w:p>
    <w:p w:rsidR="000F79D0" w:rsidRDefault="000F79D0" w:rsidP="000F79D0">
      <w:pPr>
        <w:ind w:firstLine="709"/>
        <w:jc w:val="both"/>
        <w:rPr>
          <w:rFonts w:eastAsia="Calibri"/>
          <w:sz w:val="28"/>
          <w:szCs w:val="28"/>
          <w:lang w:eastAsia="en-US"/>
        </w:rPr>
      </w:pPr>
      <w:r>
        <w:rPr>
          <w:rFonts w:eastAsia="Calibri"/>
          <w:color w:val="000000"/>
          <w:sz w:val="28"/>
          <w:szCs w:val="28"/>
          <w:shd w:val="clear" w:color="auto" w:fill="FFFFFF"/>
          <w:lang w:eastAsia="en-US"/>
        </w:rPr>
        <w:t xml:space="preserve">Работодатели же являются внешними потребителями образовательных услуг, принимая выпускников на работу и ожидая от них определенного уровня квалификации. Представляется, что одним из важнейших факторов, позволяющих решать обозначенные выше проблемы, является создание особой образовательной среды. Непреодолимых противоречий между фундаментальным образованием и потребностями бизнеса нет: от специалистов сегодня требуется не знание готовых ответов, а «компетенция», то есть умение анализировать проблемы и находить правильные решения в конкретных ситуациях. </w:t>
      </w:r>
      <w:proofErr w:type="gramStart"/>
      <w:r>
        <w:rPr>
          <w:rFonts w:eastAsia="Calibri"/>
          <w:color w:val="000000"/>
          <w:sz w:val="28"/>
          <w:szCs w:val="28"/>
          <w:shd w:val="clear" w:color="auto" w:fill="FFFFFF"/>
          <w:lang w:eastAsia="en-US"/>
        </w:rPr>
        <w:t>Большинство работодателей отмечают, с одной стороны, высокую потребность в молодых высококвалифицированных специалистах, а с другой наличие жёсткой конкуренции за талантливых выпускников вузов в связи со спецификой работ в районах Крайнего Севера (низкая плотность населения, сокращение числа выпускников региональных вузов, невысокое число выпускников столичных вузов, которые готовы начинать свою карьеру в районах Крайнего Севера).</w:t>
      </w:r>
      <w:proofErr w:type="gramEnd"/>
      <w:r>
        <w:rPr>
          <w:rFonts w:eastAsia="Calibri"/>
          <w:color w:val="000000"/>
          <w:sz w:val="28"/>
          <w:szCs w:val="28"/>
          <w:shd w:val="clear" w:color="auto" w:fill="FFFFFF"/>
          <w:lang w:eastAsia="en-US"/>
        </w:rPr>
        <w:t xml:space="preserve"> К тому же предпочтения наиболее талантливых школьников всё ещё относятся к области гуманитарных профессий, что значительно сокращает предложение на рынке труда в части перспективных молодых инженеров и ужесточает конкуренцию производственных компаний за профессиональные кадры. Таким образом, </w:t>
      </w:r>
      <w:r>
        <w:rPr>
          <w:sz w:val="28"/>
          <w:szCs w:val="28"/>
          <w:shd w:val="clear" w:color="auto" w:fill="FFFFFF"/>
        </w:rPr>
        <w:t xml:space="preserve">на сегодняшний день актуальна ситуация, связанная с оттоком молодежи по всему </w:t>
      </w:r>
      <w:proofErr w:type="spellStart"/>
      <w:r>
        <w:rPr>
          <w:sz w:val="28"/>
          <w:szCs w:val="28"/>
          <w:shd w:val="clear" w:color="auto" w:fill="FFFFFF"/>
        </w:rPr>
        <w:t>Северо</w:t>
      </w:r>
      <w:proofErr w:type="spellEnd"/>
      <w:r>
        <w:rPr>
          <w:sz w:val="28"/>
          <w:szCs w:val="28"/>
          <w:shd w:val="clear" w:color="auto" w:fill="FFFFFF"/>
        </w:rPr>
        <w:t xml:space="preserve"> - Западному Федеральному округу. </w:t>
      </w:r>
    </w:p>
    <w:p w:rsidR="000F79D0" w:rsidRDefault="000F79D0" w:rsidP="000F79D0">
      <w:pPr>
        <w:ind w:firstLine="708"/>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Для многих молодых людей ключевую роль в выборе рабочего места играет качество жизни, которое объективно ниже в районах Крайнего Севера, чем в Москве, Санкт-Петербурге и других крупных городах средней полосы. К сожалению, предусмотренные компенсационные выплаты далеко не всегда воспринимаются молодыми специалистами как достаточные с точки зрения снижения качества жизни, связанного с работой на Севере. Они проявляют желание максимально быстро получить высокое качество жизни и отсутствие готовности испытывать временные неудобства и лишения сегодня в целях получения глубокого профессионального опыта, который сможет обеспечить </w:t>
      </w:r>
      <w:r>
        <w:rPr>
          <w:rFonts w:eastAsia="Calibri"/>
          <w:color w:val="000000"/>
          <w:sz w:val="28"/>
          <w:szCs w:val="28"/>
          <w:shd w:val="clear" w:color="auto" w:fill="FFFFFF"/>
          <w:lang w:eastAsia="en-US"/>
        </w:rPr>
        <w:lastRenderedPageBreak/>
        <w:t xml:space="preserve">успешность карьеры в будущем. </w:t>
      </w:r>
    </w:p>
    <w:p w:rsidR="000F79D0" w:rsidRDefault="000F79D0" w:rsidP="000F79D0">
      <w:pPr>
        <w:ind w:firstLine="708"/>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Подводя итог, можно сказать, что текущая ситуация пока остается неблагоприятной: число молодых специалистов  снижается, а спрос на них возрастает. Очевидно, что только взаимодействием в плоскости «вуз-работодатель» данную проблему не решить.  Представляется, что только активная деятельность по профориентации школьников с включением в неё максимального количества участников (родители → школа → вуз → будущий работодатель), способствующая пробуждению интереса к професс</w:t>
      </w:r>
      <w:proofErr w:type="gramStart"/>
      <w:r>
        <w:rPr>
          <w:rFonts w:eastAsia="Calibri"/>
          <w:color w:val="000000"/>
          <w:sz w:val="28"/>
          <w:szCs w:val="28"/>
          <w:shd w:val="clear" w:color="auto" w:fill="FFFFFF"/>
          <w:lang w:eastAsia="en-US"/>
        </w:rPr>
        <w:t>ии и ее</w:t>
      </w:r>
      <w:proofErr w:type="gramEnd"/>
      <w:r>
        <w:rPr>
          <w:rFonts w:eastAsia="Calibri"/>
          <w:color w:val="000000"/>
          <w:sz w:val="28"/>
          <w:szCs w:val="28"/>
          <w:shd w:val="clear" w:color="auto" w:fill="FFFFFF"/>
          <w:lang w:eastAsia="en-US"/>
        </w:rPr>
        <w:t xml:space="preserve"> перспективам, может помочь решить задачу обеспечения региона кадрами. </w:t>
      </w:r>
    </w:p>
    <w:p w:rsidR="000F79D0" w:rsidRDefault="000F79D0" w:rsidP="000F79D0">
      <w:pPr>
        <w:ind w:firstLine="708"/>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Следовательно, вузам, работодателям и общеобразовательным организациям необходимо совместно разрабатывать и реализовывать программы ориентации молодёжи на наиболее востребованные профессии.</w:t>
      </w:r>
    </w:p>
    <w:p w:rsidR="000F79D0" w:rsidRDefault="000F79D0" w:rsidP="000F79D0">
      <w:pPr>
        <w:ind w:firstLine="708"/>
        <w:jc w:val="both"/>
        <w:rPr>
          <w:rFonts w:eastAsia="Calibri"/>
          <w:sz w:val="28"/>
          <w:szCs w:val="28"/>
          <w:lang w:eastAsia="en-US"/>
        </w:rPr>
      </w:pPr>
      <w:r>
        <w:rPr>
          <w:rFonts w:eastAsia="Calibri"/>
          <w:color w:val="000000"/>
          <w:sz w:val="28"/>
          <w:szCs w:val="28"/>
          <w:shd w:val="clear" w:color="auto" w:fill="FFFFFF"/>
          <w:lang w:eastAsia="en-US"/>
        </w:rPr>
        <w:t xml:space="preserve">Надо начинать готовить будущего работника фактически со школьной скамьи. При этом при разработке и реализации данных программ предприятиям целесообразно ориентироваться, прежде </w:t>
      </w:r>
      <w:proofErr w:type="gramStart"/>
      <w:r>
        <w:rPr>
          <w:rFonts w:eastAsia="Calibri"/>
          <w:color w:val="000000"/>
          <w:sz w:val="28"/>
          <w:szCs w:val="28"/>
          <w:shd w:val="clear" w:color="auto" w:fill="FFFFFF"/>
          <w:lang w:eastAsia="en-US"/>
        </w:rPr>
        <w:t>всего</w:t>
      </w:r>
      <w:proofErr w:type="gramEnd"/>
      <w:r>
        <w:rPr>
          <w:rFonts w:eastAsia="Calibri"/>
          <w:color w:val="000000"/>
          <w:sz w:val="28"/>
          <w:szCs w:val="28"/>
          <w:shd w:val="clear" w:color="auto" w:fill="FFFFFF"/>
          <w:lang w:eastAsia="en-US"/>
        </w:rPr>
        <w:t xml:space="preserve"> на региональные вузы с учётом их географической удалённости и транспортной доступности по отношению к региону.  </w:t>
      </w:r>
      <w:r>
        <w:rPr>
          <w:rFonts w:eastAsia="Calibri"/>
          <w:sz w:val="28"/>
          <w:szCs w:val="28"/>
          <w:lang w:eastAsia="en-US"/>
        </w:rPr>
        <w:t>На первый план выходит рост человеческого капитала молодежи, что потребует продвижения  установки на  изменение профессионального пространства к лучшему  и  внедрение системы проектно-ориентированного  образования, создание  условий  для  получения молодежью профессиональных практических навыков через создание открытых рабочих пространств.</w:t>
      </w:r>
      <w:r>
        <w:rPr>
          <w:rFonts w:eastAsia="Calibri"/>
          <w:color w:val="000000"/>
          <w:sz w:val="28"/>
          <w:szCs w:val="28"/>
          <w:shd w:val="clear" w:color="auto" w:fill="FFFFFF"/>
          <w:lang w:eastAsia="en-US"/>
        </w:rPr>
        <w:t xml:space="preserve"> Также, </w:t>
      </w:r>
      <w:r>
        <w:rPr>
          <w:rFonts w:eastAsia="Calibri"/>
          <w:sz w:val="28"/>
          <w:szCs w:val="28"/>
          <w:lang w:eastAsia="en-US"/>
        </w:rPr>
        <w:t xml:space="preserve">необходимо определять приоритетные задачи в сфере молодежной политики с учетом принципа </w:t>
      </w:r>
      <w:proofErr w:type="spellStart"/>
      <w:r>
        <w:rPr>
          <w:rFonts w:eastAsia="Calibri"/>
          <w:sz w:val="28"/>
          <w:szCs w:val="28"/>
          <w:lang w:eastAsia="en-US"/>
        </w:rPr>
        <w:t>возрастосообразности</w:t>
      </w:r>
      <w:proofErr w:type="spellEnd"/>
      <w:r>
        <w:rPr>
          <w:rFonts w:eastAsia="Calibri"/>
          <w:sz w:val="28"/>
          <w:szCs w:val="28"/>
          <w:lang w:eastAsia="en-US"/>
        </w:rPr>
        <w:t xml:space="preserve">, т.е. определить возрастные группы и конкретизировать специфические задачи для каждой из них. </w:t>
      </w:r>
      <w:r>
        <w:rPr>
          <w:rFonts w:eastAsia="Calibri"/>
          <w:color w:val="000000"/>
          <w:sz w:val="28"/>
          <w:szCs w:val="28"/>
          <w:shd w:val="clear" w:color="auto" w:fill="FFFFFF"/>
          <w:lang w:eastAsia="en-US"/>
        </w:rPr>
        <w:t xml:space="preserve"> </w:t>
      </w:r>
      <w:r>
        <w:rPr>
          <w:rFonts w:eastAsia="Calibri"/>
          <w:sz w:val="28"/>
          <w:szCs w:val="28"/>
          <w:lang w:eastAsia="en-US"/>
        </w:rPr>
        <w:t xml:space="preserve">Рассматривать профессиональные учебные заведения как реально действующие институализированные площадки (ресурсные центры) для эффективной реализации приоритетных направлений государственной молодежной политики. </w:t>
      </w:r>
    </w:p>
    <w:p w:rsidR="000F79D0" w:rsidRDefault="000F79D0" w:rsidP="000F79D0">
      <w:pPr>
        <w:ind w:firstLine="708"/>
        <w:jc w:val="center"/>
        <w:rPr>
          <w:rFonts w:eastAsia="Calibri"/>
          <w:color w:val="000000"/>
          <w:sz w:val="28"/>
          <w:szCs w:val="28"/>
          <w:shd w:val="clear" w:color="auto" w:fill="FFFFFF"/>
          <w:lang w:eastAsia="en-US"/>
        </w:rPr>
      </w:pPr>
      <w:r>
        <w:rPr>
          <w:rFonts w:eastAsia="Calibri"/>
          <w:sz w:val="28"/>
          <w:szCs w:val="28"/>
          <w:lang w:eastAsia="en-US"/>
        </w:rPr>
        <w:t>Список  литературы</w:t>
      </w:r>
    </w:p>
    <w:p w:rsidR="000F79D0" w:rsidRPr="006A6048" w:rsidRDefault="000F79D0" w:rsidP="000F79D0">
      <w:pPr>
        <w:pStyle w:val="a3"/>
        <w:widowControl w:val="0"/>
        <w:numPr>
          <w:ilvl w:val="0"/>
          <w:numId w:val="1"/>
        </w:numPr>
        <w:tabs>
          <w:tab w:val="left" w:pos="851"/>
        </w:tabs>
        <w:suppressAutoHyphens/>
        <w:spacing w:after="0" w:line="240" w:lineRule="auto"/>
        <w:ind w:left="0" w:firstLine="567"/>
        <w:contextualSpacing w:val="0"/>
        <w:jc w:val="both"/>
        <w:rPr>
          <w:rFonts w:ascii="Times New Roman" w:eastAsia="Times New Roman" w:hAnsi="Times New Roman"/>
          <w:sz w:val="28"/>
          <w:szCs w:val="28"/>
          <w:lang w:eastAsia="ar-SA"/>
        </w:rPr>
      </w:pPr>
      <w:proofErr w:type="spellStart"/>
      <w:r w:rsidRPr="006A6048">
        <w:rPr>
          <w:rFonts w:ascii="Times New Roman" w:hAnsi="Times New Roman"/>
          <w:sz w:val="28"/>
          <w:szCs w:val="28"/>
        </w:rPr>
        <w:t>Шарова</w:t>
      </w:r>
      <w:proofErr w:type="spellEnd"/>
      <w:r w:rsidRPr="006A6048">
        <w:rPr>
          <w:rFonts w:ascii="Times New Roman" w:hAnsi="Times New Roman"/>
          <w:sz w:val="28"/>
          <w:szCs w:val="28"/>
        </w:rPr>
        <w:t xml:space="preserve">, Е. Н. </w:t>
      </w:r>
      <w:proofErr w:type="spellStart"/>
      <w:r w:rsidRPr="006A6048">
        <w:rPr>
          <w:rFonts w:ascii="Times New Roman" w:hAnsi="Times New Roman"/>
          <w:sz w:val="28"/>
          <w:szCs w:val="28"/>
        </w:rPr>
        <w:t>Рискологический</w:t>
      </w:r>
      <w:proofErr w:type="spellEnd"/>
      <w:r w:rsidRPr="006A6048">
        <w:rPr>
          <w:rFonts w:ascii="Times New Roman" w:hAnsi="Times New Roman"/>
          <w:sz w:val="28"/>
          <w:szCs w:val="28"/>
        </w:rPr>
        <w:t xml:space="preserve"> подход к пониманию проблем профессионального самоопределения молодежи: соотношение определенности и неопределенности / Е. Н. </w:t>
      </w:r>
      <w:proofErr w:type="spellStart"/>
      <w:r w:rsidRPr="006A6048">
        <w:rPr>
          <w:rFonts w:ascii="Times New Roman" w:hAnsi="Times New Roman"/>
          <w:sz w:val="28"/>
          <w:szCs w:val="28"/>
        </w:rPr>
        <w:t>Шарова</w:t>
      </w:r>
      <w:proofErr w:type="spellEnd"/>
      <w:r w:rsidRPr="006A6048">
        <w:rPr>
          <w:rFonts w:ascii="Times New Roman" w:hAnsi="Times New Roman"/>
          <w:sz w:val="28"/>
          <w:szCs w:val="28"/>
        </w:rPr>
        <w:t xml:space="preserve"> // Всероссийская научно-практическая конференция с международным участием «Социально-гуманитарное знание: история и современность». – Мурманск</w:t>
      </w:r>
      <w:proofErr w:type="gramStart"/>
      <w:r w:rsidRPr="006A6048">
        <w:rPr>
          <w:rFonts w:ascii="Times New Roman" w:hAnsi="Times New Roman"/>
          <w:sz w:val="28"/>
          <w:szCs w:val="28"/>
        </w:rPr>
        <w:t xml:space="preserve"> :</w:t>
      </w:r>
      <w:proofErr w:type="gramEnd"/>
      <w:r w:rsidRPr="006A6048">
        <w:rPr>
          <w:rFonts w:ascii="Times New Roman" w:hAnsi="Times New Roman"/>
          <w:sz w:val="28"/>
          <w:szCs w:val="28"/>
        </w:rPr>
        <w:t xml:space="preserve"> МГТУ, 2011. – С. 256-260.</w:t>
      </w:r>
    </w:p>
    <w:p w:rsidR="000F79D0" w:rsidRPr="006A6048" w:rsidRDefault="000F79D0" w:rsidP="000F79D0">
      <w:pPr>
        <w:pStyle w:val="a3"/>
        <w:widowControl w:val="0"/>
        <w:numPr>
          <w:ilvl w:val="0"/>
          <w:numId w:val="1"/>
        </w:numPr>
        <w:tabs>
          <w:tab w:val="left" w:pos="851"/>
        </w:tabs>
        <w:suppressAutoHyphens/>
        <w:spacing w:after="0" w:line="240" w:lineRule="auto"/>
        <w:ind w:left="0" w:firstLine="567"/>
        <w:contextualSpacing w:val="0"/>
        <w:jc w:val="both"/>
        <w:rPr>
          <w:rFonts w:ascii="Times New Roman" w:hAnsi="Times New Roman"/>
          <w:color w:val="000000"/>
          <w:sz w:val="27"/>
          <w:szCs w:val="27"/>
        </w:rPr>
      </w:pPr>
      <w:r w:rsidRPr="006A6048">
        <w:rPr>
          <w:rFonts w:ascii="Times New Roman" w:hAnsi="Times New Roman"/>
          <w:color w:val="000000"/>
          <w:sz w:val="27"/>
          <w:szCs w:val="27"/>
        </w:rPr>
        <w:t>Экономические и социальные показатели районов Крайнего Севера и приравненных к ним местностей в 2000-2015 годах // Федеральная служба государственной статистики</w:t>
      </w:r>
      <w:proofErr w:type="gramStart"/>
      <w:r w:rsidRPr="006A6048">
        <w:rPr>
          <w:rFonts w:ascii="Times New Roman" w:hAnsi="Times New Roman"/>
          <w:color w:val="000000"/>
          <w:sz w:val="27"/>
          <w:szCs w:val="27"/>
        </w:rPr>
        <w:t xml:space="preserve"> :</w:t>
      </w:r>
      <w:proofErr w:type="gramEnd"/>
      <w:r w:rsidRPr="006A6048">
        <w:rPr>
          <w:rFonts w:ascii="Times New Roman" w:hAnsi="Times New Roman"/>
          <w:color w:val="000000"/>
          <w:sz w:val="27"/>
          <w:szCs w:val="27"/>
        </w:rPr>
        <w:t xml:space="preserve"> офиц. сайт. -URL</w:t>
      </w:r>
      <w:proofErr w:type="gramStart"/>
      <w:r w:rsidRPr="006A6048">
        <w:rPr>
          <w:rFonts w:ascii="Times New Roman" w:hAnsi="Times New Roman"/>
          <w:color w:val="000000"/>
          <w:sz w:val="27"/>
          <w:szCs w:val="27"/>
        </w:rPr>
        <w:t xml:space="preserve"> :</w:t>
      </w:r>
      <w:proofErr w:type="gramEnd"/>
      <w:r w:rsidRPr="006A6048">
        <w:rPr>
          <w:rFonts w:ascii="Times New Roman" w:hAnsi="Times New Roman"/>
          <w:color w:val="000000"/>
          <w:sz w:val="27"/>
          <w:szCs w:val="27"/>
        </w:rPr>
        <w:t xml:space="preserve"> http://www.gks.ru/bgd/regl/b16_22/Main.htm (дата обращения: 4.10.2016)</w:t>
      </w:r>
    </w:p>
    <w:p w:rsidR="000F79D0" w:rsidRPr="006A6048" w:rsidRDefault="000F79D0" w:rsidP="000F79D0">
      <w:pPr>
        <w:pStyle w:val="a3"/>
        <w:widowControl w:val="0"/>
        <w:numPr>
          <w:ilvl w:val="0"/>
          <w:numId w:val="1"/>
        </w:numPr>
        <w:tabs>
          <w:tab w:val="left" w:pos="851"/>
        </w:tabs>
        <w:suppressAutoHyphens/>
        <w:spacing w:after="0" w:line="240" w:lineRule="auto"/>
        <w:ind w:left="0" w:firstLine="567"/>
        <w:contextualSpacing w:val="0"/>
        <w:jc w:val="both"/>
        <w:rPr>
          <w:rFonts w:ascii="Times New Roman" w:hAnsi="Times New Roman"/>
          <w:sz w:val="28"/>
          <w:szCs w:val="28"/>
        </w:rPr>
      </w:pPr>
      <w:proofErr w:type="spellStart"/>
      <w:r w:rsidRPr="006A6048">
        <w:rPr>
          <w:rFonts w:ascii="Times New Roman" w:hAnsi="Times New Roman"/>
          <w:color w:val="000000"/>
          <w:sz w:val="27"/>
          <w:szCs w:val="27"/>
        </w:rPr>
        <w:t>Фаузер</w:t>
      </w:r>
      <w:proofErr w:type="spellEnd"/>
      <w:r w:rsidRPr="006A6048">
        <w:rPr>
          <w:rFonts w:ascii="Times New Roman" w:hAnsi="Times New Roman"/>
          <w:color w:val="000000"/>
          <w:sz w:val="27"/>
          <w:szCs w:val="27"/>
        </w:rPr>
        <w:t xml:space="preserve"> В. В. Демографический потенциал северных регионов России: фактор и условие экономического освоения Арктики // Экономика региона. - 2014. - № 4. - С. 69-81.</w:t>
      </w:r>
    </w:p>
    <w:p w:rsidR="00A62C6C" w:rsidRDefault="00A62C6C"/>
    <w:sectPr w:rsidR="00A62C6C" w:rsidSect="00A62C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7A1542"/>
    <w:multiLevelType w:val="hybridMultilevel"/>
    <w:tmpl w:val="6504A86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79D0"/>
    <w:rsid w:val="000F79D0"/>
    <w:rsid w:val="0010796C"/>
    <w:rsid w:val="00394919"/>
    <w:rsid w:val="00916755"/>
    <w:rsid w:val="00A62C6C"/>
    <w:rsid w:val="00E07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9D0"/>
    <w:pPr>
      <w:widowControl w:val="0"/>
      <w:suppressAutoHyphens/>
      <w:spacing w:after="0" w:line="240" w:lineRule="auto"/>
    </w:pPr>
    <w:rPr>
      <w:rFonts w:ascii="Times New Roman" w:eastAsia="Lucida Sans Unicode" w:hAnsi="Times New Roman" w:cs="Times New Roman"/>
      <w:kern w:val="2"/>
      <w:sz w:val="24"/>
      <w:szCs w:val="24"/>
      <w:lang w:eastAsia="ar-SA"/>
    </w:rPr>
  </w:style>
  <w:style w:type="paragraph" w:styleId="1">
    <w:name w:val="heading 1"/>
    <w:basedOn w:val="a"/>
    <w:next w:val="a"/>
    <w:link w:val="10"/>
    <w:qFormat/>
    <w:rsid w:val="000F79D0"/>
    <w:pPr>
      <w:keepNext/>
      <w:snapToGrid w:val="0"/>
      <w:ind w:left="113" w:right="113"/>
      <w:jc w:val="center"/>
      <w:outlineLvl w:val="0"/>
    </w:pPr>
    <w:rPr>
      <w:rFonts w:cs="Tahoma"/>
      <w:sz w:val="21"/>
      <w:szCs w:val="21"/>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79D0"/>
    <w:rPr>
      <w:rFonts w:ascii="Times New Roman" w:eastAsia="Lucida Sans Unicode" w:hAnsi="Times New Roman" w:cs="Tahoma"/>
      <w:kern w:val="2"/>
      <w:sz w:val="21"/>
      <w:szCs w:val="21"/>
      <w:u w:val="single"/>
      <w:lang w:eastAsia="ru-RU"/>
    </w:rPr>
  </w:style>
  <w:style w:type="paragraph" w:styleId="a3">
    <w:name w:val="List Paragraph"/>
    <w:basedOn w:val="a"/>
    <w:uiPriority w:val="34"/>
    <w:qFormat/>
    <w:rsid w:val="000F79D0"/>
    <w:pPr>
      <w:widowControl/>
      <w:suppressAutoHyphens w:val="0"/>
      <w:spacing w:after="200" w:line="276" w:lineRule="auto"/>
      <w:ind w:left="720"/>
      <w:contextualSpacing/>
    </w:pPr>
    <w:rPr>
      <w:rFonts w:ascii="Calibri" w:eastAsia="Calibri" w:hAnsi="Calibri"/>
      <w:kern w:val="0"/>
      <w:sz w:val="22"/>
      <w:szCs w:val="22"/>
      <w:lang w:eastAsia="en-US"/>
    </w:rPr>
  </w:style>
  <w:style w:type="paragraph" w:customStyle="1" w:styleId="11">
    <w:name w:val="Абзац списка1"/>
    <w:basedOn w:val="a"/>
    <w:rsid w:val="000F79D0"/>
    <w:pPr>
      <w:widowControl/>
      <w:suppressAutoHyphens w:val="0"/>
      <w:spacing w:after="200" w:line="276" w:lineRule="auto"/>
      <w:ind w:left="720"/>
      <w:contextualSpacing/>
    </w:pPr>
    <w:rPr>
      <w:rFonts w:ascii="Calibri" w:eastAsia="Times New Roman" w:hAnsi="Calibri"/>
      <w:kern w:val="0"/>
      <w:sz w:val="22"/>
      <w:szCs w:val="22"/>
      <w:lang w:eastAsia="en-US"/>
    </w:rPr>
  </w:style>
  <w:style w:type="paragraph" w:styleId="a4">
    <w:name w:val="Body Text Indent"/>
    <w:basedOn w:val="a"/>
    <w:link w:val="a5"/>
    <w:semiHidden/>
    <w:unhideWhenUsed/>
    <w:rsid w:val="000F79D0"/>
    <w:pPr>
      <w:widowControl/>
      <w:suppressAutoHyphens w:val="0"/>
      <w:ind w:firstLine="709"/>
      <w:jc w:val="both"/>
    </w:pPr>
    <w:rPr>
      <w:rFonts w:eastAsia="Times New Roman"/>
      <w:kern w:val="0"/>
    </w:rPr>
  </w:style>
  <w:style w:type="character" w:customStyle="1" w:styleId="a5">
    <w:name w:val="Основной текст с отступом Знак"/>
    <w:basedOn w:val="a0"/>
    <w:link w:val="a4"/>
    <w:semiHidden/>
    <w:rsid w:val="000F79D0"/>
    <w:rPr>
      <w:rFonts w:ascii="Times New Roman" w:eastAsia="Times New Roman" w:hAnsi="Times New Roman" w:cs="Times New Roman"/>
      <w:sz w:val="24"/>
      <w:szCs w:val="24"/>
      <w:lang w:eastAsia="ar-SA"/>
    </w:rPr>
  </w:style>
  <w:style w:type="character" w:customStyle="1" w:styleId="12">
    <w:name w:val="Стиль1 Знак"/>
    <w:link w:val="13"/>
    <w:locked/>
    <w:rsid w:val="000F79D0"/>
    <w:rPr>
      <w:b/>
      <w:i/>
      <w:sz w:val="28"/>
      <w:szCs w:val="28"/>
    </w:rPr>
  </w:style>
  <w:style w:type="paragraph" w:customStyle="1" w:styleId="13">
    <w:name w:val="Стиль1"/>
    <w:basedOn w:val="a"/>
    <w:link w:val="12"/>
    <w:qFormat/>
    <w:rsid w:val="000F79D0"/>
    <w:pPr>
      <w:widowControl/>
      <w:tabs>
        <w:tab w:val="left" w:pos="-709"/>
      </w:tabs>
      <w:suppressAutoHyphens w:val="0"/>
      <w:ind w:right="-1" w:firstLine="709"/>
      <w:jc w:val="right"/>
    </w:pPr>
    <w:rPr>
      <w:rFonts w:asciiTheme="minorHAnsi" w:eastAsiaTheme="minorHAnsi" w:hAnsiTheme="minorHAnsi" w:cstheme="minorBidi"/>
      <w:b/>
      <w:i/>
      <w:kern w:val="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1539</Words>
  <Characters>8778</Characters>
  <Application>Microsoft Office Word</Application>
  <DocSecurity>0</DocSecurity>
  <Lines>73</Lines>
  <Paragraphs>20</Paragraphs>
  <ScaleCrop>false</ScaleCrop>
  <Company>ФГОУ ВПО «Мурманский государственный технический уни</Company>
  <LinksUpToDate>false</LinksUpToDate>
  <CharactersWithSpaces>10297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priemmmrc</dc:creator>
  <cp:keywords/>
  <dc:description/>
  <cp:lastModifiedBy>priemmmrc</cp:lastModifiedBy>
  <cp:revision>1</cp:revision>
  <dcterms:created xsi:type="dcterms:W3CDTF">2018-06-02T07:54:00Z</dcterms:created>
  <dcterms:modified xsi:type="dcterms:W3CDTF">2018-06-02T07:56:00Z</dcterms:modified>
</cp:coreProperties>
</file>