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9EC" w:rsidRDefault="00894294" w:rsidP="00E819EC">
      <w:pPr>
        <w:pStyle w:val="a8"/>
        <w:ind w:firstLine="708"/>
        <w:jc w:val="center"/>
        <w:rPr>
          <w:color w:val="000000"/>
          <w:sz w:val="28"/>
          <w:szCs w:val="28"/>
        </w:rPr>
      </w:pPr>
      <w:r w:rsidRPr="00894294">
        <w:rPr>
          <w:color w:val="000000"/>
          <w:sz w:val="28"/>
          <w:szCs w:val="28"/>
        </w:rPr>
        <w:t>УДК 327 ФГБОУ ВПО «Кемеровский государственный университет»</w:t>
      </w:r>
    </w:p>
    <w:p w:rsidR="00E819EC" w:rsidRDefault="00E819EC" w:rsidP="00E819EC">
      <w:pPr>
        <w:pStyle w:val="a8"/>
        <w:ind w:left="3540"/>
        <w:rPr>
          <w:color w:val="000000"/>
          <w:sz w:val="28"/>
          <w:szCs w:val="28"/>
        </w:rPr>
      </w:pPr>
      <w:r>
        <w:rPr>
          <w:color w:val="000000"/>
          <w:sz w:val="28"/>
          <w:szCs w:val="28"/>
        </w:rPr>
        <w:t xml:space="preserve">     </w:t>
      </w:r>
      <w:proofErr w:type="spellStart"/>
      <w:r>
        <w:rPr>
          <w:color w:val="000000"/>
          <w:sz w:val="28"/>
          <w:szCs w:val="28"/>
        </w:rPr>
        <w:t>Бюрбю</w:t>
      </w:r>
      <w:proofErr w:type="spellEnd"/>
      <w:r>
        <w:rPr>
          <w:color w:val="000000"/>
          <w:sz w:val="28"/>
          <w:szCs w:val="28"/>
        </w:rPr>
        <w:t xml:space="preserve"> Б.В.</w:t>
      </w:r>
    </w:p>
    <w:p w:rsidR="00894294" w:rsidRPr="00894294" w:rsidRDefault="00894294" w:rsidP="00E819EC">
      <w:pPr>
        <w:pStyle w:val="a8"/>
        <w:ind w:firstLine="708"/>
        <w:jc w:val="center"/>
        <w:rPr>
          <w:color w:val="000000"/>
          <w:sz w:val="28"/>
          <w:szCs w:val="28"/>
        </w:rPr>
      </w:pPr>
      <w:r w:rsidRPr="00894294">
        <w:rPr>
          <w:color w:val="000000"/>
          <w:sz w:val="28"/>
          <w:szCs w:val="28"/>
        </w:rPr>
        <w:t xml:space="preserve">Научный руководитель: </w:t>
      </w:r>
      <w:proofErr w:type="spellStart"/>
      <w:r w:rsidRPr="00894294">
        <w:rPr>
          <w:color w:val="000000"/>
          <w:sz w:val="28"/>
          <w:szCs w:val="28"/>
        </w:rPr>
        <w:t>кан</w:t>
      </w:r>
      <w:proofErr w:type="gramStart"/>
      <w:r w:rsidRPr="00894294">
        <w:rPr>
          <w:color w:val="000000"/>
          <w:sz w:val="28"/>
          <w:szCs w:val="28"/>
        </w:rPr>
        <w:t>.с</w:t>
      </w:r>
      <w:proofErr w:type="gramEnd"/>
      <w:r w:rsidRPr="00894294">
        <w:rPr>
          <w:color w:val="000000"/>
          <w:sz w:val="28"/>
          <w:szCs w:val="28"/>
        </w:rPr>
        <w:t>оц.н</w:t>
      </w:r>
      <w:proofErr w:type="spellEnd"/>
      <w:r w:rsidRPr="00894294">
        <w:rPr>
          <w:color w:val="000000"/>
          <w:sz w:val="28"/>
          <w:szCs w:val="28"/>
        </w:rPr>
        <w:t xml:space="preserve">., доцент кафедры всеобщей истории и социально-политических наук ФГБОУ ВО «Кемеровский государственный университет» </w:t>
      </w:r>
      <w:proofErr w:type="spellStart"/>
      <w:r w:rsidRPr="00894294">
        <w:rPr>
          <w:color w:val="000000"/>
          <w:sz w:val="28"/>
          <w:szCs w:val="28"/>
        </w:rPr>
        <w:t>Чирун</w:t>
      </w:r>
      <w:proofErr w:type="spellEnd"/>
      <w:r w:rsidRPr="00894294">
        <w:rPr>
          <w:color w:val="000000"/>
          <w:sz w:val="28"/>
          <w:szCs w:val="28"/>
        </w:rPr>
        <w:t xml:space="preserve"> С.Н.. </w:t>
      </w:r>
    </w:p>
    <w:p w:rsidR="00894294" w:rsidRPr="00894294" w:rsidRDefault="00894294" w:rsidP="00894294">
      <w:pPr>
        <w:pStyle w:val="a8"/>
        <w:jc w:val="center"/>
        <w:rPr>
          <w:color w:val="000000"/>
          <w:sz w:val="28"/>
          <w:szCs w:val="28"/>
        </w:rPr>
      </w:pPr>
      <w:r w:rsidRPr="00894294">
        <w:rPr>
          <w:color w:val="000000"/>
          <w:sz w:val="28"/>
          <w:szCs w:val="28"/>
        </w:rPr>
        <w:t>sergii-tsch@mail.ru</w:t>
      </w:r>
    </w:p>
    <w:p w:rsidR="00647132" w:rsidRDefault="00894294" w:rsidP="00647132">
      <w:pPr>
        <w:pStyle w:val="a8"/>
        <w:rPr>
          <w:color w:val="000000"/>
          <w:sz w:val="28"/>
          <w:szCs w:val="28"/>
        </w:rPr>
      </w:pPr>
      <w:r w:rsidRPr="00894294">
        <w:rPr>
          <w:color w:val="000000"/>
          <w:sz w:val="28"/>
          <w:szCs w:val="28"/>
        </w:rPr>
        <w:t xml:space="preserve">                                                        (</w:t>
      </w:r>
      <w:proofErr w:type="spellStart"/>
      <w:r w:rsidRPr="00894294">
        <w:rPr>
          <w:color w:val="000000"/>
          <w:sz w:val="28"/>
          <w:szCs w:val="28"/>
        </w:rPr>
        <w:t>г</w:t>
      </w:r>
      <w:proofErr w:type="gramStart"/>
      <w:r w:rsidRPr="00894294">
        <w:rPr>
          <w:color w:val="000000"/>
          <w:sz w:val="28"/>
          <w:szCs w:val="28"/>
        </w:rPr>
        <w:t>.К</w:t>
      </w:r>
      <w:proofErr w:type="gramEnd"/>
      <w:r w:rsidRPr="00894294">
        <w:rPr>
          <w:color w:val="000000"/>
          <w:sz w:val="28"/>
          <w:szCs w:val="28"/>
        </w:rPr>
        <w:t>емерово</w:t>
      </w:r>
      <w:proofErr w:type="spellEnd"/>
      <w:r w:rsidRPr="00894294">
        <w:rPr>
          <w:color w:val="000000"/>
          <w:sz w:val="28"/>
          <w:szCs w:val="28"/>
        </w:rPr>
        <w:t>)</w:t>
      </w:r>
    </w:p>
    <w:p w:rsidR="00647132" w:rsidRPr="00647132" w:rsidRDefault="00647132" w:rsidP="00647132">
      <w:pPr>
        <w:pStyle w:val="a8"/>
        <w:ind w:left="1416"/>
        <w:rPr>
          <w:b/>
          <w:color w:val="000000"/>
          <w:sz w:val="28"/>
          <w:szCs w:val="28"/>
        </w:rPr>
      </w:pPr>
      <w:r>
        <w:rPr>
          <w:b/>
          <w:color w:val="000000"/>
          <w:sz w:val="28"/>
          <w:szCs w:val="28"/>
        </w:rPr>
        <w:t xml:space="preserve">  </w:t>
      </w:r>
      <w:r w:rsidRPr="00647132">
        <w:rPr>
          <w:b/>
          <w:color w:val="000000"/>
          <w:sz w:val="28"/>
          <w:szCs w:val="28"/>
        </w:rPr>
        <w:t>Социальные предпосылки Арабской  весны</w:t>
      </w:r>
    </w:p>
    <w:p w:rsidR="00894294" w:rsidRPr="00647132" w:rsidRDefault="00647132" w:rsidP="00647132">
      <w:pPr>
        <w:pStyle w:val="a8"/>
        <w:rPr>
          <w:color w:val="000000"/>
          <w:sz w:val="28"/>
          <w:szCs w:val="28"/>
        </w:rPr>
      </w:pPr>
      <w:r>
        <w:rPr>
          <w:b/>
          <w:sz w:val="28"/>
          <w:szCs w:val="28"/>
        </w:rPr>
        <w:t xml:space="preserve">    </w:t>
      </w:r>
      <w:r w:rsidR="00334166">
        <w:rPr>
          <w:b/>
          <w:sz w:val="28"/>
          <w:szCs w:val="28"/>
        </w:rPr>
        <w:t xml:space="preserve"> </w:t>
      </w:r>
      <w:r w:rsidR="00894294" w:rsidRPr="00894294">
        <w:rPr>
          <w:b/>
          <w:sz w:val="28"/>
          <w:szCs w:val="28"/>
        </w:rPr>
        <w:t>Аннотация</w:t>
      </w:r>
      <w:r>
        <w:rPr>
          <w:b/>
          <w:sz w:val="28"/>
          <w:szCs w:val="28"/>
        </w:rPr>
        <w:t>:</w:t>
      </w:r>
      <w:r>
        <w:rPr>
          <w:sz w:val="28"/>
          <w:szCs w:val="28"/>
        </w:rPr>
        <w:t xml:space="preserve"> В данной статье изложено несколько фактов про Арабскую весну и рассказывает ее предпосылки и причины.</w:t>
      </w:r>
    </w:p>
    <w:p w:rsidR="00894294" w:rsidRDefault="00894294" w:rsidP="00894294">
      <w:pPr>
        <w:rPr>
          <w:sz w:val="28"/>
          <w:szCs w:val="28"/>
        </w:rPr>
      </w:pPr>
      <w:r w:rsidRPr="00894294">
        <w:rPr>
          <w:b/>
          <w:sz w:val="28"/>
          <w:szCs w:val="28"/>
        </w:rPr>
        <w:t xml:space="preserve">Ключевые </w:t>
      </w:r>
      <w:proofErr w:type="spellStart"/>
      <w:r w:rsidRPr="00894294">
        <w:rPr>
          <w:b/>
          <w:sz w:val="28"/>
          <w:szCs w:val="28"/>
        </w:rPr>
        <w:t>слова</w:t>
      </w:r>
      <w:proofErr w:type="gramStart"/>
      <w:r>
        <w:rPr>
          <w:sz w:val="28"/>
          <w:szCs w:val="28"/>
        </w:rPr>
        <w:t>:</w:t>
      </w:r>
      <w:r w:rsidR="00334166">
        <w:rPr>
          <w:sz w:val="28"/>
          <w:szCs w:val="28"/>
        </w:rPr>
        <w:t>А</w:t>
      </w:r>
      <w:proofErr w:type="gramEnd"/>
      <w:r w:rsidR="00334166">
        <w:rPr>
          <w:sz w:val="28"/>
          <w:szCs w:val="28"/>
        </w:rPr>
        <w:t>рабская</w:t>
      </w:r>
      <w:proofErr w:type="spellEnd"/>
      <w:r w:rsidR="00334166">
        <w:rPr>
          <w:sz w:val="28"/>
          <w:szCs w:val="28"/>
        </w:rPr>
        <w:t xml:space="preserve"> весна</w:t>
      </w:r>
      <w:r>
        <w:rPr>
          <w:sz w:val="28"/>
          <w:szCs w:val="28"/>
        </w:rPr>
        <w:t xml:space="preserve">, </w:t>
      </w:r>
      <w:r w:rsidR="00334166">
        <w:rPr>
          <w:sz w:val="28"/>
          <w:szCs w:val="28"/>
        </w:rPr>
        <w:t>Ближний восток, Тунис</w:t>
      </w:r>
      <w:r>
        <w:rPr>
          <w:sz w:val="28"/>
          <w:szCs w:val="28"/>
        </w:rPr>
        <w:t xml:space="preserve">. </w:t>
      </w:r>
    </w:p>
    <w:p w:rsidR="00894294" w:rsidRDefault="00894294" w:rsidP="00894294">
      <w:pPr>
        <w:rPr>
          <w:sz w:val="28"/>
          <w:szCs w:val="28"/>
        </w:rPr>
      </w:pP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«Арабская весна» взорвала Ближний Восток и Северную Африку, поставив на грань уничтожения многие арабские страны. Если начало восстаний было связано с чаяниями народа, его устремлениями к свободе, справедливости и благородству, то в конце все повернулось в другое направление, благодаря усилиям различных политических сил. Они возглавили революции, вмешавшись в дела на региональном и международном уровнях, параллельно пытаясь наносить удары, которые бы служили их интересам. В некоторых арабских странах конфликты превратились в борьбу за власть и влияние, и отошли от духа мирных народных восстаний.</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 xml:space="preserve">После этого арабские общества перешли на этап борьбы за сущность своих государств. Современное государство, прошедшее </w:t>
      </w:r>
      <w:proofErr w:type="spellStart"/>
      <w:r w:rsidRPr="00647132">
        <w:rPr>
          <w:rFonts w:eastAsia="Calibri" w:cs="Times New Roman"/>
          <w:sz w:val="28"/>
          <w:szCs w:val="22"/>
          <w:lang w:eastAsia="en-US"/>
        </w:rPr>
        <w:t>постколониальную</w:t>
      </w:r>
      <w:proofErr w:type="spellEnd"/>
      <w:r w:rsidRPr="00647132">
        <w:rPr>
          <w:rFonts w:eastAsia="Calibri" w:cs="Times New Roman"/>
          <w:sz w:val="28"/>
          <w:szCs w:val="22"/>
          <w:lang w:eastAsia="en-US"/>
        </w:rPr>
        <w:t xml:space="preserve"> стадию, представляется новым явлением, и для многих сил в арабском мире оно было неприемлемым.</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Когда начались восстания арабской весны, тут же развернулась кровавая борьба за власть между различными силами. За ней последовали крах, материальные потери, гибель многих людей и появление миллионов бездомных в результате войн.</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lastRenderedPageBreak/>
        <w:t>В странах, где царил авторитаризм, мирной трансформации не получилось в отличие от режимов, обладавших высокой степенью легитимности и сформировавшихся не в результате переворота. Для последних процесс изменений был медленным и мирным, как, например, в Иордании или Марокко, где лидеры обеих стран проявили большую гибкость при взаимодействии с народными движениями</w:t>
      </w:r>
      <w:r w:rsidRPr="00647132">
        <w:rPr>
          <w:rFonts w:eastAsia="Calibri" w:cs="Times New Roman"/>
          <w:sz w:val="28"/>
          <w:szCs w:val="22"/>
          <w:vertAlign w:val="superscript"/>
          <w:lang w:eastAsia="en-US"/>
        </w:rPr>
        <w:footnoteReference w:id="1"/>
      </w:r>
      <w:r w:rsidRPr="00647132">
        <w:rPr>
          <w:rFonts w:eastAsia="Calibri" w:cs="Times New Roman"/>
          <w:sz w:val="28"/>
          <w:szCs w:val="22"/>
          <w:lang w:eastAsia="en-US"/>
        </w:rPr>
        <w:t>.</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Немногочисленные арабские аналитические центры должны исследовать причины, по которым революциям арабской весны не удалось провести в жизнь необходимые изменения. Это улучшение политических, экономических и социальных условий жизни граждан арабских стран. Нужно понять, какие уроки следует извлечь из опыта, который арабские страны получили в результате провала «арабской весны», чтобы в будущем подобные восстания не оказались такими же бесполезными.</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Среди негативных последствий арабской весны стоит отметить многочисленные кризисы, которые разрушили институты и инфраструктуру пяти арабских стран, унесли жизни людей, не имея на это никакого права, усугубили социальные противоречия, вытащив на поверхность идеологические разногласия. Миллионы людей были вынуждены покинуть свои дома, что вызвало «утечку мозгов» в арабских странах. Экономические потери достигли суммы, превышающей триллион долларов.</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Искренние попытки реформ и изменений в арабских странах в итоге оказались несостоявшимися, и этот эффект продлится еще десятки лет. Большинство арабских граждан уже оплакивают дни прошлого, желая, чтобы все оставалось на своих местах и без изменений.</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 xml:space="preserve">Политические, экономические и социальные реформы в арабских странах должны стать востребованными, нужно постоянно говорить об их важности. Более того, эти реформы должны сопровождаться </w:t>
      </w:r>
      <w:r w:rsidRPr="00647132">
        <w:rPr>
          <w:rFonts w:eastAsia="Calibri" w:cs="Times New Roman"/>
          <w:sz w:val="28"/>
          <w:szCs w:val="22"/>
          <w:lang w:eastAsia="en-US"/>
        </w:rPr>
        <w:lastRenderedPageBreak/>
        <w:t>интеллектуальными и культурными подвижками, поскольку именно это является основой будущего устойчивого успеха.</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 xml:space="preserve">Согласно «Ежегодному обзору арабской молодежи» для 81 % молодых люде безработица является вторым после безопасности вопросом в Средиземноморском регионе, вызывающим беспокойство. Безработица среди молодежи была и остается особенно высокой в Тунисе (33,2 % в 2015 г. по сравнению </w:t>
      </w:r>
      <w:proofErr w:type="gramStart"/>
      <w:r w:rsidRPr="00647132">
        <w:rPr>
          <w:rFonts w:eastAsia="Calibri" w:cs="Times New Roman"/>
          <w:sz w:val="28"/>
          <w:szCs w:val="22"/>
          <w:lang w:eastAsia="en-US"/>
        </w:rPr>
        <w:t>с</w:t>
      </w:r>
      <w:proofErr w:type="gramEnd"/>
      <w:r w:rsidRPr="00647132">
        <w:rPr>
          <w:rFonts w:eastAsia="Calibri" w:cs="Times New Roman"/>
          <w:sz w:val="28"/>
          <w:szCs w:val="22"/>
          <w:lang w:eastAsia="en-US"/>
        </w:rPr>
        <w:t xml:space="preserve"> примерно 25–30 % в 1984–2010 гг. для 15–25-летних) и может достигать 40 % </w:t>
      </w:r>
      <w:proofErr w:type="gramStart"/>
      <w:r w:rsidRPr="00647132">
        <w:rPr>
          <w:rFonts w:eastAsia="Calibri" w:cs="Times New Roman"/>
          <w:sz w:val="28"/>
          <w:szCs w:val="22"/>
          <w:lang w:eastAsia="en-US"/>
        </w:rPr>
        <w:t>в</w:t>
      </w:r>
      <w:proofErr w:type="gramEnd"/>
      <w:r w:rsidRPr="00647132">
        <w:rPr>
          <w:rFonts w:eastAsia="Calibri" w:cs="Times New Roman"/>
          <w:sz w:val="28"/>
          <w:szCs w:val="22"/>
          <w:lang w:eastAsia="en-US"/>
        </w:rPr>
        <w:t xml:space="preserve"> зависимости от возраста и сферы деятельности</w:t>
      </w:r>
      <w:r w:rsidRPr="00647132">
        <w:rPr>
          <w:rFonts w:eastAsia="Calibri" w:cs="Times New Roman"/>
          <w:sz w:val="28"/>
          <w:szCs w:val="22"/>
          <w:vertAlign w:val="superscript"/>
          <w:lang w:eastAsia="en-US"/>
        </w:rPr>
        <w:footnoteReference w:id="2"/>
      </w:r>
      <w:r w:rsidRPr="00647132">
        <w:rPr>
          <w:rFonts w:eastAsia="Calibri" w:cs="Times New Roman"/>
          <w:sz w:val="28"/>
          <w:szCs w:val="22"/>
          <w:lang w:eastAsia="en-US"/>
        </w:rPr>
        <w:t>.</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Недавние события также показали, что чем выше образовательный уровень, тем меньше шансов молодой человек имеет на рынке труда. Среди 650 тыс. безработных (плюс приблизительно 600 тыс. незарегистрированных безработных) около одной трети (250 тыс.) – выпускники высших учебных заведений</w:t>
      </w:r>
      <w:r w:rsidRPr="00647132">
        <w:rPr>
          <w:rFonts w:eastAsia="Calibri" w:cs="Times New Roman"/>
          <w:sz w:val="28"/>
          <w:szCs w:val="22"/>
          <w:vertAlign w:val="superscript"/>
          <w:lang w:eastAsia="en-US"/>
        </w:rPr>
        <w:footnoteReference w:id="3"/>
      </w:r>
      <w:r w:rsidRPr="00647132">
        <w:rPr>
          <w:rFonts w:eastAsia="Calibri" w:cs="Times New Roman"/>
          <w:sz w:val="28"/>
          <w:szCs w:val="22"/>
          <w:lang w:eastAsia="en-US"/>
        </w:rPr>
        <w:t>.</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 xml:space="preserve">Этот парадокс обусловлен тем, что существующие образовательные программы зачастую не приспособлены </w:t>
      </w:r>
      <w:proofErr w:type="gramStart"/>
      <w:r w:rsidRPr="00647132">
        <w:rPr>
          <w:rFonts w:eastAsia="Calibri" w:cs="Times New Roman"/>
          <w:sz w:val="28"/>
          <w:szCs w:val="22"/>
          <w:lang w:eastAsia="en-US"/>
        </w:rPr>
        <w:t>к</w:t>
      </w:r>
      <w:proofErr w:type="gramEnd"/>
      <w:r w:rsidRPr="00647132">
        <w:rPr>
          <w:rFonts w:eastAsia="Calibri" w:cs="Times New Roman"/>
          <w:sz w:val="28"/>
          <w:szCs w:val="22"/>
          <w:lang w:eastAsia="en-US"/>
        </w:rPr>
        <w:t xml:space="preserve"> быстроменяющимся требования рынка труда.</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В Тунисе в 2016 году вновь начались массовые протесты. Молодежь выступает против повальной безработицы. Спустя пять лет после начала первой Арабской весны Тунис находится на пороге новой. Учтены ли уроки?</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 xml:space="preserve">Сначала беспорядки вспыхнули в городе </w:t>
      </w:r>
      <w:proofErr w:type="spellStart"/>
      <w:r w:rsidRPr="00647132">
        <w:rPr>
          <w:rFonts w:eastAsia="Calibri" w:cs="Times New Roman"/>
          <w:sz w:val="28"/>
          <w:szCs w:val="22"/>
          <w:lang w:eastAsia="en-US"/>
        </w:rPr>
        <w:t>Кассерин</w:t>
      </w:r>
      <w:proofErr w:type="spellEnd"/>
      <w:r w:rsidRPr="00647132">
        <w:rPr>
          <w:rFonts w:eastAsia="Calibri" w:cs="Times New Roman"/>
          <w:sz w:val="28"/>
          <w:szCs w:val="22"/>
          <w:lang w:eastAsia="en-US"/>
        </w:rPr>
        <w:t xml:space="preserve">, а затем перекинулись и на другие регионы. В столкновениях в </w:t>
      </w:r>
      <w:proofErr w:type="spellStart"/>
      <w:r w:rsidRPr="00647132">
        <w:rPr>
          <w:rFonts w:eastAsia="Calibri" w:cs="Times New Roman"/>
          <w:sz w:val="28"/>
          <w:szCs w:val="22"/>
          <w:lang w:eastAsia="en-US"/>
        </w:rPr>
        <w:t>Фериане</w:t>
      </w:r>
      <w:proofErr w:type="spellEnd"/>
      <w:r w:rsidRPr="00647132">
        <w:rPr>
          <w:rFonts w:eastAsia="Calibri" w:cs="Times New Roman"/>
          <w:sz w:val="28"/>
          <w:szCs w:val="22"/>
          <w:lang w:eastAsia="en-US"/>
        </w:rPr>
        <w:t xml:space="preserve"> погиб полицейский, автомобиль с которым перевернули; в одном из городов подожгли офис полиции, в других пытались штурмовать правительственные здания; в окрестностях столичного Туниса ограбили банк, магазины и склады. Протестующие бросали камни и коктейли Молотова – полицейские отвечали слезоточивым газом и дубинками. Как результат, несколько сотен раненых со </w:t>
      </w:r>
      <w:proofErr w:type="gramStart"/>
      <w:r w:rsidRPr="00647132">
        <w:rPr>
          <w:rFonts w:eastAsia="Calibri" w:cs="Times New Roman"/>
          <w:sz w:val="28"/>
          <w:szCs w:val="22"/>
          <w:lang w:eastAsia="en-US"/>
        </w:rPr>
        <w:t>стороны</w:t>
      </w:r>
      <w:proofErr w:type="gramEnd"/>
      <w:r w:rsidRPr="00647132">
        <w:rPr>
          <w:rFonts w:eastAsia="Calibri" w:cs="Times New Roman"/>
          <w:sz w:val="28"/>
          <w:szCs w:val="22"/>
          <w:lang w:eastAsia="en-US"/>
        </w:rPr>
        <w:t xml:space="preserve"> протестующих и более сотни – правоохранителей. 25 </w:t>
      </w:r>
      <w:r w:rsidRPr="00647132">
        <w:rPr>
          <w:rFonts w:eastAsia="Calibri" w:cs="Times New Roman"/>
          <w:sz w:val="28"/>
          <w:szCs w:val="22"/>
          <w:lang w:eastAsia="en-US"/>
        </w:rPr>
        <w:lastRenderedPageBreak/>
        <w:t>января правительство объявило, что задержали уже 1105 участников беспорядков. Дело принимает нешуточный оборот. Комендантский час, который ввело правительство, тунисцы проигнорировали. Вчера, ссылаясь на «относительное улучшение ситуации», МВД сократило его на два часа: теперь ограничения действуют с 22 часов до 5 утра</w:t>
      </w:r>
      <w:r w:rsidRPr="00647132">
        <w:rPr>
          <w:rFonts w:eastAsia="Calibri" w:cs="Times New Roman"/>
          <w:sz w:val="28"/>
          <w:szCs w:val="22"/>
          <w:vertAlign w:val="superscript"/>
          <w:lang w:eastAsia="en-US"/>
        </w:rPr>
        <w:footnoteReference w:id="4"/>
      </w:r>
      <w:r w:rsidRPr="00647132">
        <w:rPr>
          <w:rFonts w:eastAsia="Calibri" w:cs="Times New Roman"/>
          <w:sz w:val="28"/>
          <w:szCs w:val="22"/>
          <w:lang w:eastAsia="en-US"/>
        </w:rPr>
        <w:t>.</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 xml:space="preserve">Премьер </w:t>
      </w:r>
      <w:proofErr w:type="spellStart"/>
      <w:r w:rsidRPr="00647132">
        <w:rPr>
          <w:rFonts w:eastAsia="Calibri" w:cs="Times New Roman"/>
          <w:sz w:val="28"/>
          <w:szCs w:val="22"/>
          <w:lang w:eastAsia="en-US"/>
        </w:rPr>
        <w:t>Хабиб</w:t>
      </w:r>
      <w:proofErr w:type="spellEnd"/>
      <w:r w:rsidRPr="00647132">
        <w:rPr>
          <w:rFonts w:eastAsia="Calibri" w:cs="Times New Roman"/>
          <w:sz w:val="28"/>
          <w:szCs w:val="22"/>
          <w:lang w:eastAsia="en-US"/>
        </w:rPr>
        <w:t xml:space="preserve"> </w:t>
      </w:r>
      <w:proofErr w:type="spellStart"/>
      <w:r w:rsidRPr="00647132">
        <w:rPr>
          <w:rFonts w:eastAsia="Calibri" w:cs="Times New Roman"/>
          <w:sz w:val="28"/>
          <w:szCs w:val="22"/>
          <w:lang w:eastAsia="en-US"/>
        </w:rPr>
        <w:t>Эссид</w:t>
      </w:r>
      <w:proofErr w:type="spellEnd"/>
      <w:r w:rsidRPr="00647132">
        <w:rPr>
          <w:rFonts w:eastAsia="Calibri" w:cs="Times New Roman"/>
          <w:sz w:val="28"/>
          <w:szCs w:val="22"/>
          <w:lang w:eastAsia="en-US"/>
        </w:rPr>
        <w:t xml:space="preserve"> сдаваться не собирается. Он заявил следующее: «Мы будем вынуждены применять все имеющиеся у нас средства для разгона демонстраций». Правда, сложностей правительству добавляет протест силовиков. В понедельник около 3 тыс. служащих сил безопасности в штатском провели мирный митинг перед президентским дворцом в городе </w:t>
      </w:r>
      <w:proofErr w:type="spellStart"/>
      <w:r w:rsidRPr="00647132">
        <w:rPr>
          <w:rFonts w:eastAsia="Calibri" w:cs="Times New Roman"/>
          <w:sz w:val="28"/>
          <w:szCs w:val="22"/>
          <w:lang w:eastAsia="en-US"/>
        </w:rPr>
        <w:t>Картаж</w:t>
      </w:r>
      <w:proofErr w:type="spellEnd"/>
      <w:r w:rsidRPr="00647132">
        <w:rPr>
          <w:rFonts w:eastAsia="Calibri" w:cs="Times New Roman"/>
          <w:sz w:val="28"/>
          <w:szCs w:val="22"/>
          <w:lang w:eastAsia="en-US"/>
        </w:rPr>
        <w:t xml:space="preserve"> (на месте древнего Карфагена), что недалеко от столицы. Силовики требовали увеличения зарплат, поскольку «защищают народ». Дорогу им перекрыла президентская гвардия. По словам пресс-секретаря профсоюза, в это правительство они больше не верят.</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Развитие событий очень сильно напоминает то, что происходило в стране несколько лет назад. Совсем недавно, 14 января, Тунис отмечал пятую годовщину завершения так называемой Второй жасминовой революции (первая была в Тунисе в 1987 году) – протестов, которые начались 24 декабря 2010 года и завершились в январе следующего. Те события запустили маховик Арабской весны на всем Ближнем Востоке.</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 xml:space="preserve">Забавно, что </w:t>
      </w:r>
      <w:proofErr w:type="gramStart"/>
      <w:r w:rsidRPr="00647132">
        <w:rPr>
          <w:rFonts w:eastAsia="Calibri" w:cs="Times New Roman"/>
          <w:sz w:val="28"/>
          <w:szCs w:val="22"/>
          <w:lang w:eastAsia="en-US"/>
        </w:rPr>
        <w:t>ас-Сиси</w:t>
      </w:r>
      <w:proofErr w:type="gramEnd"/>
      <w:r w:rsidRPr="00647132">
        <w:rPr>
          <w:rFonts w:eastAsia="Calibri" w:cs="Times New Roman"/>
          <w:sz w:val="28"/>
          <w:szCs w:val="22"/>
          <w:lang w:eastAsia="en-US"/>
        </w:rPr>
        <w:t xml:space="preserve">, авторитарный президент Египта, где в воскресенье как раз отмечали пять лет с начала собственной революции, поддержал правительство Туниса. Он призвал тунисцев терпеть и не позволить стране скатиться к гибели. Во время протестов 2010-2011 года тамошний диктатор </w:t>
      </w:r>
      <w:proofErr w:type="spellStart"/>
      <w:r w:rsidRPr="00647132">
        <w:rPr>
          <w:rFonts w:eastAsia="Calibri" w:cs="Times New Roman"/>
          <w:sz w:val="28"/>
          <w:szCs w:val="22"/>
          <w:lang w:eastAsia="en-US"/>
        </w:rPr>
        <w:t>Хосни</w:t>
      </w:r>
      <w:proofErr w:type="spellEnd"/>
      <w:r w:rsidRPr="00647132">
        <w:rPr>
          <w:rFonts w:eastAsia="Calibri" w:cs="Times New Roman"/>
          <w:sz w:val="28"/>
          <w:szCs w:val="22"/>
          <w:lang w:eastAsia="en-US"/>
        </w:rPr>
        <w:t xml:space="preserve"> </w:t>
      </w:r>
      <w:proofErr w:type="spellStart"/>
      <w:r w:rsidRPr="00647132">
        <w:rPr>
          <w:rFonts w:eastAsia="Calibri" w:cs="Times New Roman"/>
          <w:sz w:val="28"/>
          <w:szCs w:val="22"/>
          <w:lang w:eastAsia="en-US"/>
        </w:rPr>
        <w:t>Мубарак</w:t>
      </w:r>
      <w:proofErr w:type="spellEnd"/>
      <w:r w:rsidRPr="00647132">
        <w:rPr>
          <w:rFonts w:eastAsia="Calibri" w:cs="Times New Roman"/>
          <w:sz w:val="28"/>
          <w:szCs w:val="22"/>
          <w:lang w:eastAsia="en-US"/>
        </w:rPr>
        <w:t xml:space="preserve"> также предостерегал против волнений. И вскоре был смещен собственным народом.</w:t>
      </w:r>
    </w:p>
    <w:p w:rsidR="00647132" w:rsidRP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 xml:space="preserve">Те же причины и такой же повод были у протестов, которые начались </w:t>
      </w:r>
      <w:proofErr w:type="gramStart"/>
      <w:r w:rsidRPr="00647132">
        <w:rPr>
          <w:rFonts w:eastAsia="Calibri" w:cs="Times New Roman"/>
          <w:sz w:val="28"/>
          <w:szCs w:val="22"/>
          <w:lang w:eastAsia="en-US"/>
        </w:rPr>
        <w:t>Тунисе</w:t>
      </w:r>
      <w:proofErr w:type="gramEnd"/>
      <w:r w:rsidRPr="00647132">
        <w:rPr>
          <w:rFonts w:eastAsia="Calibri" w:cs="Times New Roman"/>
          <w:sz w:val="28"/>
          <w:szCs w:val="22"/>
          <w:lang w:eastAsia="en-US"/>
        </w:rPr>
        <w:t xml:space="preserve"> в этом году, и событий пятилетней давности идентичный повод и те </w:t>
      </w:r>
      <w:r w:rsidRPr="00647132">
        <w:rPr>
          <w:rFonts w:eastAsia="Calibri" w:cs="Times New Roman"/>
          <w:sz w:val="28"/>
          <w:szCs w:val="22"/>
          <w:lang w:eastAsia="en-US"/>
        </w:rPr>
        <w:lastRenderedPageBreak/>
        <w:t xml:space="preserve">же причины. 17 декабря 2010 года 26-летний Мохаммед </w:t>
      </w:r>
      <w:proofErr w:type="spellStart"/>
      <w:r w:rsidRPr="00647132">
        <w:rPr>
          <w:rFonts w:eastAsia="Calibri" w:cs="Times New Roman"/>
          <w:sz w:val="28"/>
          <w:szCs w:val="22"/>
          <w:lang w:eastAsia="en-US"/>
        </w:rPr>
        <w:t>Буазизи</w:t>
      </w:r>
      <w:proofErr w:type="spellEnd"/>
      <w:r w:rsidRPr="00647132">
        <w:rPr>
          <w:rFonts w:eastAsia="Calibri" w:cs="Times New Roman"/>
          <w:sz w:val="28"/>
          <w:szCs w:val="22"/>
          <w:lang w:eastAsia="en-US"/>
        </w:rPr>
        <w:t xml:space="preserve"> совершил попытку самосожжения. Молодой человек без высшего образования и работавший с 10 лет смог найти новую работу только на рынке, где продавал овощи и фрукты. Правда, недолго. Вскоре к нему пожаловали представители власти и запретили продавать из-за отсутствия разрешения, дали штраф, конфисковали весы, сбросили с прилавка товар. После того как в мэрии его жалобу даже не выслушали, </w:t>
      </w:r>
      <w:proofErr w:type="spellStart"/>
      <w:r w:rsidRPr="00647132">
        <w:rPr>
          <w:rFonts w:eastAsia="Calibri" w:cs="Times New Roman"/>
          <w:sz w:val="28"/>
          <w:szCs w:val="22"/>
          <w:lang w:eastAsia="en-US"/>
        </w:rPr>
        <w:t>Буазизи</w:t>
      </w:r>
      <w:proofErr w:type="spellEnd"/>
      <w:r w:rsidRPr="00647132">
        <w:rPr>
          <w:rFonts w:eastAsia="Calibri" w:cs="Times New Roman"/>
          <w:sz w:val="28"/>
          <w:szCs w:val="22"/>
          <w:lang w:eastAsia="en-US"/>
        </w:rPr>
        <w:t xml:space="preserve"> облил себя бензином и поджег. Скончался он в январе. После этого случая из небольшого города Сиди-</w:t>
      </w:r>
      <w:proofErr w:type="spellStart"/>
      <w:r w:rsidRPr="00647132">
        <w:rPr>
          <w:rFonts w:eastAsia="Calibri" w:cs="Times New Roman"/>
          <w:sz w:val="28"/>
          <w:szCs w:val="22"/>
          <w:lang w:eastAsia="en-US"/>
        </w:rPr>
        <w:t>Бузид</w:t>
      </w:r>
      <w:proofErr w:type="spellEnd"/>
      <w:r w:rsidRPr="00647132">
        <w:rPr>
          <w:rFonts w:eastAsia="Calibri" w:cs="Times New Roman"/>
          <w:sz w:val="28"/>
          <w:szCs w:val="22"/>
          <w:lang w:eastAsia="en-US"/>
        </w:rPr>
        <w:t xml:space="preserve"> протест перекинулся на другие города Туниса.</w:t>
      </w:r>
    </w:p>
    <w:p w:rsidR="00647132" w:rsidRDefault="00647132" w:rsidP="00647132">
      <w:pPr>
        <w:widowControl/>
        <w:autoSpaceDE/>
        <w:autoSpaceDN/>
        <w:adjustRightInd/>
        <w:spacing w:after="200" w:line="360" w:lineRule="auto"/>
        <w:ind w:firstLine="709"/>
        <w:contextualSpacing/>
        <w:rPr>
          <w:rFonts w:eastAsia="Calibri" w:cs="Times New Roman"/>
          <w:sz w:val="28"/>
          <w:szCs w:val="22"/>
          <w:lang w:eastAsia="en-US"/>
        </w:rPr>
      </w:pPr>
      <w:r w:rsidRPr="00647132">
        <w:rPr>
          <w:rFonts w:eastAsia="Calibri" w:cs="Times New Roman"/>
          <w:sz w:val="28"/>
          <w:szCs w:val="22"/>
          <w:lang w:eastAsia="en-US"/>
        </w:rPr>
        <w:t xml:space="preserve">16 января 2016 года в </w:t>
      </w:r>
      <w:proofErr w:type="spellStart"/>
      <w:r w:rsidRPr="00647132">
        <w:rPr>
          <w:rFonts w:eastAsia="Calibri" w:cs="Times New Roman"/>
          <w:sz w:val="28"/>
          <w:szCs w:val="22"/>
          <w:lang w:eastAsia="en-US"/>
        </w:rPr>
        <w:t>Кассерине</w:t>
      </w:r>
      <w:proofErr w:type="spellEnd"/>
      <w:r w:rsidRPr="00647132">
        <w:rPr>
          <w:rFonts w:eastAsia="Calibri" w:cs="Times New Roman"/>
          <w:sz w:val="28"/>
          <w:szCs w:val="22"/>
          <w:lang w:eastAsia="en-US"/>
        </w:rPr>
        <w:t xml:space="preserve"> (недалеко от Сиди-</w:t>
      </w:r>
      <w:proofErr w:type="spellStart"/>
      <w:r w:rsidRPr="00647132">
        <w:rPr>
          <w:rFonts w:eastAsia="Calibri" w:cs="Times New Roman"/>
          <w:sz w:val="28"/>
          <w:szCs w:val="22"/>
          <w:lang w:eastAsia="en-US"/>
        </w:rPr>
        <w:t>Бузида</w:t>
      </w:r>
      <w:proofErr w:type="spellEnd"/>
      <w:r w:rsidRPr="00647132">
        <w:rPr>
          <w:rFonts w:eastAsia="Calibri" w:cs="Times New Roman"/>
          <w:sz w:val="28"/>
          <w:szCs w:val="22"/>
          <w:lang w:eastAsia="en-US"/>
        </w:rPr>
        <w:t xml:space="preserve">) безработный Рида </w:t>
      </w:r>
      <w:proofErr w:type="spellStart"/>
      <w:r w:rsidRPr="00647132">
        <w:rPr>
          <w:rFonts w:eastAsia="Calibri" w:cs="Times New Roman"/>
          <w:sz w:val="28"/>
          <w:szCs w:val="22"/>
          <w:lang w:eastAsia="en-US"/>
        </w:rPr>
        <w:t>Яауи</w:t>
      </w:r>
      <w:proofErr w:type="spellEnd"/>
      <w:r w:rsidRPr="00647132">
        <w:rPr>
          <w:rFonts w:eastAsia="Calibri" w:cs="Times New Roman"/>
          <w:sz w:val="28"/>
          <w:szCs w:val="22"/>
          <w:lang w:eastAsia="en-US"/>
        </w:rPr>
        <w:t xml:space="preserve">, которому также было 26 лет, предположительно совершил самоубийство перед зданием городской администрации: залез на опору линии электропередач, где был убит током. Ранее Рида исключили из очереди на получение должности в Министерстве образования. Последствия пока те же – протесты начинаются сначала в родном городе, затем распространяются по всей стране. Еще один юноша через два дня сделал то же, что и </w:t>
      </w:r>
      <w:proofErr w:type="spellStart"/>
      <w:r w:rsidRPr="00647132">
        <w:rPr>
          <w:rFonts w:eastAsia="Calibri" w:cs="Times New Roman"/>
          <w:sz w:val="28"/>
          <w:szCs w:val="22"/>
          <w:lang w:eastAsia="en-US"/>
        </w:rPr>
        <w:t>Яауи</w:t>
      </w:r>
      <w:proofErr w:type="spellEnd"/>
      <w:r w:rsidRPr="00647132">
        <w:rPr>
          <w:rFonts w:eastAsia="Calibri" w:cs="Times New Roman"/>
          <w:sz w:val="28"/>
          <w:szCs w:val="22"/>
          <w:lang w:eastAsia="en-US"/>
        </w:rPr>
        <w:t>.</w:t>
      </w:r>
    </w:p>
    <w:p w:rsidR="00E0171D" w:rsidRDefault="00E0171D" w:rsidP="00647132">
      <w:pPr>
        <w:widowControl/>
        <w:autoSpaceDE/>
        <w:autoSpaceDN/>
        <w:adjustRightInd/>
        <w:spacing w:after="200" w:line="360" w:lineRule="auto"/>
        <w:ind w:firstLine="709"/>
        <w:contextualSpacing/>
        <w:rPr>
          <w:rFonts w:eastAsia="Calibri" w:cs="Times New Roman"/>
          <w:b/>
          <w:sz w:val="28"/>
          <w:szCs w:val="22"/>
          <w:lang w:eastAsia="en-US"/>
        </w:rPr>
      </w:pPr>
      <w:bookmarkStart w:id="0" w:name="_GoBack"/>
      <w:bookmarkEnd w:id="0"/>
    </w:p>
    <w:p w:rsidR="00334166" w:rsidRPr="00E0171D" w:rsidRDefault="00334166" w:rsidP="00647132">
      <w:pPr>
        <w:widowControl/>
        <w:autoSpaceDE/>
        <w:autoSpaceDN/>
        <w:adjustRightInd/>
        <w:spacing w:after="200" w:line="360" w:lineRule="auto"/>
        <w:ind w:firstLine="709"/>
        <w:contextualSpacing/>
        <w:rPr>
          <w:rFonts w:eastAsia="Calibri" w:cs="Times New Roman"/>
          <w:b/>
          <w:sz w:val="28"/>
          <w:szCs w:val="22"/>
          <w:lang w:eastAsia="en-US"/>
        </w:rPr>
      </w:pPr>
      <w:r w:rsidRPr="00E0171D">
        <w:rPr>
          <w:rFonts w:eastAsia="Calibri" w:cs="Times New Roman"/>
          <w:b/>
          <w:sz w:val="28"/>
          <w:szCs w:val="22"/>
          <w:lang w:eastAsia="en-US"/>
        </w:rPr>
        <w:t>Литература:</w:t>
      </w:r>
    </w:p>
    <w:p w:rsidR="00E0171D" w:rsidRPr="00E0171D" w:rsidRDefault="00E0171D" w:rsidP="00E0171D">
      <w:pPr>
        <w:jc w:val="left"/>
        <w:rPr>
          <w:sz w:val="28"/>
          <w:szCs w:val="28"/>
        </w:rPr>
      </w:pPr>
      <w:r w:rsidRPr="00E0171D">
        <w:rPr>
          <w:sz w:val="28"/>
          <w:szCs w:val="28"/>
        </w:rPr>
        <w:t>1.</w:t>
      </w:r>
      <w:r w:rsidRPr="00E0171D">
        <w:rPr>
          <w:sz w:val="28"/>
          <w:szCs w:val="28"/>
        </w:rPr>
        <w:tab/>
        <w:t>И. Л. Алексеев. Арабская весна: революция или смута? // Ислам в современном мире. – 2012. – № 3–4.</w:t>
      </w:r>
    </w:p>
    <w:p w:rsidR="00E0171D" w:rsidRPr="00E0171D" w:rsidRDefault="00E0171D" w:rsidP="00E0171D">
      <w:pPr>
        <w:jc w:val="left"/>
        <w:rPr>
          <w:sz w:val="28"/>
          <w:szCs w:val="28"/>
        </w:rPr>
      </w:pPr>
      <w:r w:rsidRPr="00E0171D">
        <w:rPr>
          <w:sz w:val="28"/>
          <w:szCs w:val="28"/>
        </w:rPr>
        <w:t>2.</w:t>
      </w:r>
      <w:r w:rsidRPr="00E0171D">
        <w:rPr>
          <w:sz w:val="28"/>
          <w:szCs w:val="28"/>
        </w:rPr>
        <w:tab/>
        <w:t>«Арабский кризис» и его международные последствия / Под общ</w:t>
      </w:r>
      <w:proofErr w:type="gramStart"/>
      <w:r w:rsidRPr="00E0171D">
        <w:rPr>
          <w:sz w:val="28"/>
          <w:szCs w:val="28"/>
        </w:rPr>
        <w:t>.</w:t>
      </w:r>
      <w:proofErr w:type="gramEnd"/>
      <w:r w:rsidRPr="00E0171D">
        <w:rPr>
          <w:sz w:val="28"/>
          <w:szCs w:val="28"/>
        </w:rPr>
        <w:t xml:space="preserve"> </w:t>
      </w:r>
      <w:proofErr w:type="gramStart"/>
      <w:r w:rsidRPr="00E0171D">
        <w:rPr>
          <w:sz w:val="28"/>
          <w:szCs w:val="28"/>
        </w:rPr>
        <w:t>р</w:t>
      </w:r>
      <w:proofErr w:type="gramEnd"/>
      <w:r w:rsidRPr="00E0171D">
        <w:rPr>
          <w:sz w:val="28"/>
          <w:szCs w:val="28"/>
        </w:rPr>
        <w:t xml:space="preserve">ед. А. М. Васильева. Отв. ред. А. Д. Саватеев, Л. М. Исаев. – М.: ЛЕНАНД,. 2014. </w:t>
      </w:r>
    </w:p>
    <w:p w:rsidR="00E0171D" w:rsidRPr="00E0171D" w:rsidRDefault="00E0171D" w:rsidP="00E0171D">
      <w:pPr>
        <w:jc w:val="left"/>
        <w:rPr>
          <w:sz w:val="28"/>
          <w:szCs w:val="28"/>
        </w:rPr>
      </w:pPr>
      <w:r w:rsidRPr="00E0171D">
        <w:rPr>
          <w:sz w:val="28"/>
          <w:szCs w:val="28"/>
        </w:rPr>
        <w:t>3.</w:t>
      </w:r>
      <w:r w:rsidRPr="00E0171D">
        <w:rPr>
          <w:sz w:val="28"/>
          <w:szCs w:val="28"/>
        </w:rPr>
        <w:tab/>
        <w:t>Бартенев В. И. Ливийская проблема в международных отношениях 1968–2009 гг. – М.: Изд-во МГУ, 2009. – 448 с.</w:t>
      </w:r>
    </w:p>
    <w:p w:rsidR="00E0171D" w:rsidRPr="00E0171D" w:rsidRDefault="00E0171D" w:rsidP="00E0171D">
      <w:pPr>
        <w:jc w:val="left"/>
        <w:rPr>
          <w:sz w:val="28"/>
          <w:szCs w:val="28"/>
        </w:rPr>
      </w:pPr>
      <w:r w:rsidRPr="00E0171D">
        <w:rPr>
          <w:sz w:val="28"/>
          <w:szCs w:val="28"/>
        </w:rPr>
        <w:t>4.</w:t>
      </w:r>
      <w:r w:rsidRPr="00E0171D">
        <w:rPr>
          <w:sz w:val="28"/>
          <w:szCs w:val="28"/>
        </w:rPr>
        <w:tab/>
        <w:t>Вавилов В. В., Кукушкин В. Ю. «Третья всемирная теория»  М. Каддафи и практика политического и социально-экономического развития Ливии. – М., 1982.</w:t>
      </w:r>
    </w:p>
    <w:p w:rsidR="00E0171D" w:rsidRPr="00E0171D" w:rsidRDefault="00E0171D" w:rsidP="00E0171D">
      <w:pPr>
        <w:jc w:val="left"/>
        <w:rPr>
          <w:sz w:val="28"/>
          <w:szCs w:val="28"/>
        </w:rPr>
      </w:pPr>
      <w:r w:rsidRPr="00E0171D">
        <w:rPr>
          <w:sz w:val="28"/>
          <w:szCs w:val="28"/>
        </w:rPr>
        <w:t>5.</w:t>
      </w:r>
      <w:r w:rsidRPr="00E0171D">
        <w:rPr>
          <w:sz w:val="28"/>
          <w:szCs w:val="28"/>
        </w:rPr>
        <w:tab/>
      </w:r>
      <w:proofErr w:type="spellStart"/>
      <w:r w:rsidRPr="00E0171D">
        <w:rPr>
          <w:sz w:val="28"/>
          <w:szCs w:val="28"/>
        </w:rPr>
        <w:t>Егорин</w:t>
      </w:r>
      <w:proofErr w:type="spellEnd"/>
      <w:r w:rsidRPr="00E0171D">
        <w:rPr>
          <w:sz w:val="28"/>
          <w:szCs w:val="28"/>
        </w:rPr>
        <w:t xml:space="preserve"> А. З. История Ливии. XX век. – М., 1999. – 564 с.</w:t>
      </w:r>
    </w:p>
    <w:p w:rsidR="00E0171D" w:rsidRPr="00E0171D" w:rsidRDefault="00E0171D" w:rsidP="00E0171D">
      <w:pPr>
        <w:jc w:val="left"/>
        <w:rPr>
          <w:sz w:val="28"/>
          <w:szCs w:val="28"/>
        </w:rPr>
      </w:pPr>
      <w:r w:rsidRPr="00E0171D">
        <w:rPr>
          <w:sz w:val="28"/>
          <w:szCs w:val="28"/>
        </w:rPr>
        <w:t>6.</w:t>
      </w:r>
      <w:r w:rsidRPr="00E0171D">
        <w:rPr>
          <w:sz w:val="28"/>
          <w:szCs w:val="28"/>
        </w:rPr>
        <w:tab/>
      </w:r>
      <w:proofErr w:type="spellStart"/>
      <w:r w:rsidRPr="00E0171D">
        <w:rPr>
          <w:sz w:val="28"/>
          <w:szCs w:val="28"/>
        </w:rPr>
        <w:t>Егорин</w:t>
      </w:r>
      <w:proofErr w:type="spellEnd"/>
      <w:r w:rsidRPr="00E0171D">
        <w:rPr>
          <w:sz w:val="28"/>
          <w:szCs w:val="28"/>
        </w:rPr>
        <w:t xml:space="preserve"> А. З. </w:t>
      </w:r>
      <w:proofErr w:type="spellStart"/>
      <w:r w:rsidRPr="00E0171D">
        <w:rPr>
          <w:sz w:val="28"/>
          <w:szCs w:val="28"/>
        </w:rPr>
        <w:t>Муаммар</w:t>
      </w:r>
      <w:proofErr w:type="spellEnd"/>
      <w:r w:rsidRPr="00E0171D">
        <w:rPr>
          <w:sz w:val="28"/>
          <w:szCs w:val="28"/>
        </w:rPr>
        <w:t xml:space="preserve"> Каддафи, – М., 2009. – 464 с.</w:t>
      </w:r>
    </w:p>
    <w:p w:rsidR="00E0171D" w:rsidRPr="00E0171D" w:rsidRDefault="00E0171D" w:rsidP="00E0171D">
      <w:pPr>
        <w:jc w:val="left"/>
        <w:rPr>
          <w:sz w:val="28"/>
          <w:szCs w:val="28"/>
        </w:rPr>
      </w:pPr>
      <w:r w:rsidRPr="00E0171D">
        <w:rPr>
          <w:sz w:val="28"/>
          <w:szCs w:val="28"/>
        </w:rPr>
        <w:t>7.</w:t>
      </w:r>
      <w:r w:rsidRPr="00E0171D">
        <w:rPr>
          <w:sz w:val="28"/>
          <w:szCs w:val="28"/>
        </w:rPr>
        <w:tab/>
        <w:t xml:space="preserve">Желтов В. В., Желтов М. В. Очерки геополитики арабской весны / </w:t>
      </w:r>
      <w:proofErr w:type="spellStart"/>
      <w:r w:rsidRPr="00E0171D">
        <w:rPr>
          <w:sz w:val="28"/>
          <w:szCs w:val="28"/>
        </w:rPr>
        <w:lastRenderedPageBreak/>
        <w:t>Кемер</w:t>
      </w:r>
      <w:proofErr w:type="spellEnd"/>
      <w:r w:rsidRPr="00E0171D">
        <w:rPr>
          <w:sz w:val="28"/>
          <w:szCs w:val="28"/>
        </w:rPr>
        <w:t>. гос. ун-т. – Кемерово, 2016. – 166 с.</w:t>
      </w:r>
    </w:p>
    <w:p w:rsidR="00E0171D" w:rsidRPr="00E0171D" w:rsidRDefault="00E0171D" w:rsidP="00E0171D">
      <w:pPr>
        <w:jc w:val="left"/>
        <w:rPr>
          <w:sz w:val="28"/>
          <w:szCs w:val="28"/>
        </w:rPr>
      </w:pPr>
      <w:r w:rsidRPr="00E0171D">
        <w:rPr>
          <w:sz w:val="28"/>
          <w:szCs w:val="28"/>
        </w:rPr>
        <w:t>8.</w:t>
      </w:r>
      <w:r w:rsidRPr="00E0171D">
        <w:rPr>
          <w:sz w:val="28"/>
          <w:szCs w:val="28"/>
        </w:rPr>
        <w:tab/>
      </w:r>
      <w:proofErr w:type="spellStart"/>
      <w:r w:rsidRPr="00E0171D">
        <w:rPr>
          <w:sz w:val="28"/>
          <w:szCs w:val="28"/>
        </w:rPr>
        <w:t>Иришин</w:t>
      </w:r>
      <w:proofErr w:type="spellEnd"/>
      <w:r w:rsidRPr="00E0171D">
        <w:rPr>
          <w:sz w:val="28"/>
          <w:szCs w:val="28"/>
        </w:rPr>
        <w:t xml:space="preserve"> Г. События в Северной Африке и на Ближнем Востоке: международные факторы // Мировая экономика и международные отношения. – 2012. – № 6. – C. 102–116.</w:t>
      </w:r>
    </w:p>
    <w:p w:rsidR="00E0171D" w:rsidRPr="00E0171D" w:rsidRDefault="00E0171D" w:rsidP="00E0171D">
      <w:pPr>
        <w:jc w:val="left"/>
        <w:rPr>
          <w:sz w:val="28"/>
          <w:szCs w:val="28"/>
        </w:rPr>
      </w:pPr>
      <w:r w:rsidRPr="00E0171D">
        <w:rPr>
          <w:sz w:val="28"/>
          <w:szCs w:val="28"/>
        </w:rPr>
        <w:t>9.</w:t>
      </w:r>
      <w:r w:rsidRPr="00E0171D">
        <w:rPr>
          <w:sz w:val="28"/>
          <w:szCs w:val="28"/>
        </w:rPr>
        <w:tab/>
        <w:t xml:space="preserve"> Исаев Л. М. Исламисты и политический процесс в Тунисской Республике после «Арабской весны» // Вестник Одесского национального университета. – 2013. – № 2., Т. 18. – С. 122–130. </w:t>
      </w:r>
    </w:p>
    <w:p w:rsidR="00E0171D" w:rsidRPr="00E0171D" w:rsidRDefault="00E0171D" w:rsidP="00E0171D">
      <w:pPr>
        <w:jc w:val="left"/>
        <w:rPr>
          <w:sz w:val="28"/>
          <w:szCs w:val="28"/>
        </w:rPr>
      </w:pPr>
      <w:r w:rsidRPr="00E0171D">
        <w:rPr>
          <w:sz w:val="28"/>
          <w:szCs w:val="28"/>
        </w:rPr>
        <w:t>10.</w:t>
      </w:r>
      <w:r w:rsidRPr="00E0171D">
        <w:rPr>
          <w:sz w:val="28"/>
          <w:szCs w:val="28"/>
        </w:rPr>
        <w:tab/>
      </w:r>
      <w:proofErr w:type="spellStart"/>
      <w:r w:rsidRPr="00E0171D">
        <w:rPr>
          <w:sz w:val="28"/>
          <w:szCs w:val="28"/>
        </w:rPr>
        <w:t>Мельянцев</w:t>
      </w:r>
      <w:proofErr w:type="spellEnd"/>
      <w:r w:rsidRPr="00E0171D">
        <w:rPr>
          <w:sz w:val="28"/>
          <w:szCs w:val="28"/>
        </w:rPr>
        <w:t xml:space="preserve"> В. А. Кризис в арабском мире: экономические и социальные аспекты // Мировая экономика и международные отношения. – 2011. – №10. – С. 72–83.</w:t>
      </w:r>
    </w:p>
    <w:p w:rsidR="00E0171D" w:rsidRPr="00E0171D" w:rsidRDefault="00E0171D" w:rsidP="00E0171D">
      <w:pPr>
        <w:jc w:val="left"/>
        <w:rPr>
          <w:sz w:val="28"/>
          <w:szCs w:val="28"/>
        </w:rPr>
      </w:pPr>
      <w:r w:rsidRPr="00E0171D">
        <w:rPr>
          <w:sz w:val="28"/>
          <w:szCs w:val="28"/>
        </w:rPr>
        <w:t>11.</w:t>
      </w:r>
      <w:r w:rsidRPr="00E0171D">
        <w:rPr>
          <w:sz w:val="28"/>
          <w:szCs w:val="28"/>
        </w:rPr>
        <w:tab/>
      </w:r>
      <w:proofErr w:type="spellStart"/>
      <w:r w:rsidRPr="00E0171D">
        <w:rPr>
          <w:sz w:val="28"/>
          <w:szCs w:val="28"/>
        </w:rPr>
        <w:t>Мельянцев</w:t>
      </w:r>
      <w:proofErr w:type="spellEnd"/>
      <w:r w:rsidRPr="00E0171D">
        <w:rPr>
          <w:sz w:val="28"/>
          <w:szCs w:val="28"/>
        </w:rPr>
        <w:t xml:space="preserve"> В. А. Экономические развитие арабо-исламского мира (конец XX – начало XXI вв.): факторы и проблемы // Восток, Афро-азиатские общества: история и современность. – 2004. – №6 – С. 95–106.</w:t>
      </w:r>
    </w:p>
    <w:p w:rsidR="00E0171D" w:rsidRPr="00E0171D" w:rsidRDefault="00E0171D" w:rsidP="00E0171D">
      <w:pPr>
        <w:jc w:val="left"/>
        <w:rPr>
          <w:sz w:val="28"/>
          <w:szCs w:val="28"/>
        </w:rPr>
      </w:pPr>
      <w:r w:rsidRPr="00E0171D">
        <w:rPr>
          <w:sz w:val="28"/>
          <w:szCs w:val="28"/>
        </w:rPr>
        <w:t>12.</w:t>
      </w:r>
      <w:r w:rsidRPr="00E0171D">
        <w:rPr>
          <w:sz w:val="28"/>
          <w:szCs w:val="28"/>
        </w:rPr>
        <w:tab/>
      </w:r>
      <w:proofErr w:type="spellStart"/>
      <w:r w:rsidRPr="00E0171D">
        <w:rPr>
          <w:sz w:val="28"/>
          <w:szCs w:val="28"/>
        </w:rPr>
        <w:t>Мендкович</w:t>
      </w:r>
      <w:proofErr w:type="spellEnd"/>
      <w:r w:rsidRPr="00E0171D">
        <w:rPr>
          <w:sz w:val="28"/>
          <w:szCs w:val="28"/>
        </w:rPr>
        <w:t xml:space="preserve"> Н. А. Возможные причины Ливийской революции. «Известия» от 13.03.2011 г.</w:t>
      </w:r>
    </w:p>
    <w:p w:rsidR="00334166" w:rsidRPr="00334166" w:rsidRDefault="00E0171D" w:rsidP="00E0171D">
      <w:pPr>
        <w:jc w:val="left"/>
        <w:rPr>
          <w:sz w:val="28"/>
          <w:szCs w:val="28"/>
        </w:rPr>
      </w:pPr>
      <w:r w:rsidRPr="00E0171D">
        <w:rPr>
          <w:sz w:val="28"/>
          <w:szCs w:val="28"/>
        </w:rPr>
        <w:t>13.</w:t>
      </w:r>
      <w:r w:rsidRPr="00E0171D">
        <w:rPr>
          <w:sz w:val="28"/>
          <w:szCs w:val="28"/>
        </w:rPr>
        <w:tab/>
      </w:r>
      <w:proofErr w:type="spellStart"/>
      <w:r w:rsidRPr="00E0171D">
        <w:rPr>
          <w:sz w:val="28"/>
          <w:szCs w:val="28"/>
        </w:rPr>
        <w:t>Коротаев</w:t>
      </w:r>
      <w:proofErr w:type="spellEnd"/>
      <w:r w:rsidRPr="00E0171D">
        <w:rPr>
          <w:sz w:val="28"/>
          <w:szCs w:val="28"/>
        </w:rPr>
        <w:t xml:space="preserve"> А. В., </w:t>
      </w:r>
      <w:proofErr w:type="spellStart"/>
      <w:r w:rsidRPr="00E0171D">
        <w:rPr>
          <w:sz w:val="28"/>
          <w:szCs w:val="28"/>
        </w:rPr>
        <w:t>Зинькина</w:t>
      </w:r>
      <w:proofErr w:type="spellEnd"/>
      <w:r w:rsidRPr="00E0171D">
        <w:rPr>
          <w:sz w:val="28"/>
          <w:szCs w:val="28"/>
        </w:rPr>
        <w:t xml:space="preserve"> Ю. В., Ходунов А. С. Системный мониторинг глобальных и региональных рисков: Арабская весна 2011 года, – М., 2012. – 464 с.</w:t>
      </w:r>
    </w:p>
    <w:sectPr w:rsidR="00334166" w:rsidRPr="003341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49E" w:rsidRDefault="0024049E" w:rsidP="00894294">
      <w:pPr>
        <w:spacing w:line="240" w:lineRule="auto"/>
      </w:pPr>
      <w:r>
        <w:separator/>
      </w:r>
    </w:p>
  </w:endnote>
  <w:endnote w:type="continuationSeparator" w:id="0">
    <w:p w:rsidR="0024049E" w:rsidRDefault="0024049E" w:rsidP="008942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49E" w:rsidRDefault="0024049E" w:rsidP="00894294">
      <w:pPr>
        <w:spacing w:line="240" w:lineRule="auto"/>
      </w:pPr>
      <w:r>
        <w:separator/>
      </w:r>
    </w:p>
  </w:footnote>
  <w:footnote w:type="continuationSeparator" w:id="0">
    <w:p w:rsidR="0024049E" w:rsidRDefault="0024049E" w:rsidP="00894294">
      <w:pPr>
        <w:spacing w:line="240" w:lineRule="auto"/>
      </w:pPr>
      <w:r>
        <w:continuationSeparator/>
      </w:r>
    </w:p>
  </w:footnote>
  <w:footnote w:id="1">
    <w:p w:rsidR="00647132" w:rsidRPr="000F286C" w:rsidRDefault="00647132" w:rsidP="00647132">
      <w:pPr>
        <w:pStyle w:val="a9"/>
        <w:contextualSpacing/>
        <w:jc w:val="both"/>
        <w:rPr>
          <w:rFonts w:eastAsia="Calibri" w:cs="Times New Roman"/>
          <w:sz w:val="24"/>
        </w:rPr>
      </w:pPr>
      <w:r w:rsidRPr="000F286C">
        <w:rPr>
          <w:rStyle w:val="ab"/>
          <w:rFonts w:eastAsia="Calibri" w:cs="Times New Roman"/>
          <w:sz w:val="24"/>
        </w:rPr>
        <w:footnoteRef/>
      </w:r>
      <w:r>
        <w:rPr>
          <w:rFonts w:eastAsia="Calibri" w:cs="Times New Roman"/>
          <w:sz w:val="24"/>
        </w:rPr>
        <w:t xml:space="preserve"> </w:t>
      </w:r>
      <w:proofErr w:type="spellStart"/>
      <w:r w:rsidRPr="0067778F">
        <w:rPr>
          <w:rFonts w:eastAsia="Calibri" w:cs="Times New Roman"/>
          <w:sz w:val="24"/>
        </w:rPr>
        <w:t>Мендкович</w:t>
      </w:r>
      <w:proofErr w:type="spellEnd"/>
      <w:r w:rsidRPr="0067778F">
        <w:rPr>
          <w:rFonts w:eastAsia="Calibri" w:cs="Times New Roman"/>
          <w:sz w:val="24"/>
        </w:rPr>
        <w:t xml:space="preserve"> Н. А. Возможные причины Ливийской революции. «Известия» от 13.03.2011 г.</w:t>
      </w:r>
    </w:p>
  </w:footnote>
  <w:footnote w:id="2">
    <w:p w:rsidR="00647132" w:rsidRPr="000F286C" w:rsidRDefault="00647132" w:rsidP="00647132">
      <w:pPr>
        <w:pStyle w:val="a9"/>
        <w:jc w:val="both"/>
        <w:rPr>
          <w:rFonts w:eastAsia="Calibri" w:cs="Times New Roman"/>
          <w:sz w:val="24"/>
        </w:rPr>
      </w:pPr>
      <w:r w:rsidRPr="000F286C">
        <w:rPr>
          <w:rStyle w:val="ab"/>
          <w:rFonts w:eastAsia="Calibri" w:cs="Times New Roman"/>
          <w:sz w:val="24"/>
        </w:rPr>
        <w:footnoteRef/>
      </w:r>
      <w:r w:rsidRPr="000F286C">
        <w:rPr>
          <w:rFonts w:eastAsia="Calibri" w:cs="Times New Roman"/>
          <w:sz w:val="24"/>
        </w:rPr>
        <w:t xml:space="preserve"> </w:t>
      </w:r>
      <w:r w:rsidRPr="0067778F">
        <w:rPr>
          <w:rFonts w:eastAsia="Calibri" w:cs="Times New Roman"/>
          <w:sz w:val="24"/>
        </w:rPr>
        <w:t>Неравенство в доходах на мировом рынке и будущее социализма // Скепсис [Электронный ресурс] Режим доступа: http://scepsis.net/library/id_2293.html  (дата обращения: 28.05.2017)</w:t>
      </w:r>
    </w:p>
  </w:footnote>
  <w:footnote w:id="3">
    <w:p w:rsidR="00647132" w:rsidRPr="000F286C" w:rsidRDefault="00647132" w:rsidP="00647132">
      <w:pPr>
        <w:pStyle w:val="a9"/>
        <w:jc w:val="both"/>
        <w:rPr>
          <w:rFonts w:eastAsia="Calibri" w:cs="Times New Roman"/>
          <w:sz w:val="24"/>
        </w:rPr>
      </w:pPr>
      <w:r w:rsidRPr="000F286C">
        <w:rPr>
          <w:rStyle w:val="ab"/>
          <w:rFonts w:eastAsia="Calibri" w:cs="Times New Roman"/>
          <w:sz w:val="24"/>
        </w:rPr>
        <w:footnoteRef/>
      </w:r>
      <w:r w:rsidRPr="000F286C">
        <w:rPr>
          <w:rFonts w:eastAsia="Calibri" w:cs="Times New Roman"/>
          <w:sz w:val="24"/>
        </w:rPr>
        <w:t xml:space="preserve"> </w:t>
      </w:r>
      <w:proofErr w:type="spellStart"/>
      <w:r w:rsidRPr="0067778F">
        <w:rPr>
          <w:rFonts w:eastAsia="Calibri" w:cs="Times New Roman"/>
          <w:sz w:val="24"/>
        </w:rPr>
        <w:t>Мендкович</w:t>
      </w:r>
      <w:proofErr w:type="spellEnd"/>
      <w:r w:rsidRPr="0067778F">
        <w:rPr>
          <w:rFonts w:eastAsia="Calibri" w:cs="Times New Roman"/>
          <w:sz w:val="24"/>
        </w:rPr>
        <w:t xml:space="preserve"> Н. А. Возможные причины Ливийской революции. «Известия» от 13.03.2011 г.</w:t>
      </w:r>
    </w:p>
  </w:footnote>
  <w:footnote w:id="4">
    <w:p w:rsidR="00647132" w:rsidRPr="000F286C" w:rsidRDefault="00647132" w:rsidP="00647132">
      <w:pPr>
        <w:pStyle w:val="a9"/>
        <w:jc w:val="both"/>
        <w:rPr>
          <w:rFonts w:eastAsia="Calibri" w:cs="Times New Roman"/>
          <w:sz w:val="24"/>
        </w:rPr>
      </w:pPr>
      <w:r w:rsidRPr="000F286C">
        <w:rPr>
          <w:rStyle w:val="ab"/>
          <w:rFonts w:eastAsia="Calibri" w:cs="Times New Roman"/>
          <w:sz w:val="24"/>
        </w:rPr>
        <w:footnoteRef/>
      </w:r>
      <w:r w:rsidRPr="000F286C">
        <w:rPr>
          <w:rFonts w:eastAsia="Calibri" w:cs="Times New Roman"/>
          <w:sz w:val="24"/>
        </w:rPr>
        <w:t xml:space="preserve"> </w:t>
      </w:r>
      <w:proofErr w:type="spellStart"/>
      <w:r w:rsidRPr="00500C4E">
        <w:rPr>
          <w:rFonts w:eastAsia="Calibri" w:cs="Times New Roman"/>
          <w:sz w:val="24"/>
        </w:rPr>
        <w:t>Мельянцев</w:t>
      </w:r>
      <w:proofErr w:type="spellEnd"/>
      <w:r w:rsidRPr="00500C4E">
        <w:rPr>
          <w:rFonts w:eastAsia="Calibri" w:cs="Times New Roman"/>
          <w:sz w:val="24"/>
        </w:rPr>
        <w:t xml:space="preserve"> В. А. Кризис в арабском мире: экономические и социальные аспекты // Мировая экономика и международные отношения. – 2011. – №10. – С. 72–83.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89184A"/>
    <w:multiLevelType w:val="hybridMultilevel"/>
    <w:tmpl w:val="FE3032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EF9"/>
    <w:rsid w:val="00133FDD"/>
    <w:rsid w:val="0024049E"/>
    <w:rsid w:val="00334166"/>
    <w:rsid w:val="00511ADB"/>
    <w:rsid w:val="00647132"/>
    <w:rsid w:val="00894294"/>
    <w:rsid w:val="009F3EF9"/>
    <w:rsid w:val="00B658F6"/>
    <w:rsid w:val="00B96CD9"/>
    <w:rsid w:val="00D24EDA"/>
    <w:rsid w:val="00D2632F"/>
    <w:rsid w:val="00E0171D"/>
    <w:rsid w:val="00E8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CD9"/>
    <w:pPr>
      <w:widowControl w:val="0"/>
      <w:autoSpaceDE w:val="0"/>
      <w:autoSpaceDN w:val="0"/>
      <w:adjustRightInd w:val="0"/>
      <w:spacing w:after="0" w:line="300" w:lineRule="auto"/>
      <w:ind w:firstLine="360"/>
      <w:jc w:val="both"/>
    </w:pPr>
    <w:rPr>
      <w:rFonts w:ascii="Times New Roman" w:hAnsi="Times New Roman"/>
      <w:sz w:val="16"/>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96CD9"/>
    <w:rPr>
      <w:b/>
      <w:bCs/>
    </w:rPr>
  </w:style>
  <w:style w:type="paragraph" w:styleId="a4">
    <w:name w:val="header"/>
    <w:basedOn w:val="a"/>
    <w:link w:val="a5"/>
    <w:uiPriority w:val="99"/>
    <w:unhideWhenUsed/>
    <w:rsid w:val="00894294"/>
    <w:pPr>
      <w:tabs>
        <w:tab w:val="center" w:pos="4677"/>
        <w:tab w:val="right" w:pos="9355"/>
      </w:tabs>
      <w:spacing w:line="240" w:lineRule="auto"/>
    </w:pPr>
  </w:style>
  <w:style w:type="character" w:customStyle="1" w:styleId="a5">
    <w:name w:val="Верхний колонтитул Знак"/>
    <w:basedOn w:val="a0"/>
    <w:link w:val="a4"/>
    <w:uiPriority w:val="99"/>
    <w:rsid w:val="00894294"/>
    <w:rPr>
      <w:rFonts w:ascii="Times New Roman" w:hAnsi="Times New Roman"/>
      <w:sz w:val="16"/>
      <w:szCs w:val="16"/>
      <w:lang w:eastAsia="ru-RU"/>
    </w:rPr>
  </w:style>
  <w:style w:type="paragraph" w:styleId="a6">
    <w:name w:val="footer"/>
    <w:basedOn w:val="a"/>
    <w:link w:val="a7"/>
    <w:uiPriority w:val="99"/>
    <w:unhideWhenUsed/>
    <w:rsid w:val="00894294"/>
    <w:pPr>
      <w:tabs>
        <w:tab w:val="center" w:pos="4677"/>
        <w:tab w:val="right" w:pos="9355"/>
      </w:tabs>
      <w:spacing w:line="240" w:lineRule="auto"/>
    </w:pPr>
  </w:style>
  <w:style w:type="character" w:customStyle="1" w:styleId="a7">
    <w:name w:val="Нижний колонтитул Знак"/>
    <w:basedOn w:val="a0"/>
    <w:link w:val="a6"/>
    <w:uiPriority w:val="99"/>
    <w:rsid w:val="00894294"/>
    <w:rPr>
      <w:rFonts w:ascii="Times New Roman" w:hAnsi="Times New Roman"/>
      <w:sz w:val="16"/>
      <w:szCs w:val="16"/>
      <w:lang w:eastAsia="ru-RU"/>
    </w:rPr>
  </w:style>
  <w:style w:type="paragraph" w:styleId="a8">
    <w:name w:val="Normal (Web)"/>
    <w:basedOn w:val="a"/>
    <w:uiPriority w:val="99"/>
    <w:unhideWhenUsed/>
    <w:rsid w:val="00894294"/>
    <w:pPr>
      <w:widowControl/>
      <w:autoSpaceDE/>
      <w:autoSpaceDN/>
      <w:adjustRightInd/>
      <w:spacing w:before="100" w:beforeAutospacing="1" w:after="100" w:afterAutospacing="1" w:line="240" w:lineRule="auto"/>
      <w:ind w:firstLine="0"/>
      <w:jc w:val="left"/>
    </w:pPr>
    <w:rPr>
      <w:rFonts w:eastAsia="Times New Roman" w:cs="Times New Roman"/>
      <w:sz w:val="24"/>
      <w:szCs w:val="24"/>
    </w:rPr>
  </w:style>
  <w:style w:type="paragraph" w:styleId="a9">
    <w:name w:val="footnote text"/>
    <w:basedOn w:val="a"/>
    <w:link w:val="aa"/>
    <w:unhideWhenUsed/>
    <w:rsid w:val="00647132"/>
    <w:pPr>
      <w:widowControl/>
      <w:autoSpaceDE/>
      <w:autoSpaceDN/>
      <w:adjustRightInd/>
      <w:spacing w:line="240" w:lineRule="auto"/>
      <w:ind w:firstLine="0"/>
      <w:jc w:val="left"/>
    </w:pPr>
    <w:rPr>
      <w:sz w:val="20"/>
      <w:szCs w:val="20"/>
      <w:lang w:eastAsia="en-US"/>
    </w:rPr>
  </w:style>
  <w:style w:type="character" w:customStyle="1" w:styleId="aa">
    <w:name w:val="Текст сноски Знак"/>
    <w:basedOn w:val="a0"/>
    <w:link w:val="a9"/>
    <w:rsid w:val="00647132"/>
    <w:rPr>
      <w:rFonts w:ascii="Times New Roman" w:hAnsi="Times New Roman"/>
      <w:sz w:val="20"/>
      <w:szCs w:val="20"/>
    </w:rPr>
  </w:style>
  <w:style w:type="character" w:styleId="ab">
    <w:name w:val="footnote reference"/>
    <w:basedOn w:val="a0"/>
    <w:unhideWhenUsed/>
    <w:rsid w:val="006471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CD9"/>
    <w:pPr>
      <w:widowControl w:val="0"/>
      <w:autoSpaceDE w:val="0"/>
      <w:autoSpaceDN w:val="0"/>
      <w:adjustRightInd w:val="0"/>
      <w:spacing w:after="0" w:line="300" w:lineRule="auto"/>
      <w:ind w:firstLine="360"/>
      <w:jc w:val="both"/>
    </w:pPr>
    <w:rPr>
      <w:rFonts w:ascii="Times New Roman" w:hAnsi="Times New Roman"/>
      <w:sz w:val="16"/>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96CD9"/>
    <w:rPr>
      <w:b/>
      <w:bCs/>
    </w:rPr>
  </w:style>
  <w:style w:type="paragraph" w:styleId="a4">
    <w:name w:val="header"/>
    <w:basedOn w:val="a"/>
    <w:link w:val="a5"/>
    <w:uiPriority w:val="99"/>
    <w:unhideWhenUsed/>
    <w:rsid w:val="00894294"/>
    <w:pPr>
      <w:tabs>
        <w:tab w:val="center" w:pos="4677"/>
        <w:tab w:val="right" w:pos="9355"/>
      </w:tabs>
      <w:spacing w:line="240" w:lineRule="auto"/>
    </w:pPr>
  </w:style>
  <w:style w:type="character" w:customStyle="1" w:styleId="a5">
    <w:name w:val="Верхний колонтитул Знак"/>
    <w:basedOn w:val="a0"/>
    <w:link w:val="a4"/>
    <w:uiPriority w:val="99"/>
    <w:rsid w:val="00894294"/>
    <w:rPr>
      <w:rFonts w:ascii="Times New Roman" w:hAnsi="Times New Roman"/>
      <w:sz w:val="16"/>
      <w:szCs w:val="16"/>
      <w:lang w:eastAsia="ru-RU"/>
    </w:rPr>
  </w:style>
  <w:style w:type="paragraph" w:styleId="a6">
    <w:name w:val="footer"/>
    <w:basedOn w:val="a"/>
    <w:link w:val="a7"/>
    <w:uiPriority w:val="99"/>
    <w:unhideWhenUsed/>
    <w:rsid w:val="00894294"/>
    <w:pPr>
      <w:tabs>
        <w:tab w:val="center" w:pos="4677"/>
        <w:tab w:val="right" w:pos="9355"/>
      </w:tabs>
      <w:spacing w:line="240" w:lineRule="auto"/>
    </w:pPr>
  </w:style>
  <w:style w:type="character" w:customStyle="1" w:styleId="a7">
    <w:name w:val="Нижний колонтитул Знак"/>
    <w:basedOn w:val="a0"/>
    <w:link w:val="a6"/>
    <w:uiPriority w:val="99"/>
    <w:rsid w:val="00894294"/>
    <w:rPr>
      <w:rFonts w:ascii="Times New Roman" w:hAnsi="Times New Roman"/>
      <w:sz w:val="16"/>
      <w:szCs w:val="16"/>
      <w:lang w:eastAsia="ru-RU"/>
    </w:rPr>
  </w:style>
  <w:style w:type="paragraph" w:styleId="a8">
    <w:name w:val="Normal (Web)"/>
    <w:basedOn w:val="a"/>
    <w:uiPriority w:val="99"/>
    <w:unhideWhenUsed/>
    <w:rsid w:val="00894294"/>
    <w:pPr>
      <w:widowControl/>
      <w:autoSpaceDE/>
      <w:autoSpaceDN/>
      <w:adjustRightInd/>
      <w:spacing w:before="100" w:beforeAutospacing="1" w:after="100" w:afterAutospacing="1" w:line="240" w:lineRule="auto"/>
      <w:ind w:firstLine="0"/>
      <w:jc w:val="left"/>
    </w:pPr>
    <w:rPr>
      <w:rFonts w:eastAsia="Times New Roman" w:cs="Times New Roman"/>
      <w:sz w:val="24"/>
      <w:szCs w:val="24"/>
    </w:rPr>
  </w:style>
  <w:style w:type="paragraph" w:styleId="a9">
    <w:name w:val="footnote text"/>
    <w:basedOn w:val="a"/>
    <w:link w:val="aa"/>
    <w:unhideWhenUsed/>
    <w:rsid w:val="00647132"/>
    <w:pPr>
      <w:widowControl/>
      <w:autoSpaceDE/>
      <w:autoSpaceDN/>
      <w:adjustRightInd/>
      <w:spacing w:line="240" w:lineRule="auto"/>
      <w:ind w:firstLine="0"/>
      <w:jc w:val="left"/>
    </w:pPr>
    <w:rPr>
      <w:sz w:val="20"/>
      <w:szCs w:val="20"/>
      <w:lang w:eastAsia="en-US"/>
    </w:rPr>
  </w:style>
  <w:style w:type="character" w:customStyle="1" w:styleId="aa">
    <w:name w:val="Текст сноски Знак"/>
    <w:basedOn w:val="a0"/>
    <w:link w:val="a9"/>
    <w:rsid w:val="00647132"/>
    <w:rPr>
      <w:rFonts w:ascii="Times New Roman" w:hAnsi="Times New Roman"/>
      <w:sz w:val="20"/>
      <w:szCs w:val="20"/>
    </w:rPr>
  </w:style>
  <w:style w:type="character" w:styleId="ab">
    <w:name w:val="footnote reference"/>
    <w:basedOn w:val="a0"/>
    <w:unhideWhenUsed/>
    <w:rsid w:val="006471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1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1431</Words>
  <Characters>8159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9571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Булан</dc:creator>
  <cp:keywords/>
  <dc:description/>
  <cp:lastModifiedBy>Булан</cp:lastModifiedBy>
  <cp:revision>5</cp:revision>
  <dcterms:created xsi:type="dcterms:W3CDTF">2018-06-06T02:32:00Z</dcterms:created>
  <dcterms:modified xsi:type="dcterms:W3CDTF">2018-06-06T03:13:00Z</dcterms:modified>
</cp:coreProperties>
</file>