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97F" w:rsidRPr="00D918D7" w:rsidRDefault="00EF797F" w:rsidP="009C17C3">
      <w:pPr>
        <w:spacing w:after="0" w:line="36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МЕТОДОЛОГИЧЕСКИЕ  АСПЕКТЫ  ОЦЕНКИ ФИНАНСОВОЙ  НЕСОСТОЯТЕЛЬНОСТИ ФИРМЫ </w:t>
      </w:r>
    </w:p>
    <w:p w:rsidR="00EF797F" w:rsidRDefault="00EF797F" w:rsidP="00EF797F">
      <w:pPr>
        <w:spacing w:after="200" w:line="276" w:lineRule="auto"/>
        <w:jc w:val="center"/>
        <w:rPr>
          <w:rFonts w:ascii="Times New Roman" w:eastAsia="Calibri" w:hAnsi="Times New Roman" w:cs="Times New Roman"/>
          <w:b/>
          <w:sz w:val="28"/>
          <w:szCs w:val="28"/>
          <w:lang w:val="en-US"/>
        </w:rPr>
      </w:pPr>
      <w:r w:rsidRPr="00EF797F">
        <w:rPr>
          <w:rFonts w:ascii="Times New Roman" w:eastAsia="Calibri" w:hAnsi="Times New Roman" w:cs="Times New Roman"/>
          <w:b/>
          <w:sz w:val="28"/>
          <w:szCs w:val="28"/>
          <w:lang w:val="en-US"/>
        </w:rPr>
        <w:t>METHODOLOGICAL ASPECTS OF ESTIMATION OF THE FINANCIAL INSOLVENCY OF THE FIRM</w:t>
      </w:r>
    </w:p>
    <w:p w:rsidR="00EF797F" w:rsidRPr="00D918D7" w:rsidRDefault="00EF797F" w:rsidP="00EF797F">
      <w:pPr>
        <w:spacing w:after="200" w:line="276" w:lineRule="auto"/>
        <w:jc w:val="center"/>
        <w:rPr>
          <w:rFonts w:ascii="Times New Roman" w:eastAsia="Calibri" w:hAnsi="Times New Roman" w:cs="Times New Roman"/>
          <w:sz w:val="28"/>
          <w:szCs w:val="28"/>
          <w:lang w:val="en-US"/>
        </w:rPr>
      </w:pPr>
    </w:p>
    <w:p w:rsidR="00EF797F" w:rsidRPr="00A23964" w:rsidRDefault="00EF797F" w:rsidP="00EF797F">
      <w:pPr>
        <w:spacing w:after="200" w:line="360" w:lineRule="auto"/>
        <w:rPr>
          <w:rFonts w:ascii="Times New Roman" w:eastAsia="Times New Roman" w:hAnsi="Times New Roman" w:cs="Times New Roman"/>
          <w:b/>
          <w:i/>
          <w:color w:val="FF0000"/>
          <w:sz w:val="28"/>
          <w:szCs w:val="28"/>
          <w:lang w:eastAsia="ru-RU"/>
        </w:rPr>
      </w:pPr>
      <w:r w:rsidRPr="00A23964">
        <w:rPr>
          <w:rFonts w:ascii="Times New Roman" w:eastAsia="Times New Roman" w:hAnsi="Times New Roman" w:cs="Times New Roman"/>
          <w:b/>
          <w:i/>
          <w:color w:val="FF0000"/>
          <w:sz w:val="28"/>
          <w:szCs w:val="28"/>
          <w:lang w:eastAsia="ru-RU"/>
        </w:rPr>
        <w:t>Хетагуров Георгий Валерьевич</w:t>
      </w:r>
    </w:p>
    <w:p w:rsidR="00EF797F" w:rsidRDefault="00EF797F" w:rsidP="00EF797F">
      <w:pPr>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кандидат экономических наук,</w:t>
      </w:r>
    </w:p>
    <w:p w:rsidR="00EF797F" w:rsidRDefault="00EF797F" w:rsidP="00EF797F">
      <w:pPr>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 xml:space="preserve">Северо-Осетинский  Государственный  </w:t>
      </w:r>
    </w:p>
    <w:p w:rsidR="00EF797F" w:rsidRDefault="00EF797F" w:rsidP="00EF797F">
      <w:pPr>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 xml:space="preserve">Университет  им. </w:t>
      </w:r>
      <w:proofErr w:type="spellStart"/>
      <w:r w:rsidRPr="00C7376C">
        <w:rPr>
          <w:rFonts w:ascii="Times New Roman" w:eastAsia="Times New Roman" w:hAnsi="Times New Roman" w:cs="Times New Roman"/>
          <w:i/>
          <w:sz w:val="28"/>
          <w:szCs w:val="28"/>
          <w:lang w:eastAsia="ru-RU"/>
        </w:rPr>
        <w:t>Коста</w:t>
      </w:r>
      <w:proofErr w:type="spellEnd"/>
      <w:r w:rsidRPr="00C7376C">
        <w:rPr>
          <w:rFonts w:ascii="Times New Roman" w:eastAsia="Times New Roman" w:hAnsi="Times New Roman" w:cs="Times New Roman"/>
          <w:i/>
          <w:sz w:val="28"/>
          <w:szCs w:val="28"/>
          <w:lang w:eastAsia="ru-RU"/>
        </w:rPr>
        <w:t xml:space="preserve">  Левановича Хетагурова, </w:t>
      </w:r>
    </w:p>
    <w:p w:rsidR="00EF797F" w:rsidRPr="00C7376C" w:rsidRDefault="00EF797F" w:rsidP="00EF797F">
      <w:pPr>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 xml:space="preserve">Владикавказ, Российская Федерация </w:t>
      </w:r>
    </w:p>
    <w:p w:rsidR="009C17C3" w:rsidRPr="00A23964" w:rsidRDefault="009C17C3" w:rsidP="00EF797F">
      <w:pPr>
        <w:spacing w:after="0" w:line="360" w:lineRule="auto"/>
        <w:contextualSpacing/>
        <w:jc w:val="both"/>
        <w:rPr>
          <w:rFonts w:ascii="Times New Roman" w:eastAsia="Times New Roman" w:hAnsi="Times New Roman" w:cs="Times New Roman"/>
          <w:b/>
          <w:i/>
          <w:sz w:val="28"/>
          <w:szCs w:val="28"/>
          <w:lang w:eastAsia="ru-RU"/>
        </w:rPr>
      </w:pPr>
    </w:p>
    <w:p w:rsidR="00EF797F" w:rsidRPr="00A23964" w:rsidRDefault="00EF797F" w:rsidP="00EF797F">
      <w:pPr>
        <w:spacing w:after="0" w:line="360" w:lineRule="auto"/>
        <w:contextualSpacing/>
        <w:jc w:val="both"/>
        <w:rPr>
          <w:rFonts w:ascii="Times New Roman" w:eastAsia="Times New Roman" w:hAnsi="Times New Roman" w:cs="Times New Roman"/>
          <w:b/>
          <w:i/>
          <w:color w:val="FF0000"/>
          <w:sz w:val="28"/>
          <w:szCs w:val="28"/>
          <w:lang w:val="en-US" w:eastAsia="ru-RU"/>
        </w:rPr>
      </w:pPr>
      <w:proofErr w:type="spellStart"/>
      <w:r w:rsidRPr="00A23964">
        <w:rPr>
          <w:rFonts w:ascii="Times New Roman" w:eastAsia="Times New Roman" w:hAnsi="Times New Roman" w:cs="Times New Roman"/>
          <w:b/>
          <w:i/>
          <w:color w:val="FF0000"/>
          <w:sz w:val="28"/>
          <w:szCs w:val="28"/>
          <w:lang w:val="en-US" w:eastAsia="ru-RU"/>
        </w:rPr>
        <w:t>Hetagurov</w:t>
      </w:r>
      <w:proofErr w:type="spellEnd"/>
      <w:r w:rsidRPr="00A23964">
        <w:rPr>
          <w:rFonts w:ascii="Times New Roman" w:eastAsia="Times New Roman" w:hAnsi="Times New Roman" w:cs="Times New Roman"/>
          <w:b/>
          <w:i/>
          <w:color w:val="FF0000"/>
          <w:sz w:val="28"/>
          <w:szCs w:val="28"/>
          <w:lang w:val="en-US" w:eastAsia="ru-RU"/>
        </w:rPr>
        <w:t xml:space="preserve"> George </w:t>
      </w:r>
      <w:proofErr w:type="spellStart"/>
      <w:r w:rsidRPr="00A23964">
        <w:rPr>
          <w:rFonts w:ascii="Times New Roman" w:eastAsia="Times New Roman" w:hAnsi="Times New Roman" w:cs="Times New Roman"/>
          <w:b/>
          <w:i/>
          <w:color w:val="FF0000"/>
          <w:sz w:val="28"/>
          <w:szCs w:val="28"/>
          <w:lang w:val="en-US" w:eastAsia="ru-RU"/>
        </w:rPr>
        <w:t>Valeryevich</w:t>
      </w:r>
      <w:proofErr w:type="spellEnd"/>
    </w:p>
    <w:p w:rsidR="00EF797F" w:rsidRPr="00D918D7" w:rsidRDefault="00EF797F" w:rsidP="00EF797F">
      <w:pPr>
        <w:spacing w:after="0" w:line="360" w:lineRule="auto"/>
        <w:contextualSpacing/>
        <w:jc w:val="both"/>
        <w:rPr>
          <w:rFonts w:ascii="Times New Roman" w:eastAsia="Times New Roman" w:hAnsi="Times New Roman" w:cs="Times New Roman"/>
          <w:i/>
          <w:sz w:val="28"/>
          <w:szCs w:val="28"/>
          <w:lang w:val="en-US" w:eastAsia="ru-RU"/>
        </w:rPr>
      </w:pPr>
      <w:r w:rsidRPr="00D918D7">
        <w:rPr>
          <w:rFonts w:ascii="Times New Roman" w:eastAsia="Times New Roman" w:hAnsi="Times New Roman" w:cs="Times New Roman"/>
          <w:i/>
          <w:sz w:val="28"/>
          <w:szCs w:val="28"/>
          <w:lang w:val="en-US" w:eastAsia="ru-RU"/>
        </w:rPr>
        <w:t>Candidate of Economic Sciences, docent,</w:t>
      </w:r>
    </w:p>
    <w:p w:rsidR="00EF797F" w:rsidRPr="00C7376C" w:rsidRDefault="00EF797F" w:rsidP="00EF797F">
      <w:pPr>
        <w:spacing w:after="0" w:line="360" w:lineRule="auto"/>
        <w:contextualSpacing/>
        <w:rPr>
          <w:rFonts w:ascii="Times New Roman" w:eastAsia="Times New Roman" w:hAnsi="Times New Roman" w:cs="Times New Roman"/>
          <w:i/>
          <w:sz w:val="28"/>
          <w:szCs w:val="28"/>
          <w:lang w:val="en-US" w:eastAsia="ru-RU"/>
        </w:rPr>
      </w:pPr>
      <w:r w:rsidRPr="00C7376C">
        <w:rPr>
          <w:rFonts w:ascii="Times New Roman" w:eastAsia="Times New Roman" w:hAnsi="Times New Roman" w:cs="Times New Roman"/>
          <w:i/>
          <w:sz w:val="28"/>
          <w:szCs w:val="28"/>
          <w:lang w:val="en-US" w:eastAsia="ru-RU"/>
        </w:rPr>
        <w:t>North Ossetian State</w:t>
      </w:r>
    </w:p>
    <w:p w:rsidR="00EF797F" w:rsidRPr="00C7376C" w:rsidRDefault="00EF797F" w:rsidP="00EF797F">
      <w:pPr>
        <w:spacing w:after="0" w:line="360" w:lineRule="auto"/>
        <w:contextualSpacing/>
        <w:rPr>
          <w:rFonts w:ascii="Times New Roman" w:eastAsia="Times New Roman" w:hAnsi="Times New Roman" w:cs="Times New Roman"/>
          <w:i/>
          <w:sz w:val="28"/>
          <w:szCs w:val="28"/>
          <w:lang w:val="en-US" w:eastAsia="ru-RU"/>
        </w:rPr>
      </w:pPr>
      <w:r w:rsidRPr="00C7376C">
        <w:rPr>
          <w:rFonts w:ascii="Times New Roman" w:eastAsia="Times New Roman" w:hAnsi="Times New Roman" w:cs="Times New Roman"/>
          <w:i/>
          <w:sz w:val="28"/>
          <w:szCs w:val="28"/>
          <w:lang w:val="en-US" w:eastAsia="ru-RU"/>
        </w:rPr>
        <w:t xml:space="preserve">University of. </w:t>
      </w:r>
      <w:proofErr w:type="spellStart"/>
      <w:r w:rsidRPr="00C7376C">
        <w:rPr>
          <w:rFonts w:ascii="Times New Roman" w:eastAsia="Times New Roman" w:hAnsi="Times New Roman" w:cs="Times New Roman"/>
          <w:i/>
          <w:sz w:val="28"/>
          <w:szCs w:val="28"/>
          <w:lang w:val="en-US" w:eastAsia="ru-RU"/>
        </w:rPr>
        <w:t>Kosta</w:t>
      </w:r>
      <w:proofErr w:type="spellEnd"/>
      <w:r w:rsidRPr="00C7376C">
        <w:rPr>
          <w:rFonts w:ascii="Times New Roman" w:eastAsia="Times New Roman" w:hAnsi="Times New Roman" w:cs="Times New Roman"/>
          <w:i/>
          <w:sz w:val="28"/>
          <w:szCs w:val="28"/>
          <w:lang w:val="en-US" w:eastAsia="ru-RU"/>
        </w:rPr>
        <w:t xml:space="preserve"> </w:t>
      </w:r>
      <w:proofErr w:type="spellStart"/>
      <w:r w:rsidRPr="00C7376C">
        <w:rPr>
          <w:rFonts w:ascii="Times New Roman" w:eastAsia="Times New Roman" w:hAnsi="Times New Roman" w:cs="Times New Roman"/>
          <w:i/>
          <w:sz w:val="28"/>
          <w:szCs w:val="28"/>
          <w:lang w:val="en-US" w:eastAsia="ru-RU"/>
        </w:rPr>
        <w:t>Levanovich</w:t>
      </w:r>
      <w:proofErr w:type="spellEnd"/>
      <w:r w:rsidRPr="00C7376C">
        <w:rPr>
          <w:rFonts w:ascii="Times New Roman" w:eastAsia="Times New Roman" w:hAnsi="Times New Roman" w:cs="Times New Roman"/>
          <w:i/>
          <w:sz w:val="28"/>
          <w:szCs w:val="28"/>
          <w:lang w:val="en-US" w:eastAsia="ru-RU"/>
        </w:rPr>
        <w:t xml:space="preserve"> </w:t>
      </w:r>
      <w:proofErr w:type="spellStart"/>
      <w:r w:rsidRPr="00C7376C">
        <w:rPr>
          <w:rFonts w:ascii="Times New Roman" w:eastAsia="Times New Roman" w:hAnsi="Times New Roman" w:cs="Times New Roman"/>
          <w:i/>
          <w:sz w:val="28"/>
          <w:szCs w:val="28"/>
          <w:lang w:val="en-US" w:eastAsia="ru-RU"/>
        </w:rPr>
        <w:t>Khetagurov</w:t>
      </w:r>
      <w:proofErr w:type="spellEnd"/>
      <w:r w:rsidRPr="00C7376C">
        <w:rPr>
          <w:rFonts w:ascii="Times New Roman" w:eastAsia="Times New Roman" w:hAnsi="Times New Roman" w:cs="Times New Roman"/>
          <w:i/>
          <w:sz w:val="28"/>
          <w:szCs w:val="28"/>
          <w:lang w:val="en-US" w:eastAsia="ru-RU"/>
        </w:rPr>
        <w:t>,</w:t>
      </w:r>
    </w:p>
    <w:p w:rsidR="00EF797F" w:rsidRDefault="00EF797F" w:rsidP="00EF797F">
      <w:pPr>
        <w:spacing w:after="0" w:line="360" w:lineRule="auto"/>
        <w:contextualSpacing/>
        <w:rPr>
          <w:rFonts w:ascii="Times New Roman" w:eastAsia="Times New Roman" w:hAnsi="Times New Roman" w:cs="Times New Roman"/>
          <w:i/>
          <w:sz w:val="28"/>
          <w:szCs w:val="28"/>
          <w:lang w:val="en-US" w:eastAsia="ru-RU"/>
        </w:rPr>
      </w:pPr>
      <w:r w:rsidRPr="00C7376C">
        <w:rPr>
          <w:rFonts w:ascii="Times New Roman" w:eastAsia="Times New Roman" w:hAnsi="Times New Roman" w:cs="Times New Roman"/>
          <w:i/>
          <w:sz w:val="28"/>
          <w:szCs w:val="28"/>
          <w:lang w:val="en-US" w:eastAsia="ru-RU"/>
        </w:rPr>
        <w:t>Vladikavkaz, Russian Federation</w:t>
      </w:r>
    </w:p>
    <w:p w:rsidR="00EF797F" w:rsidRPr="00D56A52" w:rsidRDefault="00EF797F" w:rsidP="00EF797F">
      <w:pPr>
        <w:spacing w:after="0" w:line="360" w:lineRule="auto"/>
        <w:contextualSpacing/>
        <w:rPr>
          <w:rFonts w:ascii="Times New Roman" w:eastAsia="Times New Roman" w:hAnsi="Times New Roman" w:cs="Times New Roman"/>
          <w:b/>
          <w:i/>
          <w:sz w:val="28"/>
          <w:szCs w:val="28"/>
          <w:lang w:val="en-US" w:eastAsia="ru-RU"/>
        </w:rPr>
      </w:pPr>
    </w:p>
    <w:p w:rsidR="00EF797F" w:rsidRPr="00EF797F" w:rsidRDefault="00EF797F" w:rsidP="00EF797F">
      <w:pPr>
        <w:spacing w:after="0" w:line="360" w:lineRule="auto"/>
        <w:contextualSpacing/>
        <w:rPr>
          <w:rFonts w:ascii="Times New Roman" w:eastAsia="Times New Roman" w:hAnsi="Times New Roman" w:cs="Times New Roman"/>
          <w:b/>
          <w:i/>
          <w:sz w:val="28"/>
          <w:szCs w:val="28"/>
          <w:lang w:eastAsia="ru-RU"/>
        </w:rPr>
      </w:pPr>
      <w:proofErr w:type="spellStart"/>
      <w:r w:rsidRPr="00D918D7">
        <w:rPr>
          <w:rFonts w:ascii="Times New Roman" w:eastAsia="Times New Roman" w:hAnsi="Times New Roman" w:cs="Times New Roman"/>
          <w:b/>
          <w:i/>
          <w:sz w:val="28"/>
          <w:szCs w:val="28"/>
          <w:lang w:eastAsia="ru-RU"/>
        </w:rPr>
        <w:t>Джи</w:t>
      </w:r>
      <w:r w:rsidR="009C17C3">
        <w:rPr>
          <w:rFonts w:ascii="Times New Roman" w:eastAsia="Times New Roman" w:hAnsi="Times New Roman" w:cs="Times New Roman"/>
          <w:b/>
          <w:i/>
          <w:sz w:val="28"/>
          <w:szCs w:val="28"/>
          <w:lang w:eastAsia="ru-RU"/>
        </w:rPr>
        <w:t>никаева</w:t>
      </w:r>
      <w:proofErr w:type="spellEnd"/>
      <w:r w:rsidR="009C17C3">
        <w:rPr>
          <w:rFonts w:ascii="Times New Roman" w:eastAsia="Times New Roman" w:hAnsi="Times New Roman" w:cs="Times New Roman"/>
          <w:b/>
          <w:i/>
          <w:sz w:val="28"/>
          <w:szCs w:val="28"/>
          <w:lang w:eastAsia="ru-RU"/>
        </w:rPr>
        <w:t xml:space="preserve"> </w:t>
      </w:r>
      <w:r w:rsidRPr="00EF797F">
        <w:rPr>
          <w:rFonts w:ascii="Times New Roman" w:eastAsia="Times New Roman" w:hAnsi="Times New Roman" w:cs="Times New Roman"/>
          <w:b/>
          <w:i/>
          <w:sz w:val="28"/>
          <w:szCs w:val="28"/>
          <w:lang w:eastAsia="ru-RU"/>
        </w:rPr>
        <w:t xml:space="preserve">  </w:t>
      </w:r>
    </w:p>
    <w:p w:rsidR="00EF797F" w:rsidRDefault="00EF797F" w:rsidP="00EF797F">
      <w:pPr>
        <w:spacing w:after="0" w:line="360" w:lineRule="auto"/>
        <w:contextualSpacing/>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 xml:space="preserve">магистрант, кафедра экономика и </w:t>
      </w:r>
      <w:r w:rsidR="00B0749D">
        <w:rPr>
          <w:rFonts w:ascii="Times New Roman" w:eastAsia="Times New Roman" w:hAnsi="Times New Roman" w:cs="Times New Roman"/>
          <w:i/>
          <w:sz w:val="28"/>
          <w:szCs w:val="28"/>
          <w:lang w:eastAsia="ru-RU"/>
        </w:rPr>
        <w:t>право</w:t>
      </w:r>
      <w:r w:rsidRPr="00C7376C">
        <w:rPr>
          <w:rFonts w:ascii="Times New Roman" w:eastAsia="Times New Roman" w:hAnsi="Times New Roman" w:cs="Times New Roman"/>
          <w:i/>
          <w:sz w:val="28"/>
          <w:szCs w:val="28"/>
          <w:lang w:eastAsia="ru-RU"/>
        </w:rPr>
        <w:t xml:space="preserve">, </w:t>
      </w:r>
    </w:p>
    <w:p w:rsidR="00EF797F" w:rsidRDefault="00EF797F" w:rsidP="00EF797F">
      <w:pPr>
        <w:spacing w:after="0" w:line="360" w:lineRule="auto"/>
        <w:contextualSpacing/>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 xml:space="preserve">Северо-Осетинский  Государственный  Университет </w:t>
      </w:r>
    </w:p>
    <w:p w:rsidR="00EF797F" w:rsidRDefault="00EF797F" w:rsidP="00EF797F">
      <w:pPr>
        <w:spacing w:after="0" w:line="360" w:lineRule="auto"/>
        <w:contextualSpacing/>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 xml:space="preserve"> им. </w:t>
      </w:r>
      <w:proofErr w:type="spellStart"/>
      <w:r w:rsidRPr="00C7376C">
        <w:rPr>
          <w:rFonts w:ascii="Times New Roman" w:eastAsia="Times New Roman" w:hAnsi="Times New Roman" w:cs="Times New Roman"/>
          <w:i/>
          <w:sz w:val="28"/>
          <w:szCs w:val="28"/>
          <w:lang w:eastAsia="ru-RU"/>
        </w:rPr>
        <w:t>Коста</w:t>
      </w:r>
      <w:proofErr w:type="spellEnd"/>
      <w:r w:rsidRPr="00C7376C">
        <w:rPr>
          <w:rFonts w:ascii="Times New Roman" w:eastAsia="Times New Roman" w:hAnsi="Times New Roman" w:cs="Times New Roman"/>
          <w:i/>
          <w:sz w:val="28"/>
          <w:szCs w:val="28"/>
          <w:lang w:eastAsia="ru-RU"/>
        </w:rPr>
        <w:t xml:space="preserve">  Левановича Хетагурова, </w:t>
      </w:r>
    </w:p>
    <w:p w:rsidR="00EF797F" w:rsidRPr="00A23964" w:rsidRDefault="00EF797F" w:rsidP="00EF797F">
      <w:pPr>
        <w:spacing w:after="0" w:line="360" w:lineRule="auto"/>
        <w:contextualSpacing/>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eastAsia="ru-RU"/>
        </w:rPr>
        <w:t>Владикавказ</w:t>
      </w:r>
      <w:r w:rsidRPr="00A23964">
        <w:rPr>
          <w:rFonts w:ascii="Times New Roman" w:eastAsia="Times New Roman" w:hAnsi="Times New Roman" w:cs="Times New Roman"/>
          <w:i/>
          <w:sz w:val="28"/>
          <w:szCs w:val="28"/>
          <w:lang w:eastAsia="ru-RU"/>
        </w:rPr>
        <w:t xml:space="preserve">, </w:t>
      </w:r>
      <w:r w:rsidRPr="00C7376C">
        <w:rPr>
          <w:rFonts w:ascii="Times New Roman" w:eastAsia="Times New Roman" w:hAnsi="Times New Roman" w:cs="Times New Roman"/>
          <w:i/>
          <w:sz w:val="28"/>
          <w:szCs w:val="28"/>
          <w:lang w:eastAsia="ru-RU"/>
        </w:rPr>
        <w:t>Российская</w:t>
      </w:r>
      <w:r w:rsidRPr="00A23964">
        <w:rPr>
          <w:rFonts w:ascii="Times New Roman" w:eastAsia="Times New Roman" w:hAnsi="Times New Roman" w:cs="Times New Roman"/>
          <w:i/>
          <w:sz w:val="28"/>
          <w:szCs w:val="28"/>
          <w:lang w:eastAsia="ru-RU"/>
        </w:rPr>
        <w:t xml:space="preserve"> </w:t>
      </w:r>
      <w:r w:rsidRPr="00C7376C">
        <w:rPr>
          <w:rFonts w:ascii="Times New Roman" w:eastAsia="Times New Roman" w:hAnsi="Times New Roman" w:cs="Times New Roman"/>
          <w:i/>
          <w:sz w:val="28"/>
          <w:szCs w:val="28"/>
          <w:lang w:eastAsia="ru-RU"/>
        </w:rPr>
        <w:t>Федерация</w:t>
      </w:r>
    </w:p>
    <w:p w:rsidR="00EF797F" w:rsidRPr="00A23964" w:rsidRDefault="00EF797F" w:rsidP="00EF797F">
      <w:pPr>
        <w:spacing w:after="0" w:line="360" w:lineRule="auto"/>
        <w:contextualSpacing/>
        <w:rPr>
          <w:rFonts w:ascii="Times New Roman" w:eastAsia="Times New Roman" w:hAnsi="Times New Roman" w:cs="Times New Roman"/>
          <w:i/>
          <w:sz w:val="28"/>
          <w:szCs w:val="28"/>
          <w:lang w:eastAsia="ru-RU"/>
        </w:rPr>
      </w:pPr>
    </w:p>
    <w:p w:rsidR="009C17C3" w:rsidRPr="006D45F6" w:rsidRDefault="00B56F92" w:rsidP="00EF797F">
      <w:pPr>
        <w:spacing w:after="0" w:line="360" w:lineRule="auto"/>
        <w:rPr>
          <w:rFonts w:ascii="Times New Roman" w:eastAsia="Times New Roman" w:hAnsi="Times New Roman" w:cs="Times New Roman"/>
          <w:b/>
          <w:i/>
          <w:sz w:val="28"/>
          <w:szCs w:val="28"/>
          <w:lang w:eastAsia="ru-RU"/>
        </w:rPr>
      </w:pPr>
      <w:proofErr w:type="spellStart"/>
      <w:r w:rsidRPr="00B56F92">
        <w:rPr>
          <w:rFonts w:ascii="Times New Roman" w:eastAsia="Times New Roman" w:hAnsi="Times New Roman" w:cs="Times New Roman"/>
          <w:b/>
          <w:i/>
          <w:sz w:val="28"/>
          <w:szCs w:val="28"/>
          <w:lang w:val="en-US" w:eastAsia="ru-RU"/>
        </w:rPr>
        <w:t>Dzhinikayev</w:t>
      </w:r>
      <w:proofErr w:type="spellEnd"/>
      <w:r w:rsidR="006D45F6">
        <w:rPr>
          <w:rFonts w:ascii="Times New Roman" w:eastAsia="Times New Roman" w:hAnsi="Times New Roman" w:cs="Times New Roman"/>
          <w:b/>
          <w:i/>
          <w:sz w:val="28"/>
          <w:szCs w:val="28"/>
          <w:lang w:eastAsia="ru-RU"/>
        </w:rPr>
        <w:t>а</w:t>
      </w:r>
    </w:p>
    <w:p w:rsidR="00EF797F" w:rsidRPr="00A23964" w:rsidRDefault="00EF797F" w:rsidP="00EF797F">
      <w:pPr>
        <w:spacing w:after="0" w:line="360" w:lineRule="auto"/>
        <w:rPr>
          <w:rFonts w:ascii="Times New Roman" w:eastAsia="Times New Roman" w:hAnsi="Times New Roman" w:cs="Times New Roman"/>
          <w:i/>
          <w:sz w:val="28"/>
          <w:szCs w:val="28"/>
          <w:lang w:eastAsia="ru-RU"/>
        </w:rPr>
      </w:pPr>
      <w:r w:rsidRPr="00C7376C">
        <w:rPr>
          <w:rFonts w:ascii="Times New Roman" w:eastAsia="Times New Roman" w:hAnsi="Times New Roman" w:cs="Times New Roman"/>
          <w:i/>
          <w:sz w:val="28"/>
          <w:szCs w:val="28"/>
          <w:lang w:val="en-US" w:eastAsia="ru-RU"/>
        </w:rPr>
        <w:t>Master</w:t>
      </w:r>
      <w:r w:rsidRPr="00A23964">
        <w:rPr>
          <w:rFonts w:ascii="Times New Roman" w:eastAsia="Times New Roman" w:hAnsi="Times New Roman" w:cs="Times New Roman"/>
          <w:i/>
          <w:sz w:val="28"/>
          <w:szCs w:val="28"/>
          <w:lang w:eastAsia="ru-RU"/>
        </w:rPr>
        <w:t>'</w:t>
      </w:r>
      <w:r w:rsidRPr="00C7376C">
        <w:rPr>
          <w:rFonts w:ascii="Times New Roman" w:eastAsia="Times New Roman" w:hAnsi="Times New Roman" w:cs="Times New Roman"/>
          <w:i/>
          <w:sz w:val="28"/>
          <w:szCs w:val="28"/>
          <w:lang w:val="en-US" w:eastAsia="ru-RU"/>
        </w:rPr>
        <w:t>s</w:t>
      </w:r>
      <w:r w:rsidRPr="00A23964">
        <w:rPr>
          <w:rFonts w:ascii="Times New Roman" w:eastAsia="Times New Roman" w:hAnsi="Times New Roman" w:cs="Times New Roman"/>
          <w:i/>
          <w:sz w:val="28"/>
          <w:szCs w:val="28"/>
          <w:lang w:eastAsia="ru-RU"/>
        </w:rPr>
        <w:t xml:space="preserve"> </w:t>
      </w:r>
      <w:r w:rsidRPr="00C7376C">
        <w:rPr>
          <w:rFonts w:ascii="Times New Roman" w:eastAsia="Times New Roman" w:hAnsi="Times New Roman" w:cs="Times New Roman"/>
          <w:i/>
          <w:sz w:val="28"/>
          <w:szCs w:val="28"/>
          <w:lang w:val="en-US" w:eastAsia="ru-RU"/>
        </w:rPr>
        <w:t>degree</w:t>
      </w:r>
      <w:r w:rsidRPr="00A23964">
        <w:rPr>
          <w:rFonts w:ascii="Times New Roman" w:eastAsia="Times New Roman" w:hAnsi="Times New Roman" w:cs="Times New Roman"/>
          <w:i/>
          <w:sz w:val="28"/>
          <w:szCs w:val="28"/>
          <w:lang w:eastAsia="ru-RU"/>
        </w:rPr>
        <w:t xml:space="preserve">, </w:t>
      </w:r>
      <w:r w:rsidRPr="00C7376C">
        <w:rPr>
          <w:rFonts w:ascii="Times New Roman" w:eastAsia="Times New Roman" w:hAnsi="Times New Roman" w:cs="Times New Roman"/>
          <w:i/>
          <w:sz w:val="28"/>
          <w:szCs w:val="28"/>
          <w:lang w:val="en-US" w:eastAsia="ru-RU"/>
        </w:rPr>
        <w:t>Department</w:t>
      </w:r>
      <w:r w:rsidRPr="00A23964">
        <w:rPr>
          <w:rFonts w:ascii="Times New Roman" w:eastAsia="Times New Roman" w:hAnsi="Times New Roman" w:cs="Times New Roman"/>
          <w:i/>
          <w:sz w:val="28"/>
          <w:szCs w:val="28"/>
          <w:lang w:eastAsia="ru-RU"/>
        </w:rPr>
        <w:t xml:space="preserve"> </w:t>
      </w:r>
    </w:p>
    <w:p w:rsidR="00EF797F" w:rsidRDefault="00EF797F" w:rsidP="00EF797F">
      <w:pPr>
        <w:spacing w:after="0" w:line="360" w:lineRule="auto"/>
        <w:rPr>
          <w:rFonts w:ascii="Times New Roman" w:eastAsia="Times New Roman" w:hAnsi="Times New Roman" w:cs="Times New Roman"/>
          <w:i/>
          <w:sz w:val="28"/>
          <w:szCs w:val="28"/>
          <w:lang w:val="en-US" w:eastAsia="ru-RU"/>
        </w:rPr>
      </w:pPr>
      <w:r w:rsidRPr="00C7376C">
        <w:rPr>
          <w:rFonts w:ascii="Times New Roman" w:eastAsia="Times New Roman" w:hAnsi="Times New Roman" w:cs="Times New Roman"/>
          <w:i/>
          <w:sz w:val="28"/>
          <w:szCs w:val="28"/>
          <w:lang w:val="en-US" w:eastAsia="ru-RU"/>
        </w:rPr>
        <w:t xml:space="preserve">of Economics and Finance, </w:t>
      </w:r>
    </w:p>
    <w:p w:rsidR="00EF797F" w:rsidRDefault="00EF797F" w:rsidP="00EF797F">
      <w:pPr>
        <w:spacing w:after="0" w:line="360" w:lineRule="auto"/>
        <w:rPr>
          <w:rFonts w:ascii="Times New Roman" w:eastAsia="Times New Roman" w:hAnsi="Times New Roman" w:cs="Times New Roman"/>
          <w:i/>
          <w:sz w:val="28"/>
          <w:szCs w:val="28"/>
          <w:lang w:val="en-US" w:eastAsia="ru-RU"/>
        </w:rPr>
      </w:pPr>
      <w:r w:rsidRPr="00C7376C">
        <w:rPr>
          <w:rFonts w:ascii="Times New Roman" w:eastAsia="Times New Roman" w:hAnsi="Times New Roman" w:cs="Times New Roman"/>
          <w:i/>
          <w:sz w:val="28"/>
          <w:szCs w:val="28"/>
          <w:lang w:val="en-US" w:eastAsia="ru-RU"/>
        </w:rPr>
        <w:t xml:space="preserve">North Ossetian State University </w:t>
      </w:r>
    </w:p>
    <w:p w:rsidR="00EF797F" w:rsidRDefault="00EF797F" w:rsidP="00EF797F">
      <w:pPr>
        <w:spacing w:after="0" w:line="360" w:lineRule="auto"/>
        <w:rPr>
          <w:rFonts w:ascii="Times New Roman" w:eastAsia="Times New Roman" w:hAnsi="Times New Roman" w:cs="Times New Roman"/>
          <w:i/>
          <w:sz w:val="28"/>
          <w:szCs w:val="28"/>
          <w:lang w:val="en-US" w:eastAsia="ru-RU"/>
        </w:rPr>
      </w:pPr>
      <w:proofErr w:type="spellStart"/>
      <w:r w:rsidRPr="00C7376C">
        <w:rPr>
          <w:rFonts w:ascii="Times New Roman" w:eastAsia="Times New Roman" w:hAnsi="Times New Roman" w:cs="Times New Roman"/>
          <w:i/>
          <w:sz w:val="28"/>
          <w:szCs w:val="28"/>
          <w:lang w:val="en-US" w:eastAsia="ru-RU"/>
        </w:rPr>
        <w:t>Kosta</w:t>
      </w:r>
      <w:proofErr w:type="spellEnd"/>
      <w:r w:rsidRPr="00C7376C">
        <w:rPr>
          <w:rFonts w:ascii="Times New Roman" w:eastAsia="Times New Roman" w:hAnsi="Times New Roman" w:cs="Times New Roman"/>
          <w:i/>
          <w:sz w:val="28"/>
          <w:szCs w:val="28"/>
          <w:lang w:val="en-US" w:eastAsia="ru-RU"/>
        </w:rPr>
        <w:t xml:space="preserve"> </w:t>
      </w:r>
      <w:proofErr w:type="spellStart"/>
      <w:r w:rsidRPr="00C7376C">
        <w:rPr>
          <w:rFonts w:ascii="Times New Roman" w:eastAsia="Times New Roman" w:hAnsi="Times New Roman" w:cs="Times New Roman"/>
          <w:i/>
          <w:sz w:val="28"/>
          <w:szCs w:val="28"/>
          <w:lang w:val="en-US" w:eastAsia="ru-RU"/>
        </w:rPr>
        <w:t>Levanovich</w:t>
      </w:r>
      <w:proofErr w:type="spellEnd"/>
      <w:r w:rsidRPr="00C7376C">
        <w:rPr>
          <w:rFonts w:ascii="Times New Roman" w:eastAsia="Times New Roman" w:hAnsi="Times New Roman" w:cs="Times New Roman"/>
          <w:i/>
          <w:sz w:val="28"/>
          <w:szCs w:val="28"/>
          <w:lang w:val="en-US" w:eastAsia="ru-RU"/>
        </w:rPr>
        <w:t xml:space="preserve"> </w:t>
      </w:r>
      <w:proofErr w:type="spellStart"/>
      <w:r w:rsidRPr="00C7376C">
        <w:rPr>
          <w:rFonts w:ascii="Times New Roman" w:eastAsia="Times New Roman" w:hAnsi="Times New Roman" w:cs="Times New Roman"/>
          <w:i/>
          <w:sz w:val="28"/>
          <w:szCs w:val="28"/>
          <w:lang w:val="en-US" w:eastAsia="ru-RU"/>
        </w:rPr>
        <w:t>Khetagurova</w:t>
      </w:r>
      <w:proofErr w:type="spellEnd"/>
      <w:r w:rsidRPr="00C7376C">
        <w:rPr>
          <w:rFonts w:ascii="Times New Roman" w:eastAsia="Times New Roman" w:hAnsi="Times New Roman" w:cs="Times New Roman"/>
          <w:i/>
          <w:sz w:val="28"/>
          <w:szCs w:val="28"/>
          <w:lang w:val="en-US" w:eastAsia="ru-RU"/>
        </w:rPr>
        <w:t xml:space="preserve">, </w:t>
      </w:r>
    </w:p>
    <w:p w:rsidR="00EF797F" w:rsidRPr="00A23964" w:rsidRDefault="00EF797F" w:rsidP="009C17C3">
      <w:pPr>
        <w:spacing w:after="0" w:line="360" w:lineRule="auto"/>
        <w:rPr>
          <w:rFonts w:ascii="Times New Roman" w:eastAsia="Times New Roman" w:hAnsi="Times New Roman" w:cs="Times New Roman"/>
          <w:i/>
          <w:sz w:val="28"/>
          <w:szCs w:val="28"/>
          <w:lang w:val="en-US" w:eastAsia="ru-RU"/>
        </w:rPr>
      </w:pPr>
      <w:r w:rsidRPr="00C7376C">
        <w:rPr>
          <w:rFonts w:ascii="Times New Roman" w:eastAsia="Times New Roman" w:hAnsi="Times New Roman" w:cs="Times New Roman"/>
          <w:i/>
          <w:sz w:val="28"/>
          <w:szCs w:val="28"/>
          <w:lang w:val="en-US" w:eastAsia="ru-RU"/>
        </w:rPr>
        <w:t>Vladikavkaz</w:t>
      </w:r>
      <w:r w:rsidRPr="00A23964">
        <w:rPr>
          <w:rFonts w:ascii="Times New Roman" w:eastAsia="Times New Roman" w:hAnsi="Times New Roman" w:cs="Times New Roman"/>
          <w:i/>
          <w:sz w:val="28"/>
          <w:szCs w:val="28"/>
          <w:lang w:val="en-US" w:eastAsia="ru-RU"/>
        </w:rPr>
        <w:t xml:space="preserve">, </w:t>
      </w:r>
      <w:r w:rsidRPr="00C7376C">
        <w:rPr>
          <w:rFonts w:ascii="Times New Roman" w:eastAsia="Times New Roman" w:hAnsi="Times New Roman" w:cs="Times New Roman"/>
          <w:i/>
          <w:sz w:val="28"/>
          <w:szCs w:val="28"/>
          <w:lang w:val="en-US" w:eastAsia="ru-RU"/>
        </w:rPr>
        <w:t>Russian</w:t>
      </w:r>
      <w:r w:rsidRPr="00A23964">
        <w:rPr>
          <w:rFonts w:ascii="Times New Roman" w:eastAsia="Times New Roman" w:hAnsi="Times New Roman" w:cs="Times New Roman"/>
          <w:i/>
          <w:sz w:val="28"/>
          <w:szCs w:val="28"/>
          <w:lang w:val="en-US" w:eastAsia="ru-RU"/>
        </w:rPr>
        <w:t xml:space="preserve"> </w:t>
      </w:r>
      <w:r w:rsidRPr="00C7376C">
        <w:rPr>
          <w:rFonts w:ascii="Times New Roman" w:eastAsia="Times New Roman" w:hAnsi="Times New Roman" w:cs="Times New Roman"/>
          <w:i/>
          <w:sz w:val="28"/>
          <w:szCs w:val="28"/>
          <w:lang w:val="en-US" w:eastAsia="ru-RU"/>
        </w:rPr>
        <w:t>Federation</w:t>
      </w:r>
      <w:r w:rsidRPr="00A23964">
        <w:rPr>
          <w:rFonts w:ascii="Times New Roman" w:eastAsia="Times New Roman" w:hAnsi="Times New Roman" w:cs="Times New Roman"/>
          <w:b/>
          <w:sz w:val="28"/>
          <w:szCs w:val="28"/>
          <w:lang w:val="en-US" w:eastAsia="ru-RU"/>
        </w:rPr>
        <w:t xml:space="preserve">  </w:t>
      </w:r>
    </w:p>
    <w:p w:rsidR="00EF797F" w:rsidRPr="00C7376C" w:rsidRDefault="00EF797F" w:rsidP="00EF797F">
      <w:pPr>
        <w:spacing w:after="200" w:line="276" w:lineRule="auto"/>
        <w:rPr>
          <w:rFonts w:ascii="Times New Roman" w:eastAsia="Calibri" w:hAnsi="Times New Roman" w:cs="Times New Roman"/>
        </w:rPr>
      </w:pPr>
      <w:r w:rsidRPr="00A23964">
        <w:rPr>
          <w:rFonts w:ascii="Times New Roman" w:eastAsia="Times New Roman" w:hAnsi="Times New Roman" w:cs="Times New Roman"/>
          <w:b/>
          <w:sz w:val="28"/>
          <w:szCs w:val="28"/>
          <w:lang w:val="en-US" w:eastAsia="ru-RU"/>
        </w:rPr>
        <w:lastRenderedPageBreak/>
        <w:t xml:space="preserve">  </w:t>
      </w:r>
      <w:r w:rsidRPr="00D918D7">
        <w:rPr>
          <w:rFonts w:ascii="Times New Roman" w:eastAsia="Times New Roman" w:hAnsi="Times New Roman" w:cs="Times New Roman"/>
          <w:b/>
          <w:sz w:val="28"/>
          <w:szCs w:val="28"/>
          <w:lang w:eastAsia="ru-RU"/>
        </w:rPr>
        <w:t>Аннотация:</w:t>
      </w:r>
    </w:p>
    <w:p w:rsidR="00B56F92" w:rsidRPr="00B56F92" w:rsidRDefault="005A667E" w:rsidP="00B56F92">
      <w:pPr>
        <w:spacing w:after="0" w:line="360" w:lineRule="auto"/>
        <w:ind w:firstLine="709"/>
        <w:contextualSpacing/>
        <w:jc w:val="both"/>
        <w:rPr>
          <w:rFonts w:ascii="Times New Roman" w:eastAsia="Calibri" w:hAnsi="Times New Roman" w:cs="Times New Roman"/>
          <w:sz w:val="28"/>
          <w:szCs w:val="28"/>
        </w:rPr>
      </w:pPr>
      <w:r w:rsidRPr="005A667E">
        <w:rPr>
          <w:rFonts w:ascii="Times New Roman" w:eastAsia="Calibri" w:hAnsi="Times New Roman" w:cs="Times New Roman"/>
          <w:sz w:val="28"/>
          <w:szCs w:val="28"/>
        </w:rPr>
        <w:t>Статья посвящена оценке финансовой несостоятельности компании. Одним из важнейших условий финансового управления предприятия является оценка его финансового положения. При переходе предприятий (независимо от владения и управления) в рыночную экономику целесообразно проводить более углубленный и систематический подход к анализу своего финансового положения, поскольку долгосрочный финансовый кризис, испытываемый российской экономикой, вызывает серьезные проблемы. Одна из них - финансовая несостоятельность бизнеса.</w:t>
      </w:r>
    </w:p>
    <w:p w:rsidR="00B56F92" w:rsidRPr="00D918D7" w:rsidRDefault="00B56F92" w:rsidP="00EF797F">
      <w:pPr>
        <w:spacing w:after="0" w:line="360" w:lineRule="auto"/>
        <w:ind w:firstLine="709"/>
        <w:contextualSpacing/>
        <w:jc w:val="both"/>
        <w:rPr>
          <w:rFonts w:ascii="Times New Roman" w:eastAsia="Calibri" w:hAnsi="Times New Roman" w:cs="Times New Roman"/>
          <w:sz w:val="28"/>
          <w:szCs w:val="28"/>
        </w:rPr>
      </w:pPr>
    </w:p>
    <w:p w:rsidR="00B56F92" w:rsidRPr="00B56F92" w:rsidRDefault="00EF797F" w:rsidP="00B56F92">
      <w:pPr>
        <w:spacing w:after="0" w:line="360" w:lineRule="auto"/>
        <w:ind w:firstLine="709"/>
        <w:contextualSpacing/>
        <w:jc w:val="both"/>
        <w:rPr>
          <w:rFonts w:ascii="Times New Roman" w:eastAsia="Calibri" w:hAnsi="Times New Roman" w:cs="Times New Roman"/>
          <w:sz w:val="28"/>
          <w:szCs w:val="28"/>
        </w:rPr>
      </w:pPr>
      <w:r w:rsidRPr="00D918D7">
        <w:rPr>
          <w:rFonts w:ascii="Times New Roman" w:eastAsia="Calibri" w:hAnsi="Times New Roman" w:cs="Times New Roman"/>
          <w:b/>
          <w:sz w:val="28"/>
          <w:szCs w:val="28"/>
        </w:rPr>
        <w:t xml:space="preserve">Ключевые </w:t>
      </w:r>
      <w:proofErr w:type="gramStart"/>
      <w:r w:rsidRPr="00D918D7">
        <w:rPr>
          <w:rFonts w:ascii="Times New Roman" w:eastAsia="Calibri" w:hAnsi="Times New Roman" w:cs="Times New Roman"/>
          <w:b/>
          <w:sz w:val="28"/>
          <w:szCs w:val="28"/>
        </w:rPr>
        <w:t>слова:</w:t>
      </w:r>
      <w:r w:rsidRPr="00D918D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r w:rsidR="00B56F92" w:rsidRPr="00B56F92">
        <w:rPr>
          <w:rFonts w:ascii="Times New Roman" w:eastAsia="Calibri" w:hAnsi="Times New Roman" w:cs="Times New Roman"/>
          <w:sz w:val="28"/>
          <w:szCs w:val="28"/>
        </w:rPr>
        <w:t>финансов</w:t>
      </w:r>
      <w:r w:rsidR="00B56F92">
        <w:rPr>
          <w:rFonts w:ascii="Times New Roman" w:eastAsia="Calibri" w:hAnsi="Times New Roman" w:cs="Times New Roman"/>
          <w:sz w:val="28"/>
          <w:szCs w:val="28"/>
        </w:rPr>
        <w:t>ая</w:t>
      </w:r>
      <w:r w:rsidR="00B56F92" w:rsidRPr="00B56F92">
        <w:rPr>
          <w:rFonts w:ascii="Times New Roman" w:eastAsia="Calibri" w:hAnsi="Times New Roman" w:cs="Times New Roman"/>
          <w:sz w:val="28"/>
          <w:szCs w:val="28"/>
        </w:rPr>
        <w:t xml:space="preserve"> несостоятельност</w:t>
      </w:r>
      <w:r w:rsidR="00B56F92">
        <w:rPr>
          <w:rFonts w:ascii="Times New Roman" w:eastAsia="Calibri" w:hAnsi="Times New Roman" w:cs="Times New Roman"/>
          <w:sz w:val="28"/>
          <w:szCs w:val="28"/>
        </w:rPr>
        <w:t>ь</w:t>
      </w:r>
      <w:r>
        <w:rPr>
          <w:rFonts w:ascii="Times New Roman" w:eastAsia="Calibri" w:hAnsi="Times New Roman" w:cs="Times New Roman"/>
          <w:sz w:val="28"/>
          <w:szCs w:val="28"/>
        </w:rPr>
        <w:t xml:space="preserve">, </w:t>
      </w:r>
      <w:r w:rsidR="00B56F92">
        <w:rPr>
          <w:rFonts w:ascii="Times New Roman" w:eastAsia="Calibri" w:hAnsi="Times New Roman" w:cs="Times New Roman"/>
          <w:sz w:val="28"/>
          <w:szCs w:val="28"/>
        </w:rPr>
        <w:t>фирма</w:t>
      </w:r>
      <w:r>
        <w:rPr>
          <w:rFonts w:ascii="Times New Roman" w:eastAsia="Calibri" w:hAnsi="Times New Roman" w:cs="Times New Roman"/>
          <w:sz w:val="28"/>
          <w:szCs w:val="28"/>
        </w:rPr>
        <w:t xml:space="preserve">, </w:t>
      </w:r>
      <w:r w:rsidR="00B56F92">
        <w:rPr>
          <w:rFonts w:ascii="Times New Roman" w:eastAsia="Calibri" w:hAnsi="Times New Roman" w:cs="Times New Roman"/>
          <w:sz w:val="28"/>
          <w:szCs w:val="28"/>
        </w:rPr>
        <w:t xml:space="preserve">диагностика </w:t>
      </w:r>
      <w:r>
        <w:rPr>
          <w:rFonts w:ascii="Times New Roman" w:eastAsia="Calibri" w:hAnsi="Times New Roman" w:cs="Times New Roman"/>
          <w:sz w:val="28"/>
          <w:szCs w:val="28"/>
        </w:rPr>
        <w:t xml:space="preserve">производство, стратегия,   </w:t>
      </w:r>
      <w:r w:rsidR="00B56F92">
        <w:rPr>
          <w:rFonts w:ascii="Times New Roman" w:eastAsia="Calibri" w:hAnsi="Times New Roman" w:cs="Times New Roman"/>
          <w:sz w:val="28"/>
          <w:szCs w:val="28"/>
        </w:rPr>
        <w:t xml:space="preserve">риск  </w:t>
      </w:r>
      <w:r w:rsidR="00B56F92" w:rsidRPr="00B56F92">
        <w:rPr>
          <w:rFonts w:ascii="Times New Roman" w:eastAsia="Calibri" w:hAnsi="Times New Roman" w:cs="Times New Roman"/>
          <w:sz w:val="28"/>
          <w:szCs w:val="28"/>
        </w:rPr>
        <w:t>банкротств</w:t>
      </w:r>
      <w:r w:rsidR="00B56F92">
        <w:rPr>
          <w:rFonts w:ascii="Times New Roman" w:eastAsia="Calibri" w:hAnsi="Times New Roman" w:cs="Times New Roman"/>
          <w:sz w:val="28"/>
          <w:szCs w:val="28"/>
        </w:rPr>
        <w:t>а, с</w:t>
      </w:r>
      <w:r w:rsidR="00B56F92" w:rsidRPr="00B56F92">
        <w:rPr>
          <w:rFonts w:ascii="Times New Roman" w:eastAsia="Calibri" w:hAnsi="Times New Roman" w:cs="Times New Roman"/>
          <w:sz w:val="28"/>
          <w:szCs w:val="28"/>
        </w:rPr>
        <w:t>истематизированный анализ</w:t>
      </w:r>
      <w:r w:rsidR="00B56F92">
        <w:rPr>
          <w:rFonts w:ascii="Times New Roman" w:eastAsia="Calibri" w:hAnsi="Times New Roman" w:cs="Times New Roman"/>
          <w:sz w:val="28"/>
          <w:szCs w:val="28"/>
        </w:rPr>
        <w:t>,</w:t>
      </w:r>
      <w:r w:rsidR="00B56F92" w:rsidRPr="00B56F92">
        <w:t xml:space="preserve"> </w:t>
      </w:r>
      <w:r w:rsidR="00B56F92" w:rsidRPr="00B56F92">
        <w:rPr>
          <w:rFonts w:ascii="Times New Roman" w:eastAsia="Calibri" w:hAnsi="Times New Roman" w:cs="Times New Roman"/>
          <w:sz w:val="28"/>
          <w:szCs w:val="28"/>
        </w:rPr>
        <w:t>ликвидность, финансов</w:t>
      </w:r>
      <w:r w:rsidR="00B56F92">
        <w:rPr>
          <w:rFonts w:ascii="Times New Roman" w:eastAsia="Calibri" w:hAnsi="Times New Roman" w:cs="Times New Roman"/>
          <w:sz w:val="28"/>
          <w:szCs w:val="28"/>
        </w:rPr>
        <w:t xml:space="preserve">ая </w:t>
      </w:r>
      <w:r w:rsidR="00B56F92" w:rsidRPr="00B56F92">
        <w:rPr>
          <w:rFonts w:ascii="Times New Roman" w:eastAsia="Calibri" w:hAnsi="Times New Roman" w:cs="Times New Roman"/>
          <w:sz w:val="28"/>
          <w:szCs w:val="28"/>
        </w:rPr>
        <w:t xml:space="preserve"> устойчивость, делов</w:t>
      </w:r>
      <w:r w:rsidR="00B56F92">
        <w:rPr>
          <w:rFonts w:ascii="Times New Roman" w:eastAsia="Calibri" w:hAnsi="Times New Roman" w:cs="Times New Roman"/>
          <w:sz w:val="28"/>
          <w:szCs w:val="28"/>
        </w:rPr>
        <w:t>ая</w:t>
      </w:r>
      <w:r w:rsidR="00B56F92" w:rsidRPr="00B56F92">
        <w:rPr>
          <w:rFonts w:ascii="Times New Roman" w:eastAsia="Calibri" w:hAnsi="Times New Roman" w:cs="Times New Roman"/>
          <w:sz w:val="28"/>
          <w:szCs w:val="28"/>
        </w:rPr>
        <w:t xml:space="preserve"> активность</w:t>
      </w:r>
      <w:r w:rsidR="00B56F92">
        <w:rPr>
          <w:rFonts w:ascii="Times New Roman" w:eastAsia="Calibri" w:hAnsi="Times New Roman" w:cs="Times New Roman"/>
          <w:sz w:val="28"/>
          <w:szCs w:val="28"/>
        </w:rPr>
        <w:t>.</w:t>
      </w:r>
    </w:p>
    <w:p w:rsidR="00EF797F" w:rsidRPr="00C7376C" w:rsidRDefault="00EF797F" w:rsidP="00B733B9">
      <w:pPr>
        <w:spacing w:after="0" w:line="360" w:lineRule="auto"/>
        <w:contextualSpacing/>
        <w:jc w:val="both"/>
        <w:rPr>
          <w:rFonts w:ascii="Times New Roman" w:eastAsia="Calibri" w:hAnsi="Times New Roman" w:cs="Times New Roman"/>
          <w:b/>
          <w:sz w:val="28"/>
          <w:szCs w:val="28"/>
        </w:rPr>
      </w:pPr>
    </w:p>
    <w:p w:rsidR="00EF797F" w:rsidRPr="00D918D7" w:rsidRDefault="00EF797F" w:rsidP="00EF797F">
      <w:pPr>
        <w:spacing w:after="0" w:line="360" w:lineRule="auto"/>
        <w:ind w:firstLine="709"/>
        <w:contextualSpacing/>
        <w:jc w:val="both"/>
        <w:rPr>
          <w:rFonts w:ascii="Times New Roman" w:eastAsia="Calibri" w:hAnsi="Times New Roman" w:cs="Times New Roman"/>
          <w:b/>
          <w:sz w:val="28"/>
          <w:szCs w:val="28"/>
          <w:lang w:val="en-US"/>
        </w:rPr>
      </w:pPr>
      <w:r w:rsidRPr="00D918D7">
        <w:rPr>
          <w:rFonts w:ascii="Times New Roman" w:eastAsia="Calibri" w:hAnsi="Times New Roman" w:cs="Times New Roman"/>
          <w:b/>
          <w:sz w:val="28"/>
          <w:szCs w:val="28"/>
          <w:lang w:val="en-US"/>
        </w:rPr>
        <w:t>Abstract:</w:t>
      </w:r>
    </w:p>
    <w:p w:rsidR="00EF797F" w:rsidRDefault="00B56F92" w:rsidP="00EF797F">
      <w:pPr>
        <w:spacing w:after="0" w:line="360" w:lineRule="auto"/>
        <w:ind w:firstLine="709"/>
        <w:contextualSpacing/>
        <w:jc w:val="both"/>
        <w:rPr>
          <w:rFonts w:ascii="Times New Roman" w:eastAsia="Calibri" w:hAnsi="Times New Roman" w:cs="Times New Roman"/>
          <w:sz w:val="28"/>
          <w:szCs w:val="28"/>
          <w:lang w:val="en-US"/>
        </w:rPr>
      </w:pPr>
      <w:r w:rsidRPr="00B56F92">
        <w:rPr>
          <w:rFonts w:ascii="Times New Roman" w:eastAsia="Calibri" w:hAnsi="Times New Roman" w:cs="Times New Roman"/>
          <w:sz w:val="28"/>
          <w:szCs w:val="28"/>
          <w:lang w:val="en-US"/>
        </w:rPr>
        <w:t>The article is devoted to assessing the financial insolvency of the firm. One of the most important conditions for financial management of an enterprise is the assessment of its financial condition. In the conditions of the transition of enterprises (regardless of ownership and management) to a market economy, it is advisable to conduct a more thorough and systematic approach to the analysis of their financial condition, since the protracted financial crisis experienced by the Russian economy gives rise to serious problems. One of them is financial insolvency of enterprises.</w:t>
      </w:r>
    </w:p>
    <w:p w:rsidR="00B56F92" w:rsidRDefault="00B56F92" w:rsidP="00EF797F">
      <w:pPr>
        <w:spacing w:after="0" w:line="360" w:lineRule="auto"/>
        <w:ind w:firstLine="709"/>
        <w:contextualSpacing/>
        <w:jc w:val="both"/>
        <w:rPr>
          <w:rFonts w:ascii="Times New Roman" w:eastAsia="Calibri" w:hAnsi="Times New Roman" w:cs="Times New Roman"/>
          <w:b/>
          <w:sz w:val="28"/>
          <w:szCs w:val="28"/>
          <w:lang w:val="en-US"/>
        </w:rPr>
      </w:pPr>
    </w:p>
    <w:p w:rsidR="00EF797F" w:rsidRDefault="00EF797F" w:rsidP="00EF797F">
      <w:pPr>
        <w:spacing w:after="0" w:line="360" w:lineRule="auto"/>
        <w:ind w:firstLine="709"/>
        <w:contextualSpacing/>
        <w:jc w:val="both"/>
        <w:rPr>
          <w:rFonts w:ascii="Times New Roman" w:eastAsia="Calibri" w:hAnsi="Times New Roman" w:cs="Times New Roman"/>
          <w:sz w:val="28"/>
          <w:szCs w:val="28"/>
          <w:lang w:val="en-US"/>
        </w:rPr>
      </w:pPr>
      <w:r w:rsidRPr="00D918D7">
        <w:rPr>
          <w:rFonts w:ascii="Times New Roman" w:eastAsia="Calibri" w:hAnsi="Times New Roman" w:cs="Times New Roman"/>
          <w:b/>
          <w:sz w:val="28"/>
          <w:szCs w:val="28"/>
          <w:lang w:val="en-US"/>
        </w:rPr>
        <w:t>Key words:</w:t>
      </w:r>
      <w:r w:rsidRPr="00D918D7">
        <w:rPr>
          <w:rFonts w:ascii="Times New Roman" w:eastAsia="Calibri" w:hAnsi="Times New Roman" w:cs="Times New Roman"/>
          <w:sz w:val="28"/>
          <w:szCs w:val="28"/>
          <w:lang w:val="en-US"/>
        </w:rPr>
        <w:t xml:space="preserve"> </w:t>
      </w:r>
      <w:r w:rsidR="00B56F92" w:rsidRPr="00B56F92">
        <w:rPr>
          <w:rFonts w:ascii="Times New Roman" w:eastAsia="Calibri" w:hAnsi="Times New Roman" w:cs="Times New Roman"/>
          <w:sz w:val="28"/>
          <w:szCs w:val="28"/>
          <w:lang w:val="en-US"/>
        </w:rPr>
        <w:t>financial insolvency, firm, diagnostics, production, strategy, risk of bankruptcy, systematic analysis, liquidity, financial stability, business activity.</w:t>
      </w:r>
    </w:p>
    <w:p w:rsidR="00B56F92" w:rsidRPr="00A23964" w:rsidRDefault="00B56F92" w:rsidP="005A667E">
      <w:pPr>
        <w:spacing w:after="0" w:line="360" w:lineRule="auto"/>
        <w:contextualSpacing/>
        <w:jc w:val="both"/>
        <w:rPr>
          <w:rFonts w:ascii="Times New Roman" w:eastAsia="Calibri" w:hAnsi="Times New Roman" w:cs="Times New Roman"/>
          <w:sz w:val="28"/>
          <w:szCs w:val="28"/>
          <w:lang w:val="en-US"/>
        </w:rPr>
      </w:pPr>
    </w:p>
    <w:p w:rsidR="005A667E" w:rsidRPr="005A667E" w:rsidRDefault="005A667E" w:rsidP="005A667E">
      <w:pPr>
        <w:pStyle w:val="a7"/>
        <w:spacing w:after="0" w:line="360" w:lineRule="auto"/>
        <w:ind w:firstLine="709"/>
        <w:contextualSpacing/>
        <w:jc w:val="both"/>
        <w:rPr>
          <w:rFonts w:eastAsia="Calibri"/>
          <w:sz w:val="28"/>
          <w:szCs w:val="28"/>
          <w:lang w:eastAsia="en-US"/>
        </w:rPr>
      </w:pPr>
      <w:r w:rsidRPr="005A667E">
        <w:rPr>
          <w:rFonts w:eastAsia="Calibri"/>
          <w:sz w:val="28"/>
          <w:szCs w:val="28"/>
          <w:lang w:eastAsia="en-US"/>
        </w:rPr>
        <w:t xml:space="preserve">Разрушение традиционных финансовых отношений, падение спроса, фактическое отсутствие государственной поддержки реального сектора экономики, то трудно предсказать изменения в экономической стратегии </w:t>
      </w:r>
      <w:r w:rsidRPr="005A667E">
        <w:rPr>
          <w:rFonts w:eastAsia="Calibri"/>
          <w:sz w:val="28"/>
          <w:szCs w:val="28"/>
          <w:lang w:eastAsia="en-US"/>
        </w:rPr>
        <w:lastRenderedPageBreak/>
        <w:t>правительства, гиперинфляция, политическая нестабильность, низкий уровень развития и стагнации финансового рынка - все это искажает финансовую деятельность. К вышеуказанному следует добавить внутренние причины: низкая платежная дисциплина, неэффективное управление и маркетинг. Сложная внутренняя и внешняя среда привела к ситуации в сфере финансов. Российские компании чрезвычайно сложны.</w:t>
      </w:r>
    </w:p>
    <w:p w:rsidR="006D45F6" w:rsidRPr="002830E6" w:rsidRDefault="005A667E" w:rsidP="005A667E">
      <w:pPr>
        <w:pStyle w:val="a7"/>
        <w:spacing w:before="0" w:beforeAutospacing="0" w:after="0" w:afterAutospacing="0" w:line="360" w:lineRule="auto"/>
        <w:ind w:firstLine="709"/>
        <w:contextualSpacing/>
        <w:jc w:val="both"/>
        <w:rPr>
          <w:sz w:val="28"/>
          <w:szCs w:val="28"/>
        </w:rPr>
      </w:pPr>
      <w:r w:rsidRPr="005A667E">
        <w:rPr>
          <w:rFonts w:eastAsia="Calibri"/>
          <w:sz w:val="28"/>
          <w:szCs w:val="28"/>
          <w:lang w:eastAsia="en-US"/>
        </w:rPr>
        <w:t>РФ «Несостоятельность (банкротство)» от 03.07.2018 N 53-ФЗ, расхождение определяется как: «признанный третейским судом неспособность должника полностью удовлетворить требования кредиторов, связанные с денежными обязательствами и (или) его обязательство производить обязательные платежи "</w:t>
      </w:r>
      <w:r w:rsidR="00EA4866">
        <w:rPr>
          <w:rStyle w:val="aa"/>
          <w:sz w:val="28"/>
          <w:szCs w:val="28"/>
        </w:rPr>
        <w:footnoteReference w:id="1"/>
      </w:r>
      <w:r w:rsidR="006D45F6" w:rsidRPr="002830E6">
        <w:rPr>
          <w:sz w:val="28"/>
          <w:szCs w:val="28"/>
        </w:rPr>
        <w:t>.</w:t>
      </w:r>
    </w:p>
    <w:p w:rsidR="005A667E" w:rsidRPr="005A667E" w:rsidRDefault="005A667E" w:rsidP="005A667E">
      <w:pPr>
        <w:pStyle w:val="a7"/>
        <w:spacing w:after="0" w:line="360" w:lineRule="auto"/>
        <w:ind w:firstLine="709"/>
        <w:contextualSpacing/>
        <w:jc w:val="both"/>
        <w:rPr>
          <w:sz w:val="28"/>
          <w:szCs w:val="28"/>
        </w:rPr>
      </w:pPr>
      <w:r w:rsidRPr="005A667E">
        <w:rPr>
          <w:sz w:val="28"/>
          <w:szCs w:val="28"/>
        </w:rPr>
        <w:t>Несостоятельность - это неспособность предприятия погасить свои обязательства более трех месяцев с момента их возникновения из-за отсутствия или отсутствия денежных средств. Если должник в ходе своей деятельности не может выполнить свои обязательства более трех месяцев, то соответствующее банкротство переходит в абсолютное банкротство.</w:t>
      </w:r>
    </w:p>
    <w:p w:rsidR="005A667E" w:rsidRPr="005A667E" w:rsidRDefault="005A667E" w:rsidP="005A667E">
      <w:pPr>
        <w:pStyle w:val="a7"/>
        <w:spacing w:after="0" w:line="360" w:lineRule="auto"/>
        <w:ind w:firstLine="709"/>
        <w:contextualSpacing/>
        <w:jc w:val="both"/>
        <w:rPr>
          <w:sz w:val="28"/>
          <w:szCs w:val="28"/>
        </w:rPr>
      </w:pPr>
      <w:r w:rsidRPr="005A667E">
        <w:rPr>
          <w:sz w:val="28"/>
          <w:szCs w:val="28"/>
        </w:rPr>
        <w:t>Это абсолютная несостоятельность и называется несостоятельностью того или иного субъекта экономических отношений.</w:t>
      </w:r>
    </w:p>
    <w:p w:rsidR="006D45F6" w:rsidRDefault="005A667E" w:rsidP="005A667E">
      <w:pPr>
        <w:pStyle w:val="a7"/>
        <w:spacing w:before="0" w:beforeAutospacing="0" w:after="0" w:afterAutospacing="0" w:line="360" w:lineRule="auto"/>
        <w:ind w:firstLine="709"/>
        <w:contextualSpacing/>
        <w:jc w:val="both"/>
        <w:rPr>
          <w:sz w:val="28"/>
          <w:szCs w:val="28"/>
        </w:rPr>
      </w:pPr>
      <w:r w:rsidRPr="005A667E">
        <w:rPr>
          <w:sz w:val="28"/>
          <w:szCs w:val="28"/>
        </w:rPr>
        <w:t>Следовательно, необходима несостоятельность того или иного субъекта экономических отношений, но это не единственное условие для «несостоятельности» (несостоятельности). «Концепция несостоятельности также разделена на несколько основных типов.</w:t>
      </w:r>
      <w:r w:rsidR="006D45F6">
        <w:rPr>
          <w:rStyle w:val="aa"/>
          <w:sz w:val="28"/>
          <w:szCs w:val="28"/>
        </w:rPr>
        <w:footnoteReference w:id="2"/>
      </w:r>
      <w:r w:rsidR="00EA4866">
        <w:rPr>
          <w:sz w:val="28"/>
          <w:szCs w:val="28"/>
        </w:rPr>
        <w:t xml:space="preserve"> </w:t>
      </w:r>
      <w:r w:rsidR="006D45F6" w:rsidRPr="00A36A2E">
        <w:rPr>
          <w:sz w:val="28"/>
          <w:szCs w:val="28"/>
        </w:rPr>
        <w:t xml:space="preserve">Основная цель специалистов по </w:t>
      </w:r>
      <w:r w:rsidR="006D45F6" w:rsidRPr="006D45F6">
        <w:rPr>
          <w:sz w:val="28"/>
          <w:szCs w:val="28"/>
        </w:rPr>
        <w:t xml:space="preserve">несостоятельности  </w:t>
      </w:r>
      <w:r w:rsidR="006D45F6" w:rsidRPr="00A36A2E">
        <w:rPr>
          <w:sz w:val="28"/>
          <w:szCs w:val="28"/>
        </w:rPr>
        <w:t xml:space="preserve"> — максимально эффективное использование производственного потенциала подконтрольного предприятия для вывода его из </w:t>
      </w:r>
      <w:r w:rsidR="006D45F6" w:rsidRPr="006D45F6">
        <w:rPr>
          <w:sz w:val="28"/>
          <w:szCs w:val="28"/>
        </w:rPr>
        <w:t>несостоятельно</w:t>
      </w:r>
      <w:r w:rsidR="006D45F6">
        <w:rPr>
          <w:sz w:val="28"/>
          <w:szCs w:val="28"/>
        </w:rPr>
        <w:t>го</w:t>
      </w:r>
      <w:r w:rsidR="006D45F6" w:rsidRPr="006D45F6">
        <w:rPr>
          <w:sz w:val="28"/>
          <w:szCs w:val="28"/>
        </w:rPr>
        <w:t xml:space="preserve">  </w:t>
      </w:r>
      <w:r w:rsidR="006D45F6" w:rsidRPr="00A36A2E">
        <w:rPr>
          <w:sz w:val="28"/>
          <w:szCs w:val="28"/>
        </w:rPr>
        <w:t xml:space="preserve"> состояния.</w:t>
      </w:r>
    </w:p>
    <w:p w:rsidR="006D45F6" w:rsidRDefault="006D45F6" w:rsidP="006D45F6">
      <w:pPr>
        <w:pStyle w:val="a7"/>
        <w:spacing w:before="0" w:beforeAutospacing="0" w:after="0" w:afterAutospacing="0" w:line="360" w:lineRule="auto"/>
        <w:ind w:firstLine="709"/>
        <w:contextualSpacing/>
        <w:jc w:val="center"/>
        <w:rPr>
          <w:sz w:val="28"/>
          <w:szCs w:val="28"/>
        </w:rPr>
      </w:pPr>
      <w:r>
        <w:rPr>
          <w:sz w:val="28"/>
          <w:szCs w:val="28"/>
        </w:rPr>
        <w:t xml:space="preserve">Таблица 1 - </w:t>
      </w:r>
      <w:r w:rsidRPr="00A36A2E">
        <w:rPr>
          <w:sz w:val="28"/>
          <w:szCs w:val="28"/>
        </w:rPr>
        <w:t>Цел</w:t>
      </w:r>
      <w:r>
        <w:rPr>
          <w:sz w:val="28"/>
          <w:szCs w:val="28"/>
        </w:rPr>
        <w:t xml:space="preserve">и </w:t>
      </w:r>
      <w:r w:rsidRPr="00A36A2E">
        <w:rPr>
          <w:sz w:val="28"/>
          <w:szCs w:val="28"/>
        </w:rPr>
        <w:t xml:space="preserve"> института банкротства</w:t>
      </w:r>
      <w:r>
        <w:rPr>
          <w:rStyle w:val="aa"/>
          <w:sz w:val="28"/>
          <w:szCs w:val="28"/>
        </w:rPr>
        <w:footnoteReference w:id="3"/>
      </w:r>
    </w:p>
    <w:tbl>
      <w:tblPr>
        <w:tblStyle w:val="ab"/>
        <w:tblW w:w="0" w:type="auto"/>
        <w:tblLook w:val="04A0" w:firstRow="1" w:lastRow="0" w:firstColumn="1" w:lastColumn="0" w:noHBand="0" w:noVBand="1"/>
      </w:tblPr>
      <w:tblGrid>
        <w:gridCol w:w="2327"/>
        <w:gridCol w:w="6726"/>
      </w:tblGrid>
      <w:tr w:rsidR="006D45F6" w:rsidRPr="00A36A2E" w:rsidTr="00380B26">
        <w:trPr>
          <w:trHeight w:val="493"/>
        </w:trPr>
        <w:tc>
          <w:tcPr>
            <w:tcW w:w="2327"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r w:rsidRPr="00A36A2E">
              <w:rPr>
                <w:rFonts w:ascii="Times New Roman" w:eastAsia="Times New Roman" w:hAnsi="Times New Roman" w:cs="Times New Roman"/>
                <w:bCs/>
                <w:sz w:val="24"/>
                <w:szCs w:val="24"/>
                <w:lang w:eastAsia="ru-RU"/>
              </w:rPr>
              <w:lastRenderedPageBreak/>
              <w:t>Уровень экономики</w:t>
            </w:r>
          </w:p>
        </w:tc>
        <w:tc>
          <w:tcPr>
            <w:tcW w:w="6726"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r w:rsidRPr="00A36A2E">
              <w:rPr>
                <w:rFonts w:ascii="Times New Roman" w:eastAsia="Times New Roman" w:hAnsi="Times New Roman" w:cs="Times New Roman"/>
                <w:bCs/>
                <w:sz w:val="24"/>
                <w:szCs w:val="24"/>
                <w:lang w:eastAsia="ru-RU"/>
              </w:rPr>
              <w:t>Цель института банкротства</w:t>
            </w:r>
          </w:p>
        </w:tc>
      </w:tr>
      <w:tr w:rsidR="006D45F6" w:rsidRPr="00A36A2E" w:rsidTr="00380B26">
        <w:trPr>
          <w:trHeight w:val="1109"/>
        </w:trPr>
        <w:tc>
          <w:tcPr>
            <w:tcW w:w="2327"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r w:rsidRPr="00A36A2E">
              <w:rPr>
                <w:rFonts w:ascii="Times New Roman" w:eastAsia="Times New Roman" w:hAnsi="Times New Roman" w:cs="Times New Roman"/>
                <w:sz w:val="24"/>
                <w:szCs w:val="24"/>
                <w:lang w:eastAsia="ru-RU"/>
              </w:rPr>
              <w:t>Макроуровень</w:t>
            </w:r>
          </w:p>
        </w:tc>
        <w:tc>
          <w:tcPr>
            <w:tcW w:w="6726"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r w:rsidRPr="00A36A2E">
              <w:rPr>
                <w:rFonts w:ascii="Times New Roman" w:eastAsia="Times New Roman" w:hAnsi="Times New Roman" w:cs="Times New Roman"/>
                <w:sz w:val="24"/>
                <w:szCs w:val="24"/>
                <w:lang w:eastAsia="ru-RU"/>
              </w:rPr>
              <w:t>Обеспечение экономического роста и конкурентоспособности национальной экономики, стабилизация экономических отношений</w:t>
            </w:r>
          </w:p>
        </w:tc>
      </w:tr>
      <w:tr w:rsidR="006D45F6" w:rsidRPr="00A36A2E" w:rsidTr="00380B26">
        <w:trPr>
          <w:trHeight w:val="986"/>
        </w:trPr>
        <w:tc>
          <w:tcPr>
            <w:tcW w:w="2327"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A36A2E">
              <w:rPr>
                <w:rFonts w:ascii="Times New Roman" w:eastAsia="Times New Roman" w:hAnsi="Times New Roman" w:cs="Times New Roman"/>
                <w:sz w:val="24"/>
                <w:szCs w:val="24"/>
                <w:lang w:eastAsia="ru-RU"/>
              </w:rPr>
              <w:t>Мезоуровень</w:t>
            </w:r>
            <w:proofErr w:type="spellEnd"/>
          </w:p>
        </w:tc>
        <w:tc>
          <w:tcPr>
            <w:tcW w:w="6726"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r w:rsidRPr="00A36A2E">
              <w:rPr>
                <w:rFonts w:ascii="Times New Roman" w:eastAsia="Times New Roman" w:hAnsi="Times New Roman" w:cs="Times New Roman"/>
                <w:sz w:val="24"/>
                <w:szCs w:val="24"/>
                <w:lang w:eastAsia="ru-RU"/>
              </w:rPr>
              <w:t>Симметричное развитие народного хозяйства в региональном и отраслевом разрезах, защита интересов территорий</w:t>
            </w:r>
          </w:p>
        </w:tc>
      </w:tr>
      <w:tr w:rsidR="006D45F6" w:rsidRPr="00A36A2E" w:rsidTr="00380B26">
        <w:trPr>
          <w:trHeight w:val="664"/>
        </w:trPr>
        <w:tc>
          <w:tcPr>
            <w:tcW w:w="2327"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r w:rsidRPr="00A36A2E">
              <w:rPr>
                <w:rFonts w:ascii="Times New Roman" w:eastAsia="Times New Roman" w:hAnsi="Times New Roman" w:cs="Times New Roman"/>
                <w:sz w:val="24"/>
                <w:szCs w:val="24"/>
                <w:lang w:eastAsia="ru-RU"/>
              </w:rPr>
              <w:t>Микроуровень</w:t>
            </w:r>
          </w:p>
        </w:tc>
        <w:tc>
          <w:tcPr>
            <w:tcW w:w="6726" w:type="dxa"/>
            <w:hideMark/>
          </w:tcPr>
          <w:p w:rsidR="006D45F6" w:rsidRPr="00A36A2E" w:rsidRDefault="006D45F6" w:rsidP="00380B26">
            <w:pPr>
              <w:spacing w:before="100" w:beforeAutospacing="1" w:after="100" w:afterAutospacing="1"/>
              <w:jc w:val="center"/>
              <w:rPr>
                <w:rFonts w:ascii="Times New Roman" w:eastAsia="Times New Roman" w:hAnsi="Times New Roman" w:cs="Times New Roman"/>
                <w:sz w:val="24"/>
                <w:szCs w:val="24"/>
                <w:lang w:eastAsia="ru-RU"/>
              </w:rPr>
            </w:pPr>
            <w:r w:rsidRPr="00A36A2E">
              <w:rPr>
                <w:rFonts w:ascii="Times New Roman" w:eastAsia="Times New Roman" w:hAnsi="Times New Roman" w:cs="Times New Roman"/>
                <w:sz w:val="24"/>
                <w:szCs w:val="24"/>
                <w:lang w:eastAsia="ru-RU"/>
              </w:rPr>
              <w:t>Обеспечение защиты интересов кредиторов, бизнеса должника, трудового коллектива</w:t>
            </w:r>
          </w:p>
        </w:tc>
      </w:tr>
    </w:tbl>
    <w:p w:rsidR="006D45F6" w:rsidRDefault="006D45F6" w:rsidP="006D45F6">
      <w:pPr>
        <w:pStyle w:val="a7"/>
        <w:spacing w:before="0" w:beforeAutospacing="0" w:after="0" w:afterAutospacing="0" w:line="360" w:lineRule="auto"/>
        <w:ind w:firstLine="709"/>
        <w:contextualSpacing/>
        <w:jc w:val="both"/>
        <w:rPr>
          <w:sz w:val="28"/>
          <w:szCs w:val="28"/>
        </w:rPr>
      </w:pPr>
    </w:p>
    <w:p w:rsidR="005A667E" w:rsidRPr="005A667E" w:rsidRDefault="005A667E" w:rsidP="005A667E">
      <w:pPr>
        <w:pStyle w:val="a7"/>
        <w:spacing w:after="0" w:line="360" w:lineRule="auto"/>
        <w:ind w:firstLine="709"/>
        <w:contextualSpacing/>
        <w:jc w:val="both"/>
        <w:rPr>
          <w:sz w:val="28"/>
          <w:szCs w:val="28"/>
        </w:rPr>
      </w:pPr>
      <w:bookmarkStart w:id="0" w:name="712"/>
      <w:r w:rsidRPr="005A667E">
        <w:rPr>
          <w:sz w:val="28"/>
          <w:szCs w:val="28"/>
        </w:rPr>
        <w:t>Основная цель соглашений о несостоятельности заключается в том, чтобы поддерживать компанию и, следовательно, владеть владельцем путем изменения системы управления компанией и предоставления преимуществ должника.</w:t>
      </w:r>
    </w:p>
    <w:p w:rsidR="005A667E" w:rsidRPr="005A667E" w:rsidRDefault="005A667E" w:rsidP="005A667E">
      <w:pPr>
        <w:pStyle w:val="a7"/>
        <w:spacing w:after="0" w:line="360" w:lineRule="auto"/>
        <w:ind w:firstLine="709"/>
        <w:contextualSpacing/>
        <w:jc w:val="both"/>
        <w:rPr>
          <w:sz w:val="28"/>
          <w:szCs w:val="28"/>
        </w:rPr>
      </w:pPr>
      <w:r w:rsidRPr="005A667E">
        <w:rPr>
          <w:sz w:val="28"/>
          <w:szCs w:val="28"/>
        </w:rPr>
        <w:t>Для определения неудовлетворительной структуры баланса неработающих предприятий особую роль играет система критериев (показателей). В зависимости от значений этих показателей можно установить реальную возможность для восстановления или потери платежеспособности со стороны юридического лица.</w:t>
      </w:r>
    </w:p>
    <w:p w:rsidR="005A667E" w:rsidRPr="005A667E" w:rsidRDefault="005A667E" w:rsidP="005A667E">
      <w:pPr>
        <w:pStyle w:val="a7"/>
        <w:spacing w:after="0" w:line="360" w:lineRule="auto"/>
        <w:ind w:firstLine="709"/>
        <w:contextualSpacing/>
        <w:jc w:val="both"/>
        <w:rPr>
          <w:sz w:val="28"/>
          <w:szCs w:val="28"/>
        </w:rPr>
      </w:pPr>
      <w:r w:rsidRPr="005A667E">
        <w:rPr>
          <w:sz w:val="28"/>
          <w:szCs w:val="28"/>
        </w:rPr>
        <w:t>Анализ и оценка структуры баланса основывается на двух показателях:</w:t>
      </w:r>
    </w:p>
    <w:p w:rsidR="005A667E" w:rsidRPr="005A667E" w:rsidRDefault="005A667E" w:rsidP="005A667E">
      <w:pPr>
        <w:pStyle w:val="a7"/>
        <w:spacing w:after="0" w:line="360" w:lineRule="auto"/>
        <w:ind w:firstLine="709"/>
        <w:contextualSpacing/>
        <w:jc w:val="both"/>
        <w:rPr>
          <w:sz w:val="28"/>
          <w:szCs w:val="28"/>
        </w:rPr>
      </w:pPr>
      <w:r w:rsidRPr="005A667E">
        <w:rPr>
          <w:sz w:val="28"/>
          <w:szCs w:val="28"/>
        </w:rPr>
        <w:t>- коэффициент тока;</w:t>
      </w:r>
    </w:p>
    <w:p w:rsidR="005A667E" w:rsidRPr="005A667E" w:rsidRDefault="005A667E" w:rsidP="005A667E">
      <w:pPr>
        <w:pStyle w:val="a7"/>
        <w:spacing w:after="0" w:line="360" w:lineRule="auto"/>
        <w:ind w:firstLine="709"/>
        <w:contextualSpacing/>
        <w:jc w:val="both"/>
        <w:rPr>
          <w:sz w:val="28"/>
          <w:szCs w:val="28"/>
        </w:rPr>
      </w:pPr>
      <w:r w:rsidRPr="005A667E">
        <w:rPr>
          <w:sz w:val="28"/>
          <w:szCs w:val="28"/>
        </w:rPr>
        <w:t>- соотношение собственных средств.</w:t>
      </w:r>
    </w:p>
    <w:p w:rsidR="00F31CA9" w:rsidRPr="00F31CA9" w:rsidRDefault="005A667E" w:rsidP="005A667E">
      <w:pPr>
        <w:pStyle w:val="a7"/>
        <w:spacing w:after="0" w:line="360" w:lineRule="auto"/>
        <w:ind w:firstLine="709"/>
        <w:contextualSpacing/>
        <w:jc w:val="both"/>
        <w:rPr>
          <w:sz w:val="28"/>
          <w:szCs w:val="28"/>
        </w:rPr>
      </w:pPr>
      <w:r w:rsidRPr="005A667E">
        <w:rPr>
          <w:sz w:val="28"/>
          <w:szCs w:val="28"/>
        </w:rPr>
        <w:t>Оценка структуры баланса производится на основе баланса компании, заверенной налоговой службой места регистрации предприятий. Коэффициент текущей ликвидности определяется как отношение фактических затрат к присутствию оборотного капитала предприятия в виде запасов готовой продукции , денежные средства, дебиторская задолженность и прочие оборотные активы (результат баланса II) на самые срочные обязательства предприятия в виде краткосрочных кредитов и различных займов (общая сумма раздел VI пассивных крохотных линий 1640.1650, 1660)</w:t>
      </w:r>
      <w:r w:rsidR="00D72DA7">
        <w:rPr>
          <w:rStyle w:val="aa"/>
          <w:sz w:val="28"/>
        </w:rPr>
        <w:footnoteReference w:id="4"/>
      </w:r>
      <w:r w:rsidR="00F31CA9" w:rsidRPr="00F31CA9">
        <w:rPr>
          <w:sz w:val="28"/>
        </w:rPr>
        <w:t>:</w:t>
      </w:r>
    </w:p>
    <w:bookmarkEnd w:id="0"/>
    <w:p w:rsidR="00F31CA9" w:rsidRDefault="00F31CA9" w:rsidP="00F31CA9">
      <w:pPr>
        <w:pStyle w:val="a7"/>
        <w:spacing w:before="0" w:beforeAutospacing="0" w:after="0" w:afterAutospacing="0" w:line="360" w:lineRule="auto"/>
        <w:ind w:firstLine="709"/>
        <w:contextualSpacing/>
        <w:jc w:val="both"/>
        <w:rPr>
          <w:sz w:val="28"/>
          <w:szCs w:val="28"/>
        </w:rPr>
      </w:pPr>
    </w:p>
    <w:p w:rsidR="00D72DA7" w:rsidRPr="00D72DA7" w:rsidRDefault="00F31CA9" w:rsidP="00F31CA9">
      <w:pPr>
        <w:pStyle w:val="a7"/>
        <w:spacing w:before="0" w:beforeAutospacing="0" w:after="0" w:afterAutospacing="0" w:line="360" w:lineRule="auto"/>
        <w:contextualSpacing/>
        <w:jc w:val="both"/>
        <w:rPr>
          <w:sz w:val="32"/>
          <w:szCs w:val="28"/>
        </w:rPr>
      </w:pPr>
      <w:r>
        <w:rPr>
          <w:sz w:val="32"/>
          <w:szCs w:val="28"/>
        </w:rPr>
        <w:t xml:space="preserve">                     </w:t>
      </w:r>
      <w:r w:rsidRPr="00F31CA9">
        <w:rPr>
          <w:sz w:val="32"/>
          <w:szCs w:val="28"/>
        </w:rPr>
        <w:t>К</w:t>
      </w:r>
      <w:r w:rsidRPr="00F31CA9">
        <w:rPr>
          <w:sz w:val="32"/>
          <w:szCs w:val="28"/>
          <w:vertAlign w:val="subscript"/>
        </w:rPr>
        <w:t xml:space="preserve">1     </w:t>
      </w:r>
      <w:r w:rsidRPr="00F31CA9">
        <w:rPr>
          <w:sz w:val="32"/>
          <w:szCs w:val="28"/>
        </w:rPr>
        <w:t xml:space="preserve">= </w:t>
      </w:r>
      <m:oMath>
        <m:f>
          <m:fPr>
            <m:ctrlPr>
              <w:rPr>
                <w:rFonts w:ascii="Cambria Math" w:hAnsi="Cambria Math"/>
                <w:i/>
                <w:sz w:val="32"/>
                <w:szCs w:val="28"/>
              </w:rPr>
            </m:ctrlPr>
          </m:fPr>
          <m:num>
            <m:r>
              <w:rPr>
                <w:rFonts w:ascii="Cambria Math" w:hAnsi="Cambria Math"/>
                <w:sz w:val="32"/>
                <w:szCs w:val="28"/>
              </w:rPr>
              <m:t>А2</m:t>
            </m:r>
          </m:num>
          <m:den>
            <m:r>
              <w:rPr>
                <w:rFonts w:ascii="Cambria Math" w:hAnsi="Cambria Math"/>
                <w:sz w:val="32"/>
                <w:szCs w:val="28"/>
              </w:rPr>
              <m:t>П4-П4 стр.  1640, 1650, 1660</m:t>
            </m:r>
          </m:den>
        </m:f>
      </m:oMath>
      <w:r w:rsidR="00D72DA7">
        <w:rPr>
          <w:sz w:val="32"/>
          <w:szCs w:val="28"/>
        </w:rPr>
        <w:t xml:space="preserve">  (1).</w:t>
      </w:r>
    </w:p>
    <w:p w:rsidR="00F31CA9" w:rsidRDefault="00F31CA9" w:rsidP="006D45F6">
      <w:pPr>
        <w:pStyle w:val="a7"/>
        <w:spacing w:before="0" w:beforeAutospacing="0" w:after="0" w:afterAutospacing="0" w:line="360" w:lineRule="auto"/>
        <w:ind w:firstLine="709"/>
        <w:contextualSpacing/>
        <w:jc w:val="both"/>
        <w:rPr>
          <w:sz w:val="28"/>
          <w:szCs w:val="28"/>
        </w:rPr>
      </w:pPr>
      <w:r w:rsidRPr="00F31CA9">
        <w:rPr>
          <w:sz w:val="28"/>
          <w:szCs w:val="28"/>
        </w:rPr>
        <w:t xml:space="preserve">Данный коэффициент определяет общую обеспеченность предприятия оборотными средствами для ведения предпринимательской деятельности и своевременного погашения кредиторской задолженности. Нормативное значение данного параметра (&gt;2) слишком завышено, поэтому целесообразнее в условиях постоянного дефицита оборотных средств нормальным считать уровень этого показателя </w:t>
      </w:r>
      <w:r>
        <w:rPr>
          <w:sz w:val="28"/>
          <w:szCs w:val="28"/>
        </w:rPr>
        <w:t xml:space="preserve">- </w:t>
      </w:r>
      <w:r w:rsidRPr="00F31CA9">
        <w:rPr>
          <w:sz w:val="28"/>
          <w:szCs w:val="28"/>
        </w:rPr>
        <w:t>1,5.</w:t>
      </w:r>
    </w:p>
    <w:p w:rsidR="00F31CA9" w:rsidRDefault="00F31CA9" w:rsidP="006D45F6">
      <w:pPr>
        <w:pStyle w:val="a7"/>
        <w:spacing w:before="0" w:beforeAutospacing="0" w:after="0" w:afterAutospacing="0" w:line="360" w:lineRule="auto"/>
        <w:ind w:firstLine="709"/>
        <w:contextualSpacing/>
        <w:jc w:val="both"/>
        <w:rPr>
          <w:sz w:val="28"/>
          <w:szCs w:val="28"/>
        </w:rPr>
      </w:pPr>
      <w:r w:rsidRPr="00F31CA9">
        <w:rPr>
          <w:sz w:val="28"/>
          <w:szCs w:val="28"/>
        </w:rPr>
        <w:t>Коэффициент обеспеченности собственными средствами характеризует наличие собственных оборотных средств у предприятия, необходимых для его финансовой устойчивости. Коэффициент обеспеченности собственными средствами определяется как отношение разности между объемами источников собственных средств (ПIV) и внеоборотных активов (АI) к фактической стоимости находящихся в наличии у предприятия оборотных средств (AII). Нормальным считается значение К</w:t>
      </w:r>
      <w:proofErr w:type="gramStart"/>
      <w:r w:rsidRPr="00F31CA9">
        <w:rPr>
          <w:sz w:val="28"/>
          <w:szCs w:val="28"/>
        </w:rPr>
        <w:t>2</w:t>
      </w:r>
      <w:r>
        <w:rPr>
          <w:sz w:val="28"/>
          <w:szCs w:val="28"/>
        </w:rPr>
        <w:t xml:space="preserve">  -</w:t>
      </w:r>
      <w:proofErr w:type="gramEnd"/>
      <w:r>
        <w:rPr>
          <w:sz w:val="28"/>
          <w:szCs w:val="28"/>
        </w:rPr>
        <w:t xml:space="preserve">   </w:t>
      </w:r>
      <w:r w:rsidRPr="00F31CA9">
        <w:rPr>
          <w:sz w:val="28"/>
          <w:szCs w:val="28"/>
        </w:rPr>
        <w:t>0,1.</w:t>
      </w:r>
    </w:p>
    <w:p w:rsidR="00F31CA9" w:rsidRPr="00D72DA7" w:rsidRDefault="00D72DA7" w:rsidP="00D72DA7">
      <w:pPr>
        <w:pStyle w:val="a7"/>
        <w:spacing w:before="0" w:beforeAutospacing="0" w:after="0" w:afterAutospacing="0" w:line="360" w:lineRule="auto"/>
        <w:ind w:firstLine="709"/>
        <w:contextualSpacing/>
        <w:jc w:val="both"/>
        <w:rPr>
          <w:sz w:val="32"/>
          <w:szCs w:val="28"/>
        </w:rPr>
      </w:pPr>
      <w:r>
        <w:rPr>
          <w:sz w:val="28"/>
          <w:szCs w:val="28"/>
        </w:rPr>
        <w:t xml:space="preserve">                         </w:t>
      </w:r>
      <w:r w:rsidR="00F31CA9" w:rsidRPr="00D72DA7">
        <w:rPr>
          <w:sz w:val="32"/>
          <w:szCs w:val="28"/>
        </w:rPr>
        <w:t>К</w:t>
      </w:r>
      <w:r w:rsidRPr="00D72DA7">
        <w:rPr>
          <w:sz w:val="32"/>
          <w:szCs w:val="28"/>
          <w:vertAlign w:val="subscript"/>
        </w:rPr>
        <w:t xml:space="preserve">2  </w:t>
      </w:r>
      <w:r w:rsidRPr="00D72DA7">
        <w:rPr>
          <w:sz w:val="32"/>
          <w:szCs w:val="28"/>
        </w:rPr>
        <w:t xml:space="preserve">= </w:t>
      </w:r>
      <m:oMath>
        <m:f>
          <m:fPr>
            <m:ctrlPr>
              <w:rPr>
                <w:rFonts w:ascii="Cambria Math" w:hAnsi="Cambria Math"/>
                <w:i/>
                <w:sz w:val="32"/>
                <w:szCs w:val="28"/>
              </w:rPr>
            </m:ctrlPr>
          </m:fPr>
          <m:num>
            <m:r>
              <w:rPr>
                <w:rFonts w:ascii="Cambria Math" w:hAnsi="Cambria Math"/>
                <w:sz w:val="32"/>
                <w:szCs w:val="28"/>
              </w:rPr>
              <m:t>П 4 -А1</m:t>
            </m:r>
          </m:num>
          <m:den>
            <m:r>
              <w:rPr>
                <w:rFonts w:ascii="Cambria Math" w:hAnsi="Cambria Math"/>
                <w:sz w:val="32"/>
                <w:szCs w:val="28"/>
              </w:rPr>
              <m:t>А2</m:t>
            </m:r>
          </m:den>
        </m:f>
      </m:oMath>
      <w:r>
        <w:rPr>
          <w:sz w:val="32"/>
          <w:szCs w:val="28"/>
        </w:rPr>
        <w:t xml:space="preserve">   (2).</w:t>
      </w:r>
    </w:p>
    <w:p w:rsidR="00D72DA7" w:rsidRDefault="00D72DA7" w:rsidP="006D45F6">
      <w:pPr>
        <w:pStyle w:val="a7"/>
        <w:spacing w:before="0" w:beforeAutospacing="0" w:after="0" w:afterAutospacing="0" w:line="360" w:lineRule="auto"/>
        <w:ind w:firstLine="709"/>
        <w:contextualSpacing/>
        <w:jc w:val="both"/>
        <w:rPr>
          <w:sz w:val="28"/>
          <w:szCs w:val="28"/>
        </w:rPr>
      </w:pPr>
    </w:p>
    <w:p w:rsidR="00170338" w:rsidRPr="00170338" w:rsidRDefault="00D72DA7" w:rsidP="00170338">
      <w:pPr>
        <w:pStyle w:val="a7"/>
        <w:spacing w:before="0" w:beforeAutospacing="0" w:after="0" w:afterAutospacing="0" w:line="360" w:lineRule="auto"/>
        <w:ind w:firstLine="709"/>
        <w:contextualSpacing/>
        <w:jc w:val="both"/>
        <w:rPr>
          <w:sz w:val="28"/>
          <w:szCs w:val="28"/>
        </w:rPr>
      </w:pPr>
      <w:r w:rsidRPr="00D72DA7">
        <w:rPr>
          <w:sz w:val="28"/>
          <w:szCs w:val="28"/>
        </w:rPr>
        <w:t>Если структура баланса предприятия по коэффициенту текущей ликвидности (К1&lt;2) и коэффициенту обеспеченности собственными оборотными средствами (К2&lt;0,1) признается неудовлетворительной, то рассчитывается коэффициент восстановления платежеспособности за 6-месячный период.</w:t>
      </w:r>
    </w:p>
    <w:p w:rsidR="00170338" w:rsidRDefault="00D72DA7" w:rsidP="00170338">
      <w:pPr>
        <w:spacing w:after="0" w:line="360" w:lineRule="auto"/>
        <w:contextualSpacing/>
        <w:jc w:val="center"/>
        <w:rPr>
          <w:rFonts w:ascii="Times New Roman" w:eastAsia="Times New Roman" w:hAnsi="Times New Roman" w:cs="Times New Roman"/>
          <w:sz w:val="28"/>
          <w:szCs w:val="24"/>
          <w:lang w:eastAsia="ru-RU"/>
        </w:rPr>
      </w:pPr>
      <w:r w:rsidRPr="00D72DA7">
        <w:rPr>
          <w:rFonts w:ascii="Times New Roman" w:eastAsia="Times New Roman" w:hAnsi="Times New Roman" w:cs="Times New Roman"/>
          <w:sz w:val="28"/>
          <w:szCs w:val="24"/>
          <w:lang w:eastAsia="ru-RU"/>
        </w:rPr>
        <w:t xml:space="preserve">Таблица </w:t>
      </w:r>
      <w:r w:rsidR="00170338">
        <w:rPr>
          <w:rFonts w:ascii="Times New Roman" w:eastAsia="Times New Roman" w:hAnsi="Times New Roman" w:cs="Times New Roman"/>
          <w:sz w:val="28"/>
          <w:szCs w:val="24"/>
          <w:lang w:eastAsia="ru-RU"/>
        </w:rPr>
        <w:t>1</w:t>
      </w:r>
      <w:r w:rsidRPr="00D72DA7">
        <w:rPr>
          <w:rFonts w:ascii="Times New Roman" w:eastAsia="Times New Roman" w:hAnsi="Times New Roman" w:cs="Times New Roman"/>
          <w:sz w:val="28"/>
          <w:szCs w:val="24"/>
          <w:lang w:eastAsia="ru-RU"/>
        </w:rPr>
        <w:t xml:space="preserve"> – Определение вероятности наступления кризиса</w:t>
      </w:r>
    </w:p>
    <w:p w:rsidR="00D72DA7" w:rsidRPr="00D72DA7" w:rsidRDefault="00D72DA7" w:rsidP="00170338">
      <w:pPr>
        <w:spacing w:after="0" w:line="360" w:lineRule="auto"/>
        <w:contextualSpacing/>
        <w:jc w:val="center"/>
        <w:rPr>
          <w:rFonts w:ascii="Times New Roman" w:eastAsia="Times New Roman" w:hAnsi="Times New Roman" w:cs="Times New Roman"/>
          <w:sz w:val="28"/>
          <w:szCs w:val="24"/>
          <w:lang w:eastAsia="ru-RU"/>
        </w:rPr>
      </w:pPr>
      <w:r w:rsidRPr="00D72DA7">
        <w:rPr>
          <w:rFonts w:ascii="Times New Roman" w:eastAsia="Times New Roman" w:hAnsi="Times New Roman" w:cs="Times New Roman"/>
          <w:sz w:val="28"/>
          <w:szCs w:val="24"/>
          <w:lang w:eastAsia="ru-RU"/>
        </w:rPr>
        <w:t xml:space="preserve"> по модели</w:t>
      </w:r>
      <w:r w:rsidR="00170338">
        <w:rPr>
          <w:rFonts w:ascii="Times New Roman" w:eastAsia="Times New Roman" w:hAnsi="Times New Roman" w:cs="Times New Roman"/>
          <w:sz w:val="28"/>
          <w:szCs w:val="24"/>
          <w:lang w:eastAsia="ru-RU"/>
        </w:rPr>
        <w:t xml:space="preserve"> </w:t>
      </w:r>
      <w:proofErr w:type="spellStart"/>
      <w:r w:rsidR="00170338" w:rsidRPr="00170338">
        <w:rPr>
          <w:rFonts w:ascii="Times New Roman" w:eastAsia="Times New Roman" w:hAnsi="Times New Roman" w:cs="Times New Roman"/>
          <w:sz w:val="28"/>
          <w:szCs w:val="24"/>
          <w:lang w:eastAsia="ru-RU"/>
        </w:rPr>
        <w:t>Бивера</w:t>
      </w:r>
      <w:proofErr w:type="spellEnd"/>
      <w:r w:rsidR="00170338">
        <w:rPr>
          <w:rStyle w:val="aa"/>
          <w:rFonts w:ascii="Times New Roman" w:eastAsia="Times New Roman" w:hAnsi="Times New Roman" w:cs="Times New Roman"/>
          <w:sz w:val="28"/>
          <w:szCs w:val="24"/>
          <w:lang w:eastAsia="ru-RU"/>
        </w:rPr>
        <w:footnoteReference w:id="5"/>
      </w:r>
    </w:p>
    <w:tbl>
      <w:tblPr>
        <w:tblStyle w:val="ab"/>
        <w:tblW w:w="9345" w:type="dxa"/>
        <w:tblLayout w:type="fixed"/>
        <w:tblLook w:val="04A0" w:firstRow="1" w:lastRow="0" w:firstColumn="1" w:lastColumn="0" w:noHBand="0" w:noVBand="1"/>
      </w:tblPr>
      <w:tblGrid>
        <w:gridCol w:w="1838"/>
        <w:gridCol w:w="4861"/>
        <w:gridCol w:w="882"/>
        <w:gridCol w:w="882"/>
        <w:gridCol w:w="882"/>
      </w:tblGrid>
      <w:tr w:rsidR="00D72DA7" w:rsidRPr="00D72DA7" w:rsidTr="00D72DA7">
        <w:trPr>
          <w:trHeight w:val="251"/>
        </w:trPr>
        <w:tc>
          <w:tcPr>
            <w:tcW w:w="1838" w:type="dxa"/>
            <w:vMerge w:val="restart"/>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Показатели</w:t>
            </w:r>
          </w:p>
        </w:tc>
        <w:tc>
          <w:tcPr>
            <w:tcW w:w="4861" w:type="dxa"/>
            <w:vMerge w:val="restart"/>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Методика расчета</w:t>
            </w:r>
          </w:p>
        </w:tc>
        <w:tc>
          <w:tcPr>
            <w:tcW w:w="2646" w:type="dxa"/>
            <w:gridSpan w:val="3"/>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Значения показателей</w:t>
            </w:r>
          </w:p>
        </w:tc>
      </w:tr>
      <w:tr w:rsidR="00D72DA7" w:rsidRPr="00D72DA7" w:rsidTr="00D72DA7">
        <w:trPr>
          <w:trHeight w:val="530"/>
        </w:trPr>
        <w:tc>
          <w:tcPr>
            <w:tcW w:w="1838" w:type="dxa"/>
            <w:vMerge/>
            <w:hideMark/>
          </w:tcPr>
          <w:p w:rsidR="00D72DA7" w:rsidRPr="00D72DA7" w:rsidRDefault="00D72DA7" w:rsidP="00D72DA7">
            <w:pPr>
              <w:rPr>
                <w:rFonts w:ascii="Times New Roman" w:eastAsia="Times New Roman" w:hAnsi="Times New Roman" w:cs="Times New Roman"/>
                <w:sz w:val="24"/>
                <w:szCs w:val="24"/>
                <w:lang w:eastAsia="ru-RU"/>
              </w:rPr>
            </w:pPr>
          </w:p>
        </w:tc>
        <w:tc>
          <w:tcPr>
            <w:tcW w:w="4861" w:type="dxa"/>
            <w:vMerge/>
            <w:hideMark/>
          </w:tcPr>
          <w:p w:rsidR="00D72DA7" w:rsidRPr="00D72DA7" w:rsidRDefault="00D72DA7" w:rsidP="00D72DA7">
            <w:pPr>
              <w:rPr>
                <w:rFonts w:ascii="Times New Roman" w:eastAsia="Times New Roman" w:hAnsi="Times New Roman" w:cs="Times New Roman"/>
                <w:sz w:val="24"/>
                <w:szCs w:val="24"/>
                <w:lang w:eastAsia="ru-RU"/>
              </w:rPr>
            </w:pP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1 группа</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2 группа</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3 группа</w:t>
            </w:r>
          </w:p>
        </w:tc>
      </w:tr>
      <w:tr w:rsidR="00D72DA7" w:rsidRPr="00D72DA7" w:rsidTr="00D72DA7">
        <w:trPr>
          <w:trHeight w:val="767"/>
        </w:trPr>
        <w:tc>
          <w:tcPr>
            <w:tcW w:w="1838" w:type="dxa"/>
            <w:hideMark/>
          </w:tcPr>
          <w:p w:rsidR="00D72DA7" w:rsidRDefault="00D72DA7" w:rsidP="00D72DA7">
            <w:pPr>
              <w:spacing w:before="100" w:beforeAutospacing="1" w:after="100" w:afterAutospacing="1"/>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lastRenderedPageBreak/>
              <w:t>Коэффициент</w:t>
            </w:r>
          </w:p>
          <w:p w:rsidR="00D72DA7" w:rsidRPr="00D72DA7" w:rsidRDefault="00D72DA7" w:rsidP="00D72DA7">
            <w:pPr>
              <w:spacing w:before="100" w:beforeAutospacing="1" w:after="100" w:afterAutospacing="1"/>
              <w:rPr>
                <w:rFonts w:ascii="Times New Roman" w:eastAsia="Times New Roman" w:hAnsi="Times New Roman" w:cs="Times New Roman"/>
                <w:sz w:val="24"/>
                <w:szCs w:val="24"/>
                <w:lang w:eastAsia="ru-RU"/>
              </w:rPr>
            </w:pPr>
            <w:proofErr w:type="spellStart"/>
            <w:r w:rsidRPr="00D72DA7">
              <w:rPr>
                <w:rFonts w:ascii="Times New Roman" w:eastAsia="Times New Roman" w:hAnsi="Times New Roman" w:cs="Times New Roman"/>
                <w:sz w:val="24"/>
                <w:szCs w:val="24"/>
                <w:lang w:eastAsia="ru-RU"/>
              </w:rPr>
              <w:t>Бивера</w:t>
            </w:r>
            <w:proofErr w:type="spellEnd"/>
          </w:p>
        </w:tc>
        <w:tc>
          <w:tcPr>
            <w:tcW w:w="4861" w:type="dxa"/>
            <w:hideMark/>
          </w:tcPr>
          <w:p w:rsidR="00D72DA7" w:rsidRPr="00D72DA7" w:rsidRDefault="008A6261" w:rsidP="00170338">
            <w:pPr>
              <w:pStyle w:val="a7"/>
              <w:spacing w:before="0" w:beforeAutospacing="0" w:after="0" w:afterAutospacing="0" w:line="360" w:lineRule="auto"/>
              <w:ind w:firstLine="709"/>
              <w:contextualSpacing/>
              <w:jc w:val="both"/>
              <w:rPr>
                <w:sz w:val="20"/>
                <w:szCs w:val="28"/>
              </w:rPr>
            </w:pPr>
            <m:oMathPara>
              <m:oMath>
                <m:f>
                  <m:fPr>
                    <m:ctrlPr>
                      <w:rPr>
                        <w:rFonts w:ascii="Cambria Math" w:hAnsi="Cambria Math"/>
                        <w:i/>
                        <w:sz w:val="20"/>
                        <w:szCs w:val="28"/>
                      </w:rPr>
                    </m:ctrlPr>
                  </m:fPr>
                  <m:num>
                    <m:r>
                      <w:rPr>
                        <w:rFonts w:ascii="Cambria Math" w:hAnsi="Cambria Math"/>
                        <w:sz w:val="20"/>
                        <w:szCs w:val="28"/>
                      </w:rPr>
                      <m:t>Чистая  прибыль+Амортизация</m:t>
                    </m:r>
                  </m:num>
                  <m:den>
                    <m:r>
                      <w:rPr>
                        <w:rFonts w:ascii="Cambria Math" w:hAnsi="Cambria Math"/>
                        <w:sz w:val="20"/>
                        <w:szCs w:val="28"/>
                      </w:rPr>
                      <m:t>Долгосрочные +</m:t>
                    </m:r>
                    <m:r>
                      <w:rPr>
                        <w:rFonts w:ascii="Cambria Math" w:hAnsi="Cambria Math"/>
                        <w:sz w:val="18"/>
                        <w:szCs w:val="28"/>
                      </w:rPr>
                      <m:t>краткосрочные</m:t>
                    </m:r>
                    <m:r>
                      <w:rPr>
                        <w:rFonts w:ascii="Cambria Math" w:hAnsi="Cambria Math"/>
                        <w:sz w:val="20"/>
                        <w:szCs w:val="28"/>
                      </w:rPr>
                      <m:t xml:space="preserve">  обязательства</m:t>
                    </m:r>
                  </m:den>
                </m:f>
              </m:oMath>
            </m:oMathPara>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0,4 – 0,45</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0,17</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- 0,15</w:t>
            </w:r>
          </w:p>
        </w:tc>
      </w:tr>
      <w:tr w:rsidR="00D72DA7" w:rsidRPr="00D72DA7" w:rsidTr="00D72DA7">
        <w:trPr>
          <w:trHeight w:val="767"/>
        </w:trPr>
        <w:tc>
          <w:tcPr>
            <w:tcW w:w="1838" w:type="dxa"/>
            <w:hideMark/>
          </w:tcPr>
          <w:p w:rsidR="00D72DA7" w:rsidRPr="00D72DA7" w:rsidRDefault="00D72DA7" w:rsidP="00D72DA7">
            <w:pPr>
              <w:spacing w:before="100" w:beforeAutospacing="1" w:after="100" w:afterAutospacing="1"/>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Коэффициент текущей ликвидности</w:t>
            </w:r>
          </w:p>
        </w:tc>
        <w:tc>
          <w:tcPr>
            <w:tcW w:w="4861" w:type="dxa"/>
            <w:hideMark/>
          </w:tcPr>
          <w:p w:rsidR="00D72DA7" w:rsidRPr="00D72DA7" w:rsidRDefault="008A6261" w:rsidP="00170338">
            <w:pPr>
              <w:spacing w:before="100" w:beforeAutospacing="1" w:after="100" w:afterAutospacing="1"/>
              <w:rPr>
                <w:rFonts w:ascii="Times New Roman" w:eastAsia="Times New Roman" w:hAnsi="Times New Roman" w:cs="Times New Roman"/>
                <w:sz w:val="24"/>
                <w:szCs w:val="24"/>
                <w:lang w:eastAsia="ru-RU"/>
              </w:rPr>
            </w:pPr>
            <m:oMathPara>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 xml:space="preserve">Оборотные  активы </m:t>
                    </m:r>
                  </m:num>
                  <m:den>
                    <m:r>
                      <w:rPr>
                        <w:rFonts w:ascii="Cambria Math" w:eastAsia="Times New Roman" w:hAnsi="Cambria Math" w:cs="Times New Roman"/>
                        <w:sz w:val="24"/>
                        <w:szCs w:val="24"/>
                        <w:lang w:eastAsia="ru-RU"/>
                      </w:rPr>
                      <m:t>Текущие обязательства</m:t>
                    </m:r>
                  </m:den>
                </m:f>
              </m:oMath>
            </m:oMathPara>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3,0</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2,0 – 2,5</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1,0</w:t>
            </w:r>
          </w:p>
        </w:tc>
      </w:tr>
      <w:tr w:rsidR="00D72DA7" w:rsidRPr="00D72DA7" w:rsidTr="00D72DA7">
        <w:trPr>
          <w:trHeight w:val="781"/>
        </w:trPr>
        <w:tc>
          <w:tcPr>
            <w:tcW w:w="1838" w:type="dxa"/>
            <w:hideMark/>
          </w:tcPr>
          <w:p w:rsidR="00D72DA7" w:rsidRPr="00D72DA7" w:rsidRDefault="00D72DA7" w:rsidP="00D72DA7">
            <w:pPr>
              <w:spacing w:before="100" w:beforeAutospacing="1" w:after="100" w:afterAutospacing="1"/>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xml:space="preserve">Финансовый </w:t>
            </w:r>
            <w:proofErr w:type="spellStart"/>
            <w:r w:rsidRPr="00D72DA7">
              <w:rPr>
                <w:rFonts w:ascii="Times New Roman" w:eastAsia="Times New Roman" w:hAnsi="Times New Roman" w:cs="Times New Roman"/>
                <w:sz w:val="24"/>
                <w:szCs w:val="24"/>
                <w:lang w:eastAsia="ru-RU"/>
              </w:rPr>
              <w:t>левередж</w:t>
            </w:r>
            <w:proofErr w:type="spellEnd"/>
          </w:p>
        </w:tc>
        <w:tc>
          <w:tcPr>
            <w:tcW w:w="4861" w:type="dxa"/>
            <w:hideMark/>
          </w:tcPr>
          <w:p w:rsidR="00D72DA7" w:rsidRPr="00D72DA7" w:rsidRDefault="008A6261" w:rsidP="00170338">
            <w:pPr>
              <w:pStyle w:val="a7"/>
              <w:spacing w:after="0" w:line="360" w:lineRule="auto"/>
              <w:ind w:firstLine="709"/>
              <w:contextualSpacing/>
              <w:jc w:val="both"/>
              <w:rPr>
                <w:sz w:val="22"/>
                <w:szCs w:val="28"/>
              </w:rPr>
            </w:pPr>
            <m:oMathPara>
              <m:oMath>
                <m:f>
                  <m:fPr>
                    <m:ctrlPr>
                      <w:rPr>
                        <w:rFonts w:ascii="Cambria Math" w:hAnsi="Cambria Math"/>
                        <w:i/>
                        <w:sz w:val="22"/>
                        <w:szCs w:val="28"/>
                      </w:rPr>
                    </m:ctrlPr>
                  </m:fPr>
                  <m:num>
                    <m:r>
                      <w:rPr>
                        <w:rFonts w:ascii="Cambria Math" w:hAnsi="Cambria Math"/>
                        <w:sz w:val="22"/>
                        <w:szCs w:val="28"/>
                      </w:rPr>
                      <m:t>Долгосрочные +краткосрочные  обязательства</m:t>
                    </m:r>
                  </m:num>
                  <m:den>
                    <m:r>
                      <w:rPr>
                        <w:rFonts w:ascii="Cambria Math" w:hAnsi="Cambria Math"/>
                        <w:sz w:val="22"/>
                        <w:szCs w:val="28"/>
                      </w:rPr>
                      <m:t>Активы ×100%</m:t>
                    </m:r>
                  </m:den>
                </m:f>
              </m:oMath>
            </m:oMathPara>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35,0</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50,0</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80,0</w:t>
            </w:r>
          </w:p>
        </w:tc>
      </w:tr>
      <w:tr w:rsidR="00D72DA7" w:rsidRPr="00D72DA7" w:rsidTr="00D72DA7">
        <w:trPr>
          <w:trHeight w:val="1535"/>
        </w:trPr>
        <w:tc>
          <w:tcPr>
            <w:tcW w:w="1838" w:type="dxa"/>
            <w:hideMark/>
          </w:tcPr>
          <w:p w:rsidR="00D72DA7" w:rsidRPr="00D72DA7" w:rsidRDefault="00D72DA7" w:rsidP="00D72DA7">
            <w:pPr>
              <w:spacing w:before="100" w:beforeAutospacing="1" w:after="100" w:afterAutospacing="1"/>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Коэффициент покрытия активов чистым оборотным капиталом</w:t>
            </w:r>
          </w:p>
        </w:tc>
        <w:tc>
          <w:tcPr>
            <w:tcW w:w="4861" w:type="dxa"/>
            <w:hideMark/>
          </w:tcPr>
          <w:p w:rsidR="00170338" w:rsidRPr="00170338" w:rsidRDefault="008A6261" w:rsidP="00170338">
            <w:pPr>
              <w:pStyle w:val="a7"/>
              <w:spacing w:after="0" w:line="360" w:lineRule="auto"/>
              <w:ind w:firstLine="709"/>
              <w:contextualSpacing/>
              <w:jc w:val="both"/>
              <w:rPr>
                <w:sz w:val="22"/>
                <w:szCs w:val="28"/>
              </w:rPr>
            </w:pPr>
            <m:oMathPara>
              <m:oMath>
                <m:f>
                  <m:fPr>
                    <m:ctrlPr>
                      <w:rPr>
                        <w:rFonts w:ascii="Cambria Math" w:hAnsi="Cambria Math"/>
                        <w:i/>
                        <w:sz w:val="22"/>
                        <w:szCs w:val="28"/>
                      </w:rPr>
                    </m:ctrlPr>
                  </m:fPr>
                  <m:num>
                    <m:r>
                      <w:rPr>
                        <w:rFonts w:ascii="Cambria Math" w:hAnsi="Cambria Math"/>
                        <w:sz w:val="22"/>
                        <w:szCs w:val="28"/>
                      </w:rPr>
                      <m:t>Соственный-Внеоборотный  капитал</m:t>
                    </m:r>
                  </m:num>
                  <m:den>
                    <m:r>
                      <w:rPr>
                        <w:rFonts w:ascii="Cambria Math" w:hAnsi="Cambria Math"/>
                        <w:sz w:val="22"/>
                        <w:szCs w:val="28"/>
                      </w:rPr>
                      <m:t xml:space="preserve">Активы </m:t>
                    </m:r>
                  </m:den>
                </m:f>
              </m:oMath>
            </m:oMathPara>
          </w:p>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0,4</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0,3</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0,06</w:t>
            </w:r>
          </w:p>
        </w:tc>
      </w:tr>
      <w:tr w:rsidR="00D72DA7" w:rsidRPr="00D72DA7" w:rsidTr="00D72DA7">
        <w:trPr>
          <w:trHeight w:val="516"/>
        </w:trPr>
        <w:tc>
          <w:tcPr>
            <w:tcW w:w="1838" w:type="dxa"/>
            <w:hideMark/>
          </w:tcPr>
          <w:p w:rsidR="00D72DA7" w:rsidRPr="00D72DA7" w:rsidRDefault="00D72DA7" w:rsidP="00D72DA7">
            <w:pPr>
              <w:spacing w:before="100" w:beforeAutospacing="1" w:after="100" w:afterAutospacing="1"/>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Экономическая рентабельность</w:t>
            </w:r>
          </w:p>
        </w:tc>
        <w:tc>
          <w:tcPr>
            <w:tcW w:w="4861" w:type="dxa"/>
            <w:hideMark/>
          </w:tcPr>
          <w:p w:rsidR="00170338" w:rsidRPr="00170338" w:rsidRDefault="008A6261" w:rsidP="00170338">
            <w:pPr>
              <w:pStyle w:val="a7"/>
              <w:spacing w:after="0" w:line="360" w:lineRule="auto"/>
              <w:ind w:firstLine="709"/>
              <w:contextualSpacing/>
              <w:jc w:val="both"/>
              <w:rPr>
                <w:sz w:val="22"/>
                <w:szCs w:val="28"/>
              </w:rPr>
            </w:pPr>
            <m:oMathPara>
              <m:oMath>
                <m:f>
                  <m:fPr>
                    <m:ctrlPr>
                      <w:rPr>
                        <w:rFonts w:ascii="Cambria Math" w:hAnsi="Cambria Math"/>
                        <w:i/>
                        <w:sz w:val="22"/>
                        <w:szCs w:val="28"/>
                      </w:rPr>
                    </m:ctrlPr>
                  </m:fPr>
                  <m:num>
                    <m:r>
                      <w:rPr>
                        <w:rFonts w:ascii="Cambria Math" w:hAnsi="Cambria Math"/>
                        <w:sz w:val="22"/>
                        <w:szCs w:val="28"/>
                      </w:rPr>
                      <m:t>Чистая  прибыль</m:t>
                    </m:r>
                  </m:num>
                  <m:den>
                    <m:r>
                      <w:rPr>
                        <w:rFonts w:ascii="Cambria Math" w:hAnsi="Cambria Math"/>
                        <w:sz w:val="22"/>
                        <w:szCs w:val="28"/>
                      </w:rPr>
                      <m:t>Валюта  баланса</m:t>
                    </m:r>
                  </m:den>
                </m:f>
              </m:oMath>
            </m:oMathPara>
          </w:p>
          <w:p w:rsid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p>
          <w:p w:rsidR="00170338" w:rsidRPr="00D72DA7" w:rsidRDefault="00170338" w:rsidP="00D72DA7">
            <w:pPr>
              <w:spacing w:before="100" w:beforeAutospacing="1" w:after="100" w:afterAutospacing="1"/>
              <w:jc w:val="center"/>
              <w:rPr>
                <w:rFonts w:ascii="Times New Roman" w:eastAsia="Times New Roman" w:hAnsi="Times New Roman" w:cs="Times New Roman"/>
                <w:sz w:val="24"/>
                <w:szCs w:val="24"/>
                <w:lang w:eastAsia="ru-RU"/>
              </w:rPr>
            </w:pP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8,0</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2,0</w:t>
            </w:r>
          </w:p>
        </w:tc>
        <w:tc>
          <w:tcPr>
            <w:tcW w:w="882" w:type="dxa"/>
            <w:hideMark/>
          </w:tcPr>
          <w:p w:rsidR="00D72DA7" w:rsidRPr="00D72DA7" w:rsidRDefault="00D72DA7" w:rsidP="00D72DA7">
            <w:pPr>
              <w:spacing w:before="100" w:beforeAutospacing="1" w:after="100" w:afterAutospacing="1"/>
              <w:jc w:val="center"/>
              <w:rPr>
                <w:rFonts w:ascii="Times New Roman" w:eastAsia="Times New Roman" w:hAnsi="Times New Roman" w:cs="Times New Roman"/>
                <w:sz w:val="24"/>
                <w:szCs w:val="24"/>
                <w:lang w:eastAsia="ru-RU"/>
              </w:rPr>
            </w:pPr>
            <w:r w:rsidRPr="00D72DA7">
              <w:rPr>
                <w:rFonts w:ascii="Times New Roman" w:eastAsia="Times New Roman" w:hAnsi="Times New Roman" w:cs="Times New Roman"/>
                <w:sz w:val="24"/>
                <w:szCs w:val="24"/>
                <w:lang w:eastAsia="ru-RU"/>
              </w:rPr>
              <w:t>≤ 1,0</w:t>
            </w:r>
          </w:p>
        </w:tc>
      </w:tr>
    </w:tbl>
    <w:p w:rsidR="005A667E" w:rsidRPr="005A667E" w:rsidRDefault="005A667E" w:rsidP="00B733B9">
      <w:pPr>
        <w:pStyle w:val="a7"/>
        <w:spacing w:before="0" w:beforeAutospacing="0" w:after="0" w:afterAutospacing="0" w:line="360" w:lineRule="auto"/>
        <w:ind w:firstLine="709"/>
        <w:jc w:val="both"/>
        <w:rPr>
          <w:sz w:val="28"/>
          <w:szCs w:val="28"/>
        </w:rPr>
      </w:pPr>
      <w:r w:rsidRPr="005A667E">
        <w:rPr>
          <w:sz w:val="28"/>
          <w:szCs w:val="28"/>
        </w:rPr>
        <w:t xml:space="preserve">Система </w:t>
      </w:r>
      <w:r w:rsidR="00B733B9">
        <w:rPr>
          <w:sz w:val="28"/>
          <w:szCs w:val="28"/>
        </w:rPr>
        <w:t>В</w:t>
      </w:r>
      <w:r w:rsidRPr="005A667E">
        <w:rPr>
          <w:sz w:val="28"/>
          <w:szCs w:val="28"/>
        </w:rPr>
        <w:t xml:space="preserve">. </w:t>
      </w:r>
      <w:proofErr w:type="spellStart"/>
      <w:r w:rsidR="00B733B9">
        <w:rPr>
          <w:sz w:val="28"/>
          <w:szCs w:val="28"/>
        </w:rPr>
        <w:t>Бивер</w:t>
      </w:r>
      <w:proofErr w:type="spellEnd"/>
      <w:r w:rsidRPr="005A667E">
        <w:rPr>
          <w:sz w:val="28"/>
          <w:szCs w:val="28"/>
        </w:rPr>
        <w:t xml:space="preserve"> включает в себя пять факторов: рентабельность активов, текущее соотношение, коэффициент покрытия чистых основных фондов на рабочую силу, коэффициент финансового рычага </w:t>
      </w:r>
      <w:proofErr w:type="spellStart"/>
      <w:r w:rsidR="00B733B9">
        <w:rPr>
          <w:sz w:val="28"/>
          <w:szCs w:val="28"/>
        </w:rPr>
        <w:t>Бивер</w:t>
      </w:r>
      <w:proofErr w:type="spellEnd"/>
      <w:r w:rsidRPr="005A667E">
        <w:rPr>
          <w:sz w:val="28"/>
          <w:szCs w:val="28"/>
        </w:rPr>
        <w:t>.</w:t>
      </w:r>
    </w:p>
    <w:p w:rsidR="005A667E" w:rsidRPr="005A667E" w:rsidRDefault="005A667E" w:rsidP="00B733B9">
      <w:pPr>
        <w:pStyle w:val="a7"/>
        <w:spacing w:before="0" w:beforeAutospacing="0" w:after="0" w:afterAutospacing="0" w:line="360" w:lineRule="auto"/>
        <w:ind w:firstLine="709"/>
        <w:jc w:val="both"/>
        <w:rPr>
          <w:sz w:val="28"/>
          <w:szCs w:val="28"/>
        </w:rPr>
      </w:pPr>
      <w:r w:rsidRPr="005A667E">
        <w:rPr>
          <w:sz w:val="28"/>
          <w:szCs w:val="28"/>
        </w:rPr>
        <w:t>В первую группу входят финансово стабильные и растворяющиеся организации.</w:t>
      </w:r>
    </w:p>
    <w:p w:rsidR="005A667E" w:rsidRPr="005A667E" w:rsidRDefault="005A667E" w:rsidP="00B733B9">
      <w:pPr>
        <w:pStyle w:val="a7"/>
        <w:spacing w:before="0" w:beforeAutospacing="0" w:after="0" w:afterAutospacing="0" w:line="360" w:lineRule="auto"/>
        <w:ind w:firstLine="709"/>
        <w:jc w:val="both"/>
        <w:rPr>
          <w:sz w:val="28"/>
          <w:szCs w:val="28"/>
        </w:rPr>
      </w:pPr>
      <w:r w:rsidRPr="005A667E">
        <w:rPr>
          <w:sz w:val="28"/>
          <w:szCs w:val="28"/>
        </w:rPr>
        <w:t>У организации во второй группе, вероятно, будут первые признаки финансовой нестабильности, а также возникновение случайных сбоев в выполнении обязательств, которые не нарушают производственный процесс. Организация, в третьей группе, увеличивает финансовую нестабильность, частые нарушения условий исполнения обязательств, что наносит ущерб производственному процессу, и в результате всех организаций, перечисленных в текущем периоде, может оказаться в критически важных финансовых условиях.</w:t>
      </w:r>
    </w:p>
    <w:p w:rsidR="00D72DA7" w:rsidRPr="00D72DA7" w:rsidRDefault="00A23964" w:rsidP="00B733B9">
      <w:pPr>
        <w:pStyle w:val="a7"/>
        <w:spacing w:before="0" w:beforeAutospacing="0" w:after="0" w:afterAutospacing="0" w:line="360" w:lineRule="auto"/>
        <w:ind w:firstLine="709"/>
        <w:jc w:val="both"/>
        <w:rPr>
          <w:sz w:val="28"/>
          <w:szCs w:val="28"/>
        </w:rPr>
      </w:pPr>
      <w:r>
        <w:rPr>
          <w:sz w:val="28"/>
          <w:szCs w:val="28"/>
        </w:rPr>
        <w:t>П</w:t>
      </w:r>
      <w:r w:rsidR="005A667E" w:rsidRPr="005A667E">
        <w:rPr>
          <w:sz w:val="28"/>
          <w:szCs w:val="28"/>
        </w:rPr>
        <w:t xml:space="preserve">ризнание предприятия в банкротстве и наличие неудовлетворительной структуры баланса не означает признание банкротом (банкротством) компании, не изменяет юридический статус компании, не приводит к таким последствиям, как возникновение гражданской ответственности. Это регистрируется только Федеральной службой по несостоятельности </w:t>
      </w:r>
      <w:r w:rsidR="005A667E" w:rsidRPr="005A667E">
        <w:rPr>
          <w:sz w:val="28"/>
          <w:szCs w:val="28"/>
        </w:rPr>
        <w:lastRenderedPageBreak/>
        <w:t>(банкротстве) или ее территориальным органом по состоянию неплатежеспособности предприятия</w:t>
      </w:r>
      <w:r w:rsidR="00D72DA7">
        <w:rPr>
          <w:rStyle w:val="aa"/>
          <w:sz w:val="28"/>
          <w:szCs w:val="28"/>
        </w:rPr>
        <w:footnoteReference w:id="6"/>
      </w:r>
      <w:r w:rsidR="00D72DA7" w:rsidRPr="00D72DA7">
        <w:rPr>
          <w:sz w:val="28"/>
          <w:szCs w:val="28"/>
        </w:rPr>
        <w:t>.</w:t>
      </w:r>
    </w:p>
    <w:p w:rsidR="005A667E" w:rsidRPr="005A667E" w:rsidRDefault="005A667E" w:rsidP="00B733B9">
      <w:pPr>
        <w:tabs>
          <w:tab w:val="left" w:pos="915"/>
        </w:tabs>
        <w:spacing w:after="0" w:line="360" w:lineRule="auto"/>
        <w:ind w:firstLine="709"/>
        <w:jc w:val="both"/>
        <w:rPr>
          <w:rFonts w:ascii="Times New Roman" w:eastAsia="Times New Roman" w:hAnsi="Times New Roman" w:cs="Times New Roman"/>
          <w:sz w:val="28"/>
          <w:szCs w:val="28"/>
          <w:lang w:eastAsia="ru-RU"/>
        </w:rPr>
      </w:pPr>
      <w:r w:rsidRPr="005A667E">
        <w:rPr>
          <w:rFonts w:ascii="Times New Roman" w:eastAsia="Times New Roman" w:hAnsi="Times New Roman" w:cs="Times New Roman"/>
          <w:sz w:val="28"/>
          <w:szCs w:val="28"/>
          <w:lang w:eastAsia="ru-RU"/>
        </w:rPr>
        <w:t>Анализ критериев, утвержденная балансовая оценка структуры практических ситуаций, показывает, что структура баланса многих российских компаний неудовлетворительна. Это может означать, с одной стороны, финансовое положение анализируемых компаний очень близко к банкротству, а с другой стороны, влияние фактического финансового состояния критериев, используемых для оценки структуры баланса, может быть неадекватным.</w:t>
      </w:r>
    </w:p>
    <w:p w:rsidR="00EA4866" w:rsidRDefault="005A667E" w:rsidP="00B733B9">
      <w:pPr>
        <w:tabs>
          <w:tab w:val="left" w:pos="915"/>
        </w:tabs>
        <w:spacing w:after="0" w:line="360" w:lineRule="auto"/>
        <w:ind w:firstLine="709"/>
        <w:jc w:val="both"/>
        <w:rPr>
          <w:rFonts w:ascii="Times New Roman" w:hAnsi="Times New Roman" w:cs="Times New Roman"/>
          <w:sz w:val="28"/>
          <w:szCs w:val="28"/>
        </w:rPr>
      </w:pPr>
      <w:r w:rsidRPr="005A667E">
        <w:rPr>
          <w:rFonts w:ascii="Times New Roman" w:eastAsia="Times New Roman" w:hAnsi="Times New Roman" w:cs="Times New Roman"/>
          <w:sz w:val="28"/>
          <w:szCs w:val="28"/>
          <w:lang w:eastAsia="ru-RU"/>
        </w:rPr>
        <w:t>Таким образом, прогноз срыва бизнеса очень важен в системе управления кризисом. В практике прогнозирования банкротства используются многофакторные модели. Основная идея создания прогнозирующих моделей банкротства заключается в том, что вы можете делать прогнозы в соответствии с тенденцией наблюдения и поведением некоторых коэффициентов различных организаций до банкротства. Считается, что ухудшение симптомов, что скорость изменения сигнала может быть обнаружена достаточно рано, чтобы принять меры и избежать значительного риска дефолта и банкротства.</w:t>
      </w:r>
    </w:p>
    <w:p w:rsidR="00EA4866" w:rsidRDefault="00EA4866" w:rsidP="00B733B9">
      <w:pPr>
        <w:tabs>
          <w:tab w:val="left" w:pos="915"/>
        </w:tabs>
        <w:spacing w:after="0" w:line="360" w:lineRule="auto"/>
        <w:ind w:firstLine="709"/>
        <w:jc w:val="both"/>
        <w:rPr>
          <w:rFonts w:ascii="Times New Roman" w:hAnsi="Times New Roman" w:cs="Times New Roman"/>
          <w:sz w:val="28"/>
          <w:szCs w:val="28"/>
        </w:rPr>
      </w:pPr>
    </w:p>
    <w:p w:rsidR="00B733B9" w:rsidRDefault="00B733B9" w:rsidP="00B733B9">
      <w:pPr>
        <w:tabs>
          <w:tab w:val="left" w:pos="915"/>
        </w:tabs>
        <w:spacing w:after="0" w:line="360" w:lineRule="auto"/>
        <w:ind w:firstLine="709"/>
        <w:jc w:val="both"/>
        <w:rPr>
          <w:rFonts w:ascii="Times New Roman" w:hAnsi="Times New Roman" w:cs="Times New Roman"/>
          <w:sz w:val="28"/>
          <w:szCs w:val="28"/>
        </w:rPr>
      </w:pPr>
    </w:p>
    <w:p w:rsidR="00B733B9" w:rsidRDefault="00B733B9" w:rsidP="00B733B9">
      <w:pPr>
        <w:tabs>
          <w:tab w:val="left" w:pos="915"/>
        </w:tabs>
        <w:spacing w:after="0" w:line="360" w:lineRule="auto"/>
        <w:ind w:firstLine="709"/>
        <w:jc w:val="both"/>
        <w:rPr>
          <w:rFonts w:ascii="Times New Roman" w:hAnsi="Times New Roman" w:cs="Times New Roman"/>
          <w:sz w:val="28"/>
          <w:szCs w:val="28"/>
        </w:rPr>
      </w:pPr>
    </w:p>
    <w:p w:rsidR="00B733B9" w:rsidRDefault="00B733B9" w:rsidP="00B733B9">
      <w:pPr>
        <w:tabs>
          <w:tab w:val="left" w:pos="915"/>
        </w:tabs>
        <w:spacing w:after="0" w:line="360" w:lineRule="auto"/>
        <w:ind w:firstLine="709"/>
        <w:jc w:val="both"/>
        <w:rPr>
          <w:rFonts w:ascii="Times New Roman" w:hAnsi="Times New Roman" w:cs="Times New Roman"/>
          <w:sz w:val="28"/>
          <w:szCs w:val="28"/>
        </w:rPr>
      </w:pPr>
    </w:p>
    <w:p w:rsidR="00B733B9" w:rsidRDefault="00B733B9" w:rsidP="00B733B9">
      <w:pPr>
        <w:tabs>
          <w:tab w:val="left" w:pos="915"/>
        </w:tabs>
        <w:spacing w:after="0" w:line="360" w:lineRule="auto"/>
        <w:ind w:firstLine="709"/>
        <w:jc w:val="both"/>
        <w:rPr>
          <w:rFonts w:ascii="Times New Roman" w:hAnsi="Times New Roman" w:cs="Times New Roman"/>
          <w:sz w:val="28"/>
          <w:szCs w:val="28"/>
        </w:rPr>
      </w:pPr>
    </w:p>
    <w:p w:rsidR="00EA4866" w:rsidRDefault="00A23964" w:rsidP="00B733B9">
      <w:pPr>
        <w:tabs>
          <w:tab w:val="left" w:pos="91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70338">
        <w:rPr>
          <w:rFonts w:ascii="Times New Roman" w:hAnsi="Times New Roman" w:cs="Times New Roman"/>
          <w:sz w:val="28"/>
          <w:szCs w:val="28"/>
        </w:rPr>
        <w:t>СПИСОК  ИСПОЛЬЗОВАННОЙ</w:t>
      </w:r>
      <w:proofErr w:type="gramEnd"/>
      <w:r w:rsidR="00170338">
        <w:rPr>
          <w:rFonts w:ascii="Times New Roman" w:hAnsi="Times New Roman" w:cs="Times New Roman"/>
          <w:sz w:val="28"/>
          <w:szCs w:val="28"/>
        </w:rPr>
        <w:t xml:space="preserve">  ЛИТЕРАТУРЫ</w:t>
      </w:r>
    </w:p>
    <w:p w:rsidR="00EA4866" w:rsidRPr="00EA4866" w:rsidRDefault="00EA4866" w:rsidP="00B733B9">
      <w:pPr>
        <w:spacing w:after="0" w:line="360" w:lineRule="auto"/>
        <w:ind w:firstLine="709"/>
        <w:jc w:val="both"/>
        <w:rPr>
          <w:rFonts w:ascii="Times New Roman" w:hAnsi="Times New Roman" w:cs="Times New Roman"/>
          <w:sz w:val="28"/>
          <w:szCs w:val="28"/>
        </w:rPr>
      </w:pPr>
    </w:p>
    <w:p w:rsidR="00B733B9" w:rsidRPr="00B733B9" w:rsidRDefault="00B733B9" w:rsidP="00B733B9">
      <w:pPr>
        <w:spacing w:after="0" w:line="360" w:lineRule="auto"/>
        <w:ind w:firstLine="709"/>
        <w:jc w:val="both"/>
        <w:rPr>
          <w:rFonts w:ascii="Times New Roman" w:hAnsi="Times New Roman" w:cs="Times New Roman"/>
          <w:sz w:val="28"/>
          <w:szCs w:val="28"/>
        </w:rPr>
      </w:pPr>
      <w:r w:rsidRPr="00B733B9">
        <w:rPr>
          <w:rFonts w:ascii="Times New Roman" w:hAnsi="Times New Roman" w:cs="Times New Roman"/>
          <w:sz w:val="28"/>
          <w:szCs w:val="28"/>
        </w:rPr>
        <w:t>1.</w:t>
      </w:r>
      <w:r w:rsidR="00B0749D">
        <w:rPr>
          <w:rFonts w:ascii="Times New Roman" w:hAnsi="Times New Roman" w:cs="Times New Roman"/>
          <w:sz w:val="28"/>
          <w:szCs w:val="28"/>
        </w:rPr>
        <w:t xml:space="preserve">Ракута Н.В., </w:t>
      </w:r>
      <w:proofErr w:type="spellStart"/>
      <w:r w:rsidR="00B0749D">
        <w:rPr>
          <w:rFonts w:ascii="Times New Roman" w:hAnsi="Times New Roman" w:cs="Times New Roman"/>
          <w:sz w:val="28"/>
          <w:szCs w:val="28"/>
        </w:rPr>
        <w:t>Созанов</w:t>
      </w:r>
      <w:proofErr w:type="spellEnd"/>
      <w:r w:rsidR="00B0749D">
        <w:rPr>
          <w:rFonts w:ascii="Times New Roman" w:hAnsi="Times New Roman" w:cs="Times New Roman"/>
          <w:sz w:val="28"/>
          <w:szCs w:val="28"/>
        </w:rPr>
        <w:t xml:space="preserve"> В.Г. Новая концепция экономической политики как условие модернизации экономики.</w:t>
      </w:r>
      <w:bookmarkStart w:id="1" w:name="_GoBack"/>
      <w:bookmarkEnd w:id="1"/>
    </w:p>
    <w:p w:rsidR="00B733B9" w:rsidRPr="00B733B9" w:rsidRDefault="00B733B9" w:rsidP="00B733B9">
      <w:pPr>
        <w:spacing w:after="0" w:line="360" w:lineRule="auto"/>
        <w:ind w:firstLine="709"/>
        <w:jc w:val="both"/>
        <w:rPr>
          <w:rFonts w:ascii="Times New Roman" w:hAnsi="Times New Roman" w:cs="Times New Roman"/>
          <w:sz w:val="28"/>
          <w:szCs w:val="28"/>
        </w:rPr>
      </w:pPr>
      <w:r w:rsidRPr="00B733B9">
        <w:rPr>
          <w:rFonts w:ascii="Times New Roman" w:hAnsi="Times New Roman" w:cs="Times New Roman"/>
          <w:sz w:val="28"/>
          <w:szCs w:val="28"/>
        </w:rPr>
        <w:t xml:space="preserve">2.Арутюнов Ю.А. Управление кризисом: учебник. / Ю.А. </w:t>
      </w:r>
      <w:proofErr w:type="spellStart"/>
      <w:r w:rsidRPr="00B733B9">
        <w:rPr>
          <w:rFonts w:ascii="Times New Roman" w:hAnsi="Times New Roman" w:cs="Times New Roman"/>
          <w:sz w:val="28"/>
          <w:szCs w:val="28"/>
        </w:rPr>
        <w:t>Арутюны</w:t>
      </w:r>
      <w:proofErr w:type="spellEnd"/>
      <w:r w:rsidRPr="00B733B9">
        <w:rPr>
          <w:rFonts w:ascii="Times New Roman" w:hAnsi="Times New Roman" w:cs="Times New Roman"/>
          <w:sz w:val="28"/>
          <w:szCs w:val="28"/>
        </w:rPr>
        <w:t>. - М</w:t>
      </w:r>
      <w:proofErr w:type="gramStart"/>
      <w:r w:rsidRPr="00B733B9">
        <w:rPr>
          <w:rFonts w:ascii="Times New Roman" w:hAnsi="Times New Roman" w:cs="Times New Roman"/>
          <w:sz w:val="28"/>
          <w:szCs w:val="28"/>
        </w:rPr>
        <w:t xml:space="preserve"> .:</w:t>
      </w:r>
      <w:proofErr w:type="gramEnd"/>
      <w:r w:rsidRPr="00B733B9">
        <w:rPr>
          <w:rFonts w:ascii="Times New Roman" w:hAnsi="Times New Roman" w:cs="Times New Roman"/>
          <w:sz w:val="28"/>
          <w:szCs w:val="28"/>
        </w:rPr>
        <w:t xml:space="preserve"> ЕДИНСТВО, 2016. - 416 с.</w:t>
      </w:r>
    </w:p>
    <w:p w:rsidR="00B733B9" w:rsidRPr="00B733B9" w:rsidRDefault="00B0749D" w:rsidP="00B0749D">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733B9" w:rsidRPr="00B733B9">
        <w:rPr>
          <w:rFonts w:ascii="Times New Roman" w:hAnsi="Times New Roman" w:cs="Times New Roman"/>
          <w:sz w:val="28"/>
          <w:szCs w:val="28"/>
        </w:rPr>
        <w:t xml:space="preserve">3. </w:t>
      </w:r>
      <w:proofErr w:type="spellStart"/>
      <w:r>
        <w:rPr>
          <w:rFonts w:ascii="Times New Roman" w:hAnsi="Times New Roman" w:cs="Times New Roman"/>
          <w:sz w:val="28"/>
          <w:szCs w:val="28"/>
        </w:rPr>
        <w:t>Ситохова</w:t>
      </w:r>
      <w:proofErr w:type="spellEnd"/>
      <w:r>
        <w:rPr>
          <w:rFonts w:ascii="Times New Roman" w:hAnsi="Times New Roman" w:cs="Times New Roman"/>
          <w:sz w:val="28"/>
          <w:szCs w:val="28"/>
        </w:rPr>
        <w:t xml:space="preserve"> Т.Е., </w:t>
      </w:r>
      <w:proofErr w:type="spellStart"/>
      <w:r>
        <w:rPr>
          <w:rFonts w:ascii="Times New Roman" w:hAnsi="Times New Roman" w:cs="Times New Roman"/>
          <w:sz w:val="28"/>
          <w:szCs w:val="28"/>
        </w:rPr>
        <w:t>Ракута</w:t>
      </w:r>
      <w:proofErr w:type="spellEnd"/>
      <w:r>
        <w:rPr>
          <w:rFonts w:ascii="Times New Roman" w:hAnsi="Times New Roman" w:cs="Times New Roman"/>
          <w:sz w:val="28"/>
          <w:szCs w:val="28"/>
        </w:rPr>
        <w:t xml:space="preserve"> Н.В. Антимонопольная политика государства: анализ проблем и перспективы развития. Владикавказ,2015.</w:t>
      </w:r>
    </w:p>
    <w:p w:rsidR="00B733B9" w:rsidRPr="00B733B9" w:rsidRDefault="00B733B9" w:rsidP="00B733B9">
      <w:pPr>
        <w:spacing w:after="0" w:line="360" w:lineRule="auto"/>
        <w:ind w:firstLine="709"/>
        <w:jc w:val="both"/>
        <w:rPr>
          <w:rFonts w:ascii="Times New Roman" w:hAnsi="Times New Roman" w:cs="Times New Roman"/>
          <w:sz w:val="28"/>
          <w:szCs w:val="28"/>
        </w:rPr>
      </w:pPr>
      <w:r w:rsidRPr="00B733B9">
        <w:rPr>
          <w:rFonts w:ascii="Times New Roman" w:hAnsi="Times New Roman" w:cs="Times New Roman"/>
          <w:sz w:val="28"/>
          <w:szCs w:val="28"/>
        </w:rPr>
        <w:t xml:space="preserve">4. Законодательство о несостоятельности (банкротство). Учебное и практическое руководство / Карелина С.А. - Москва: </w:t>
      </w:r>
      <w:proofErr w:type="spellStart"/>
      <w:r>
        <w:rPr>
          <w:rFonts w:ascii="Times New Roman" w:hAnsi="Times New Roman" w:cs="Times New Roman"/>
          <w:sz w:val="28"/>
          <w:szCs w:val="28"/>
        </w:rPr>
        <w:t>Вольтар</w:t>
      </w:r>
      <w:proofErr w:type="spellEnd"/>
      <w:r w:rsidRPr="00B733B9">
        <w:rPr>
          <w:rFonts w:ascii="Times New Roman" w:hAnsi="Times New Roman" w:cs="Times New Roman"/>
          <w:sz w:val="28"/>
          <w:szCs w:val="28"/>
        </w:rPr>
        <w:t>, 2015 - 360</w:t>
      </w:r>
    </w:p>
    <w:p w:rsidR="00B733B9" w:rsidRPr="00B733B9" w:rsidRDefault="00B733B9" w:rsidP="00B733B9">
      <w:pPr>
        <w:spacing w:after="0" w:line="360" w:lineRule="auto"/>
        <w:ind w:firstLine="709"/>
        <w:jc w:val="both"/>
        <w:rPr>
          <w:rFonts w:ascii="Times New Roman" w:hAnsi="Times New Roman" w:cs="Times New Roman"/>
          <w:sz w:val="28"/>
          <w:szCs w:val="28"/>
        </w:rPr>
      </w:pPr>
      <w:r w:rsidRPr="00B733B9">
        <w:rPr>
          <w:rFonts w:ascii="Times New Roman" w:hAnsi="Times New Roman" w:cs="Times New Roman"/>
          <w:sz w:val="28"/>
          <w:szCs w:val="28"/>
        </w:rPr>
        <w:t xml:space="preserve">5. Родионова Н.В. Антикризисное управление. Учебник / Н.В. </w:t>
      </w:r>
      <w:proofErr w:type="gramStart"/>
      <w:r w:rsidRPr="00B733B9">
        <w:rPr>
          <w:rFonts w:ascii="Times New Roman" w:hAnsi="Times New Roman" w:cs="Times New Roman"/>
          <w:sz w:val="28"/>
          <w:szCs w:val="28"/>
        </w:rPr>
        <w:t>Родион .</w:t>
      </w:r>
      <w:proofErr w:type="gramEnd"/>
      <w:r w:rsidRPr="00B733B9">
        <w:rPr>
          <w:rFonts w:ascii="Times New Roman" w:hAnsi="Times New Roman" w:cs="Times New Roman"/>
          <w:sz w:val="28"/>
          <w:szCs w:val="28"/>
        </w:rPr>
        <w:t>- М .: ЕДИНСТВО-ДАНА, 2015. - 680 с.</w:t>
      </w:r>
    </w:p>
    <w:p w:rsidR="00B733B9" w:rsidRPr="00B733B9" w:rsidRDefault="00B733B9" w:rsidP="00B733B9">
      <w:pPr>
        <w:spacing w:after="0" w:line="360" w:lineRule="auto"/>
        <w:ind w:firstLine="709"/>
        <w:jc w:val="both"/>
        <w:rPr>
          <w:rFonts w:ascii="Times New Roman" w:hAnsi="Times New Roman" w:cs="Times New Roman"/>
          <w:sz w:val="28"/>
          <w:szCs w:val="28"/>
        </w:rPr>
      </w:pPr>
      <w:r w:rsidRPr="00B733B9">
        <w:rPr>
          <w:rFonts w:ascii="Times New Roman" w:hAnsi="Times New Roman" w:cs="Times New Roman"/>
          <w:sz w:val="28"/>
          <w:szCs w:val="28"/>
        </w:rPr>
        <w:t xml:space="preserve">6. </w:t>
      </w:r>
      <w:proofErr w:type="spellStart"/>
      <w:r w:rsidRPr="00B733B9">
        <w:rPr>
          <w:rFonts w:ascii="Times New Roman" w:hAnsi="Times New Roman" w:cs="Times New Roman"/>
          <w:sz w:val="28"/>
          <w:szCs w:val="28"/>
        </w:rPr>
        <w:t>Телюкина</w:t>
      </w:r>
      <w:proofErr w:type="spellEnd"/>
      <w:r w:rsidRPr="00B733B9">
        <w:rPr>
          <w:rFonts w:ascii="Times New Roman" w:hAnsi="Times New Roman" w:cs="Times New Roman"/>
          <w:sz w:val="28"/>
          <w:szCs w:val="28"/>
        </w:rPr>
        <w:t xml:space="preserve"> М.В. Признаки несостоятельности (банкротства) определенных категорий должников / / Правовой мир. 2015. N.12, C.23-45.</w:t>
      </w:r>
    </w:p>
    <w:p w:rsidR="00B733B9" w:rsidRPr="00B733B9" w:rsidRDefault="00B733B9" w:rsidP="00B733B9">
      <w:pPr>
        <w:spacing w:after="0" w:line="360" w:lineRule="auto"/>
        <w:ind w:firstLine="709"/>
        <w:jc w:val="both"/>
        <w:rPr>
          <w:rFonts w:ascii="Times New Roman" w:hAnsi="Times New Roman" w:cs="Times New Roman"/>
          <w:sz w:val="28"/>
          <w:szCs w:val="28"/>
        </w:rPr>
      </w:pPr>
      <w:r w:rsidRPr="00B733B9">
        <w:rPr>
          <w:rFonts w:ascii="Times New Roman" w:hAnsi="Times New Roman" w:cs="Times New Roman"/>
          <w:sz w:val="28"/>
          <w:szCs w:val="28"/>
        </w:rPr>
        <w:t>7. Шатохина К.А. Бизнес-банкротство // Безопасность бизнеса. - М: Адвокат, 2017, № 1 - стр. 46-47.</w:t>
      </w:r>
    </w:p>
    <w:p w:rsidR="00EA4866" w:rsidRPr="00EA4866" w:rsidRDefault="00B733B9" w:rsidP="00B733B9">
      <w:pPr>
        <w:spacing w:after="0" w:line="360" w:lineRule="auto"/>
        <w:ind w:firstLine="709"/>
        <w:jc w:val="both"/>
        <w:rPr>
          <w:rFonts w:ascii="Times New Roman" w:hAnsi="Times New Roman" w:cs="Times New Roman"/>
          <w:sz w:val="28"/>
          <w:szCs w:val="28"/>
        </w:rPr>
      </w:pPr>
      <w:r w:rsidRPr="00B733B9">
        <w:rPr>
          <w:rFonts w:ascii="Times New Roman" w:hAnsi="Times New Roman" w:cs="Times New Roman"/>
          <w:sz w:val="28"/>
          <w:szCs w:val="28"/>
        </w:rPr>
        <w:t>8.</w:t>
      </w:r>
      <w:r>
        <w:rPr>
          <w:rFonts w:ascii="Times New Roman" w:hAnsi="Times New Roman" w:cs="Times New Roman"/>
          <w:sz w:val="28"/>
          <w:szCs w:val="28"/>
        </w:rPr>
        <w:t>СПС Консультант Плюс</w:t>
      </w:r>
      <w:r w:rsidRPr="00B733B9">
        <w:rPr>
          <w:rFonts w:ascii="Times New Roman" w:hAnsi="Times New Roman" w:cs="Times New Roman"/>
          <w:sz w:val="28"/>
          <w:szCs w:val="28"/>
        </w:rPr>
        <w:t xml:space="preserve"> - http://www.consultant.ru.</w:t>
      </w:r>
    </w:p>
    <w:sectPr w:rsidR="00EA4866" w:rsidRPr="00EA4866" w:rsidSect="00FD286C">
      <w:footerReference w:type="default" r:id="rId7"/>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261" w:rsidRDefault="008A6261" w:rsidP="006D45F6">
      <w:pPr>
        <w:spacing w:after="0" w:line="240" w:lineRule="auto"/>
      </w:pPr>
      <w:r>
        <w:separator/>
      </w:r>
    </w:p>
  </w:endnote>
  <w:endnote w:type="continuationSeparator" w:id="0">
    <w:p w:rsidR="008A6261" w:rsidRDefault="008A6261" w:rsidP="006D4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1514758"/>
      <w:docPartObj>
        <w:docPartGallery w:val="Page Numbers (Bottom of Page)"/>
        <w:docPartUnique/>
      </w:docPartObj>
    </w:sdtPr>
    <w:sdtEndPr/>
    <w:sdtContent>
      <w:p w:rsidR="006D45F6" w:rsidRDefault="008013E1">
        <w:pPr>
          <w:pStyle w:val="a5"/>
          <w:jc w:val="center"/>
        </w:pPr>
        <w:r>
          <w:fldChar w:fldCharType="begin"/>
        </w:r>
        <w:r w:rsidR="006D45F6">
          <w:instrText>PAGE   \* MERGEFORMAT</w:instrText>
        </w:r>
        <w:r>
          <w:fldChar w:fldCharType="separate"/>
        </w:r>
        <w:r w:rsidR="00B0749D">
          <w:rPr>
            <w:noProof/>
          </w:rPr>
          <w:t>6</w:t>
        </w:r>
        <w:r>
          <w:fldChar w:fldCharType="end"/>
        </w:r>
      </w:p>
    </w:sdtContent>
  </w:sdt>
  <w:p w:rsidR="006D45F6" w:rsidRDefault="006D45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261" w:rsidRDefault="008A6261" w:rsidP="006D45F6">
      <w:pPr>
        <w:spacing w:after="0" w:line="240" w:lineRule="auto"/>
      </w:pPr>
      <w:r>
        <w:separator/>
      </w:r>
    </w:p>
  </w:footnote>
  <w:footnote w:type="continuationSeparator" w:id="0">
    <w:p w:rsidR="008A6261" w:rsidRDefault="008A6261" w:rsidP="006D45F6">
      <w:pPr>
        <w:spacing w:after="0" w:line="240" w:lineRule="auto"/>
      </w:pPr>
      <w:r>
        <w:continuationSeparator/>
      </w:r>
    </w:p>
  </w:footnote>
  <w:footnote w:id="1">
    <w:p w:rsidR="00EA4866" w:rsidRDefault="00EA4866">
      <w:pPr>
        <w:pStyle w:val="a8"/>
      </w:pPr>
      <w:r>
        <w:rPr>
          <w:rStyle w:val="aa"/>
        </w:rPr>
        <w:footnoteRef/>
      </w:r>
      <w:r>
        <w:t xml:space="preserve"> </w:t>
      </w:r>
      <w:r w:rsidRPr="00EA4866">
        <w:rPr>
          <w:rFonts w:ascii="Times New Roman" w:hAnsi="Times New Roman" w:cs="Times New Roman"/>
          <w:sz w:val="22"/>
        </w:rPr>
        <w:t>Федеральный закон "О несостоятельности (банкротстве)" от 26.10.2002 N 127-ФЗ (последняя редакция</w:t>
      </w:r>
      <w:r>
        <w:rPr>
          <w:rFonts w:ascii="Times New Roman" w:hAnsi="Times New Roman" w:cs="Times New Roman"/>
          <w:sz w:val="22"/>
        </w:rPr>
        <w:t xml:space="preserve"> </w:t>
      </w:r>
      <w:r w:rsidRPr="00EA4866">
        <w:rPr>
          <w:rFonts w:ascii="Times New Roman" w:hAnsi="Times New Roman" w:cs="Times New Roman"/>
          <w:sz w:val="22"/>
        </w:rPr>
        <w:t>23.04.2018 N 93-ФЗ)</w:t>
      </w:r>
      <w:r w:rsidRPr="00EA4866">
        <w:t xml:space="preserve"> </w:t>
      </w:r>
      <w:r w:rsidRPr="00EA4866">
        <w:rPr>
          <w:rFonts w:ascii="Times New Roman" w:hAnsi="Times New Roman" w:cs="Times New Roman"/>
          <w:sz w:val="22"/>
        </w:rPr>
        <w:t>http://www.consultant.ru/document/cons_doc_LAW_76313/0194</w:t>
      </w:r>
      <w:r>
        <w:rPr>
          <w:rFonts w:ascii="Times New Roman" w:hAnsi="Times New Roman" w:cs="Times New Roman"/>
          <w:sz w:val="22"/>
        </w:rPr>
        <w:t>.</w:t>
      </w:r>
    </w:p>
  </w:footnote>
  <w:footnote w:id="2">
    <w:p w:rsidR="006D45F6" w:rsidRDefault="006D45F6" w:rsidP="006D45F6">
      <w:pPr>
        <w:pStyle w:val="a8"/>
        <w:jc w:val="both"/>
      </w:pPr>
      <w:r>
        <w:rPr>
          <w:rStyle w:val="aa"/>
        </w:rPr>
        <w:footnoteRef/>
      </w:r>
      <w:r w:rsidRPr="00091926">
        <w:rPr>
          <w:rFonts w:ascii="Times New Roman" w:hAnsi="Times New Roman" w:cs="Times New Roman"/>
          <w:sz w:val="22"/>
        </w:rPr>
        <w:t xml:space="preserve">Правовое регулирование несостоятельности (банкротства). Учебно-практическое пособие / Карелина С.А. - М.: </w:t>
      </w:r>
      <w:proofErr w:type="spellStart"/>
      <w:r w:rsidRPr="00091926">
        <w:rPr>
          <w:rFonts w:ascii="Times New Roman" w:hAnsi="Times New Roman" w:cs="Times New Roman"/>
          <w:sz w:val="22"/>
        </w:rPr>
        <w:t>Волтерс</w:t>
      </w:r>
      <w:proofErr w:type="spellEnd"/>
      <w:r w:rsidRPr="00091926">
        <w:rPr>
          <w:rFonts w:ascii="Times New Roman" w:hAnsi="Times New Roman" w:cs="Times New Roman"/>
          <w:sz w:val="22"/>
        </w:rPr>
        <w:t xml:space="preserve"> </w:t>
      </w:r>
      <w:proofErr w:type="spellStart"/>
      <w:r w:rsidRPr="00091926">
        <w:rPr>
          <w:rFonts w:ascii="Times New Roman" w:hAnsi="Times New Roman" w:cs="Times New Roman"/>
          <w:sz w:val="22"/>
        </w:rPr>
        <w:t>Клувер</w:t>
      </w:r>
      <w:proofErr w:type="spellEnd"/>
      <w:r w:rsidRPr="00091926">
        <w:rPr>
          <w:rFonts w:ascii="Times New Roman" w:hAnsi="Times New Roman" w:cs="Times New Roman"/>
          <w:sz w:val="22"/>
        </w:rPr>
        <w:t>, 2015. - 360 c.</w:t>
      </w:r>
    </w:p>
  </w:footnote>
  <w:footnote w:id="3">
    <w:p w:rsidR="006D45F6" w:rsidRPr="00091926" w:rsidRDefault="006D45F6" w:rsidP="006D45F6">
      <w:pPr>
        <w:pStyle w:val="a8"/>
        <w:rPr>
          <w:rFonts w:ascii="Times New Roman" w:hAnsi="Times New Roman" w:cs="Times New Roman"/>
          <w:sz w:val="22"/>
        </w:rPr>
      </w:pPr>
      <w:r>
        <w:rPr>
          <w:rStyle w:val="aa"/>
        </w:rPr>
        <w:footnoteRef/>
      </w:r>
      <w:r>
        <w:t xml:space="preserve"> </w:t>
      </w:r>
      <w:r w:rsidRPr="00091926">
        <w:rPr>
          <w:rFonts w:ascii="Times New Roman" w:hAnsi="Times New Roman" w:cs="Times New Roman"/>
          <w:sz w:val="22"/>
        </w:rPr>
        <w:t>Шатохина К.А. Банкротство предприятий // Безопасность бизнеса. - М.: Юрист, 201</w:t>
      </w:r>
      <w:r>
        <w:rPr>
          <w:rFonts w:ascii="Times New Roman" w:hAnsi="Times New Roman" w:cs="Times New Roman"/>
          <w:sz w:val="22"/>
        </w:rPr>
        <w:t>7</w:t>
      </w:r>
      <w:r w:rsidRPr="00091926">
        <w:rPr>
          <w:rFonts w:ascii="Times New Roman" w:hAnsi="Times New Roman" w:cs="Times New Roman"/>
          <w:sz w:val="22"/>
        </w:rPr>
        <w:t>, № 1. - С. 46-47</w:t>
      </w:r>
    </w:p>
  </w:footnote>
  <w:footnote w:id="4">
    <w:p w:rsidR="00D72DA7" w:rsidRPr="00EA4866" w:rsidRDefault="00D72DA7" w:rsidP="00EA4866">
      <w:pPr>
        <w:pStyle w:val="a8"/>
        <w:jc w:val="both"/>
        <w:rPr>
          <w:rFonts w:ascii="Times New Roman" w:hAnsi="Times New Roman" w:cs="Times New Roman"/>
          <w:sz w:val="22"/>
        </w:rPr>
      </w:pPr>
      <w:r>
        <w:rPr>
          <w:rStyle w:val="aa"/>
        </w:rPr>
        <w:footnoteRef/>
      </w:r>
      <w:proofErr w:type="spellStart"/>
      <w:r w:rsidR="00EA4866" w:rsidRPr="00EA4866">
        <w:rPr>
          <w:rFonts w:ascii="Times New Roman" w:hAnsi="Times New Roman" w:cs="Times New Roman"/>
          <w:sz w:val="22"/>
        </w:rPr>
        <w:t>Телюкина</w:t>
      </w:r>
      <w:proofErr w:type="spellEnd"/>
      <w:r w:rsidR="00EA4866" w:rsidRPr="00EA4866">
        <w:rPr>
          <w:rFonts w:ascii="Times New Roman" w:hAnsi="Times New Roman" w:cs="Times New Roman"/>
          <w:sz w:val="22"/>
        </w:rPr>
        <w:t xml:space="preserve"> М.В. Признаки несостоятельности (банкротства) отдельных категорий должников // Юридический мир. 2015. N 12.С.23-45.</w:t>
      </w:r>
    </w:p>
  </w:footnote>
  <w:footnote w:id="5">
    <w:p w:rsidR="00170338" w:rsidRPr="00EA4866" w:rsidRDefault="00170338">
      <w:pPr>
        <w:pStyle w:val="a8"/>
        <w:rPr>
          <w:rFonts w:ascii="Times New Roman" w:hAnsi="Times New Roman" w:cs="Times New Roman"/>
          <w:sz w:val="22"/>
        </w:rPr>
      </w:pPr>
      <w:r w:rsidRPr="00EA4866">
        <w:rPr>
          <w:rStyle w:val="aa"/>
          <w:rFonts w:ascii="Times New Roman" w:hAnsi="Times New Roman" w:cs="Times New Roman"/>
          <w:sz w:val="22"/>
        </w:rPr>
        <w:footnoteRef/>
      </w:r>
      <w:r w:rsidRPr="00EA4866">
        <w:rPr>
          <w:rFonts w:ascii="Times New Roman" w:hAnsi="Times New Roman" w:cs="Times New Roman"/>
          <w:sz w:val="22"/>
        </w:rPr>
        <w:t xml:space="preserve"> </w:t>
      </w:r>
      <w:r w:rsidR="00EA4866" w:rsidRPr="00EA4866">
        <w:rPr>
          <w:rFonts w:ascii="Times New Roman" w:hAnsi="Times New Roman" w:cs="Times New Roman"/>
          <w:sz w:val="22"/>
        </w:rPr>
        <w:t>Родионова Н.В. Антикризисный менеджмент. Учебное   пособие / Н.В. Родионова.- М.: ЮНИТИ-ДАНА, 2015. — 680 с.</w:t>
      </w:r>
    </w:p>
  </w:footnote>
  <w:footnote w:id="6">
    <w:p w:rsidR="00D72DA7" w:rsidRPr="00EA4866" w:rsidRDefault="00D72DA7" w:rsidP="00EA4866">
      <w:pPr>
        <w:pStyle w:val="a8"/>
        <w:jc w:val="both"/>
        <w:rPr>
          <w:rFonts w:ascii="Times New Roman" w:hAnsi="Times New Roman" w:cs="Times New Roman"/>
          <w:sz w:val="22"/>
        </w:rPr>
      </w:pPr>
      <w:r>
        <w:rPr>
          <w:rStyle w:val="aa"/>
        </w:rPr>
        <w:footnoteRef/>
      </w:r>
      <w:r>
        <w:t xml:space="preserve"> </w:t>
      </w:r>
      <w:proofErr w:type="spellStart"/>
      <w:r w:rsidR="00EA4866" w:rsidRPr="00EA4866">
        <w:rPr>
          <w:rFonts w:ascii="Times New Roman" w:hAnsi="Times New Roman" w:cs="Times New Roman"/>
          <w:sz w:val="22"/>
        </w:rPr>
        <w:t>Витрянский</w:t>
      </w:r>
      <w:proofErr w:type="spellEnd"/>
      <w:r w:rsidR="00EA4866" w:rsidRPr="00EA4866">
        <w:rPr>
          <w:rFonts w:ascii="Times New Roman" w:hAnsi="Times New Roman" w:cs="Times New Roman"/>
          <w:sz w:val="22"/>
        </w:rPr>
        <w:t xml:space="preserve"> В.В. Новое законодательство о несостоятельности (банкротстве) // Хо</w:t>
      </w:r>
      <w:r w:rsidR="00B0749D">
        <w:rPr>
          <w:rFonts w:ascii="Times New Roman" w:hAnsi="Times New Roman" w:cs="Times New Roman"/>
          <w:sz w:val="22"/>
        </w:rPr>
        <w:t>зяйство и право. 2016. N 3.С.45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97F"/>
    <w:rsid w:val="00170338"/>
    <w:rsid w:val="005A667E"/>
    <w:rsid w:val="006D45F6"/>
    <w:rsid w:val="008013E1"/>
    <w:rsid w:val="008109AA"/>
    <w:rsid w:val="008A6261"/>
    <w:rsid w:val="009C17C3"/>
    <w:rsid w:val="00A23964"/>
    <w:rsid w:val="00B0749D"/>
    <w:rsid w:val="00B31160"/>
    <w:rsid w:val="00B56F92"/>
    <w:rsid w:val="00B733B9"/>
    <w:rsid w:val="00C225CF"/>
    <w:rsid w:val="00D72DA7"/>
    <w:rsid w:val="00EA4866"/>
    <w:rsid w:val="00EF797F"/>
    <w:rsid w:val="00F31CA9"/>
    <w:rsid w:val="00FD2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6E928-B1A8-42F9-996F-C83445A7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9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45F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45F6"/>
  </w:style>
  <w:style w:type="paragraph" w:styleId="a5">
    <w:name w:val="footer"/>
    <w:basedOn w:val="a"/>
    <w:link w:val="a6"/>
    <w:uiPriority w:val="99"/>
    <w:unhideWhenUsed/>
    <w:rsid w:val="006D45F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45F6"/>
  </w:style>
  <w:style w:type="paragraph" w:styleId="a7">
    <w:name w:val="Normal (Web)"/>
    <w:basedOn w:val="a"/>
    <w:uiPriority w:val="99"/>
    <w:unhideWhenUsed/>
    <w:rsid w:val="006D45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6D45F6"/>
    <w:pPr>
      <w:spacing w:after="0" w:line="240" w:lineRule="auto"/>
    </w:pPr>
    <w:rPr>
      <w:sz w:val="20"/>
      <w:szCs w:val="20"/>
    </w:rPr>
  </w:style>
  <w:style w:type="character" w:customStyle="1" w:styleId="a9">
    <w:name w:val="Текст сноски Знак"/>
    <w:basedOn w:val="a0"/>
    <w:link w:val="a8"/>
    <w:uiPriority w:val="99"/>
    <w:semiHidden/>
    <w:rsid w:val="006D45F6"/>
    <w:rPr>
      <w:sz w:val="20"/>
      <w:szCs w:val="20"/>
    </w:rPr>
  </w:style>
  <w:style w:type="character" w:styleId="aa">
    <w:name w:val="footnote reference"/>
    <w:basedOn w:val="a0"/>
    <w:uiPriority w:val="99"/>
    <w:semiHidden/>
    <w:unhideWhenUsed/>
    <w:rsid w:val="006D45F6"/>
    <w:rPr>
      <w:vertAlign w:val="superscript"/>
    </w:rPr>
  </w:style>
  <w:style w:type="table" w:styleId="ab">
    <w:name w:val="Table Grid"/>
    <w:basedOn w:val="a1"/>
    <w:uiPriority w:val="39"/>
    <w:rsid w:val="006D4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6D45F6"/>
    <w:rPr>
      <w:b/>
      <w:bCs/>
    </w:rPr>
  </w:style>
  <w:style w:type="character" w:styleId="ad">
    <w:name w:val="Placeholder Text"/>
    <w:basedOn w:val="a0"/>
    <w:uiPriority w:val="99"/>
    <w:semiHidden/>
    <w:rsid w:val="00F31C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2498">
      <w:bodyDiv w:val="1"/>
      <w:marLeft w:val="0"/>
      <w:marRight w:val="0"/>
      <w:marTop w:val="0"/>
      <w:marBottom w:val="0"/>
      <w:divBdr>
        <w:top w:val="none" w:sz="0" w:space="0" w:color="auto"/>
        <w:left w:val="none" w:sz="0" w:space="0" w:color="auto"/>
        <w:bottom w:val="none" w:sz="0" w:space="0" w:color="auto"/>
        <w:right w:val="none" w:sz="0" w:space="0" w:color="auto"/>
      </w:divBdr>
      <w:divsChild>
        <w:div w:id="1448163646">
          <w:marLeft w:val="0"/>
          <w:marRight w:val="0"/>
          <w:marTop w:val="0"/>
          <w:marBottom w:val="0"/>
          <w:divBdr>
            <w:top w:val="none" w:sz="0" w:space="0" w:color="auto"/>
            <w:left w:val="none" w:sz="0" w:space="0" w:color="auto"/>
            <w:bottom w:val="none" w:sz="0" w:space="0" w:color="auto"/>
            <w:right w:val="none" w:sz="0" w:space="0" w:color="auto"/>
          </w:divBdr>
        </w:div>
        <w:div w:id="337076872">
          <w:marLeft w:val="0"/>
          <w:marRight w:val="0"/>
          <w:marTop w:val="0"/>
          <w:marBottom w:val="0"/>
          <w:divBdr>
            <w:top w:val="none" w:sz="0" w:space="0" w:color="auto"/>
            <w:left w:val="none" w:sz="0" w:space="0" w:color="auto"/>
            <w:bottom w:val="none" w:sz="0" w:space="0" w:color="auto"/>
            <w:right w:val="none" w:sz="0" w:space="0" w:color="auto"/>
          </w:divBdr>
        </w:div>
        <w:div w:id="534192576">
          <w:marLeft w:val="0"/>
          <w:marRight w:val="0"/>
          <w:marTop w:val="0"/>
          <w:marBottom w:val="0"/>
          <w:divBdr>
            <w:top w:val="none" w:sz="0" w:space="0" w:color="auto"/>
            <w:left w:val="none" w:sz="0" w:space="0" w:color="auto"/>
            <w:bottom w:val="none" w:sz="0" w:space="0" w:color="auto"/>
            <w:right w:val="none" w:sz="0" w:space="0" w:color="auto"/>
          </w:divBdr>
        </w:div>
        <w:div w:id="1734886443">
          <w:marLeft w:val="0"/>
          <w:marRight w:val="0"/>
          <w:marTop w:val="0"/>
          <w:marBottom w:val="0"/>
          <w:divBdr>
            <w:top w:val="none" w:sz="0" w:space="0" w:color="auto"/>
            <w:left w:val="none" w:sz="0" w:space="0" w:color="auto"/>
            <w:bottom w:val="none" w:sz="0" w:space="0" w:color="auto"/>
            <w:right w:val="none" w:sz="0" w:space="0" w:color="auto"/>
          </w:divBdr>
        </w:div>
        <w:div w:id="1294555026">
          <w:marLeft w:val="0"/>
          <w:marRight w:val="0"/>
          <w:marTop w:val="0"/>
          <w:marBottom w:val="0"/>
          <w:divBdr>
            <w:top w:val="none" w:sz="0" w:space="0" w:color="auto"/>
            <w:left w:val="none" w:sz="0" w:space="0" w:color="auto"/>
            <w:bottom w:val="none" w:sz="0" w:space="0" w:color="auto"/>
            <w:right w:val="none" w:sz="0" w:space="0" w:color="auto"/>
          </w:divBdr>
        </w:div>
        <w:div w:id="212349844">
          <w:marLeft w:val="0"/>
          <w:marRight w:val="0"/>
          <w:marTop w:val="0"/>
          <w:marBottom w:val="0"/>
          <w:divBdr>
            <w:top w:val="none" w:sz="0" w:space="0" w:color="auto"/>
            <w:left w:val="none" w:sz="0" w:space="0" w:color="auto"/>
            <w:bottom w:val="none" w:sz="0" w:space="0" w:color="auto"/>
            <w:right w:val="none" w:sz="0" w:space="0" w:color="auto"/>
          </w:divBdr>
        </w:div>
        <w:div w:id="1531602254">
          <w:marLeft w:val="0"/>
          <w:marRight w:val="0"/>
          <w:marTop w:val="0"/>
          <w:marBottom w:val="0"/>
          <w:divBdr>
            <w:top w:val="none" w:sz="0" w:space="0" w:color="auto"/>
            <w:left w:val="none" w:sz="0" w:space="0" w:color="auto"/>
            <w:bottom w:val="none" w:sz="0" w:space="0" w:color="auto"/>
            <w:right w:val="none" w:sz="0" w:space="0" w:color="auto"/>
          </w:divBdr>
        </w:div>
        <w:div w:id="408036864">
          <w:marLeft w:val="0"/>
          <w:marRight w:val="0"/>
          <w:marTop w:val="0"/>
          <w:marBottom w:val="0"/>
          <w:divBdr>
            <w:top w:val="none" w:sz="0" w:space="0" w:color="auto"/>
            <w:left w:val="none" w:sz="0" w:space="0" w:color="auto"/>
            <w:bottom w:val="none" w:sz="0" w:space="0" w:color="auto"/>
            <w:right w:val="none" w:sz="0" w:space="0" w:color="auto"/>
          </w:divBdr>
        </w:div>
        <w:div w:id="1349477833">
          <w:marLeft w:val="0"/>
          <w:marRight w:val="0"/>
          <w:marTop w:val="0"/>
          <w:marBottom w:val="0"/>
          <w:divBdr>
            <w:top w:val="none" w:sz="0" w:space="0" w:color="auto"/>
            <w:left w:val="none" w:sz="0" w:space="0" w:color="auto"/>
            <w:bottom w:val="none" w:sz="0" w:space="0" w:color="auto"/>
            <w:right w:val="none" w:sz="0" w:space="0" w:color="auto"/>
          </w:divBdr>
        </w:div>
        <w:div w:id="1948852406">
          <w:marLeft w:val="0"/>
          <w:marRight w:val="0"/>
          <w:marTop w:val="0"/>
          <w:marBottom w:val="0"/>
          <w:divBdr>
            <w:top w:val="none" w:sz="0" w:space="0" w:color="auto"/>
            <w:left w:val="none" w:sz="0" w:space="0" w:color="auto"/>
            <w:bottom w:val="none" w:sz="0" w:space="0" w:color="auto"/>
            <w:right w:val="none" w:sz="0" w:space="0" w:color="auto"/>
          </w:divBdr>
        </w:div>
        <w:div w:id="1998339145">
          <w:marLeft w:val="0"/>
          <w:marRight w:val="0"/>
          <w:marTop w:val="0"/>
          <w:marBottom w:val="0"/>
          <w:divBdr>
            <w:top w:val="none" w:sz="0" w:space="0" w:color="auto"/>
            <w:left w:val="none" w:sz="0" w:space="0" w:color="auto"/>
            <w:bottom w:val="none" w:sz="0" w:space="0" w:color="auto"/>
            <w:right w:val="none" w:sz="0" w:space="0" w:color="auto"/>
          </w:divBdr>
        </w:div>
        <w:div w:id="1281566451">
          <w:marLeft w:val="0"/>
          <w:marRight w:val="0"/>
          <w:marTop w:val="0"/>
          <w:marBottom w:val="0"/>
          <w:divBdr>
            <w:top w:val="none" w:sz="0" w:space="0" w:color="auto"/>
            <w:left w:val="none" w:sz="0" w:space="0" w:color="auto"/>
            <w:bottom w:val="none" w:sz="0" w:space="0" w:color="auto"/>
            <w:right w:val="none" w:sz="0" w:space="0" w:color="auto"/>
          </w:divBdr>
        </w:div>
        <w:div w:id="1057358262">
          <w:marLeft w:val="0"/>
          <w:marRight w:val="0"/>
          <w:marTop w:val="0"/>
          <w:marBottom w:val="0"/>
          <w:divBdr>
            <w:top w:val="none" w:sz="0" w:space="0" w:color="auto"/>
            <w:left w:val="none" w:sz="0" w:space="0" w:color="auto"/>
            <w:bottom w:val="none" w:sz="0" w:space="0" w:color="auto"/>
            <w:right w:val="none" w:sz="0" w:space="0" w:color="auto"/>
          </w:divBdr>
        </w:div>
        <w:div w:id="566916976">
          <w:marLeft w:val="0"/>
          <w:marRight w:val="0"/>
          <w:marTop w:val="0"/>
          <w:marBottom w:val="0"/>
          <w:divBdr>
            <w:top w:val="none" w:sz="0" w:space="0" w:color="auto"/>
            <w:left w:val="none" w:sz="0" w:space="0" w:color="auto"/>
            <w:bottom w:val="none" w:sz="0" w:space="0" w:color="auto"/>
            <w:right w:val="none" w:sz="0" w:space="0" w:color="auto"/>
          </w:divBdr>
        </w:div>
        <w:div w:id="1029796757">
          <w:marLeft w:val="0"/>
          <w:marRight w:val="0"/>
          <w:marTop w:val="0"/>
          <w:marBottom w:val="0"/>
          <w:divBdr>
            <w:top w:val="none" w:sz="0" w:space="0" w:color="auto"/>
            <w:left w:val="none" w:sz="0" w:space="0" w:color="auto"/>
            <w:bottom w:val="none" w:sz="0" w:space="0" w:color="auto"/>
            <w:right w:val="none" w:sz="0" w:space="0" w:color="auto"/>
          </w:divBdr>
        </w:div>
        <w:div w:id="1267886547">
          <w:marLeft w:val="0"/>
          <w:marRight w:val="0"/>
          <w:marTop w:val="0"/>
          <w:marBottom w:val="0"/>
          <w:divBdr>
            <w:top w:val="none" w:sz="0" w:space="0" w:color="auto"/>
            <w:left w:val="none" w:sz="0" w:space="0" w:color="auto"/>
            <w:bottom w:val="none" w:sz="0" w:space="0" w:color="auto"/>
            <w:right w:val="none" w:sz="0" w:space="0" w:color="auto"/>
          </w:divBdr>
        </w:div>
        <w:div w:id="1643777652">
          <w:marLeft w:val="0"/>
          <w:marRight w:val="0"/>
          <w:marTop w:val="0"/>
          <w:marBottom w:val="0"/>
          <w:divBdr>
            <w:top w:val="none" w:sz="0" w:space="0" w:color="auto"/>
            <w:left w:val="none" w:sz="0" w:space="0" w:color="auto"/>
            <w:bottom w:val="none" w:sz="0" w:space="0" w:color="auto"/>
            <w:right w:val="none" w:sz="0" w:space="0" w:color="auto"/>
          </w:divBdr>
        </w:div>
        <w:div w:id="317611237">
          <w:marLeft w:val="0"/>
          <w:marRight w:val="0"/>
          <w:marTop w:val="0"/>
          <w:marBottom w:val="0"/>
          <w:divBdr>
            <w:top w:val="none" w:sz="0" w:space="0" w:color="auto"/>
            <w:left w:val="none" w:sz="0" w:space="0" w:color="auto"/>
            <w:bottom w:val="none" w:sz="0" w:space="0" w:color="auto"/>
            <w:right w:val="none" w:sz="0" w:space="0" w:color="auto"/>
          </w:divBdr>
        </w:div>
        <w:div w:id="1498106931">
          <w:marLeft w:val="0"/>
          <w:marRight w:val="0"/>
          <w:marTop w:val="0"/>
          <w:marBottom w:val="0"/>
          <w:divBdr>
            <w:top w:val="none" w:sz="0" w:space="0" w:color="auto"/>
            <w:left w:val="none" w:sz="0" w:space="0" w:color="auto"/>
            <w:bottom w:val="none" w:sz="0" w:space="0" w:color="auto"/>
            <w:right w:val="none" w:sz="0" w:space="0" w:color="auto"/>
          </w:divBdr>
        </w:div>
        <w:div w:id="1571620698">
          <w:marLeft w:val="0"/>
          <w:marRight w:val="0"/>
          <w:marTop w:val="0"/>
          <w:marBottom w:val="0"/>
          <w:divBdr>
            <w:top w:val="none" w:sz="0" w:space="0" w:color="auto"/>
            <w:left w:val="none" w:sz="0" w:space="0" w:color="auto"/>
            <w:bottom w:val="none" w:sz="0" w:space="0" w:color="auto"/>
            <w:right w:val="none" w:sz="0" w:space="0" w:color="auto"/>
          </w:divBdr>
        </w:div>
      </w:divsChild>
    </w:div>
    <w:div w:id="184909001">
      <w:bodyDiv w:val="1"/>
      <w:marLeft w:val="0"/>
      <w:marRight w:val="0"/>
      <w:marTop w:val="0"/>
      <w:marBottom w:val="0"/>
      <w:divBdr>
        <w:top w:val="none" w:sz="0" w:space="0" w:color="auto"/>
        <w:left w:val="none" w:sz="0" w:space="0" w:color="auto"/>
        <w:bottom w:val="none" w:sz="0" w:space="0" w:color="auto"/>
        <w:right w:val="none" w:sz="0" w:space="0" w:color="auto"/>
      </w:divBdr>
    </w:div>
    <w:div w:id="73173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FDCE6-7B4B-4541-8FF8-22D044FB1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1590</Words>
  <Characters>9066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DNA7 X64</cp:lastModifiedBy>
  <cp:revision>5</cp:revision>
  <dcterms:created xsi:type="dcterms:W3CDTF">2018-05-08T17:35:00Z</dcterms:created>
  <dcterms:modified xsi:type="dcterms:W3CDTF">2018-06-14T14:43:00Z</dcterms:modified>
</cp:coreProperties>
</file>