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759" w:rsidRPr="002B1759" w:rsidRDefault="002B1759" w:rsidP="002B1759">
      <w:pPr>
        <w:spacing w:after="0" w:line="360" w:lineRule="auto"/>
        <w:jc w:val="center"/>
        <w:rPr>
          <w:rFonts w:ascii="Times New Roman" w:hAnsi="Times New Roman" w:cs="Times New Roman"/>
          <w:sz w:val="24"/>
          <w:szCs w:val="24"/>
        </w:rPr>
      </w:pPr>
      <w:r w:rsidRPr="002B1759">
        <w:rPr>
          <w:rFonts w:ascii="Times New Roman" w:hAnsi="Times New Roman" w:cs="Times New Roman"/>
          <w:sz w:val="24"/>
          <w:szCs w:val="24"/>
        </w:rPr>
        <w:t>Содержание</w:t>
      </w:r>
    </w:p>
    <w:p w:rsidR="00C74BC9" w:rsidRPr="002B1759" w:rsidRDefault="009B0D15" w:rsidP="00C74BC9">
      <w:pPr>
        <w:spacing w:after="0" w:line="360" w:lineRule="auto"/>
        <w:rPr>
          <w:rFonts w:ascii="Times New Roman" w:hAnsi="Times New Roman" w:cs="Times New Roman"/>
          <w:sz w:val="24"/>
          <w:szCs w:val="24"/>
        </w:rPr>
      </w:pPr>
      <w:hyperlink w:anchor="_Toc504647114" w:history="1">
        <w:r w:rsidR="00C74BC9" w:rsidRPr="002B1759">
          <w:rPr>
            <w:rFonts w:ascii="Times New Roman" w:hAnsi="Times New Roman" w:cs="Times New Roman"/>
            <w:noProof/>
            <w:sz w:val="24"/>
            <w:szCs w:val="24"/>
          </w:rPr>
          <w:t>Научная статья: «</w:t>
        </w:r>
        <w:r w:rsidR="00C74BC9" w:rsidRPr="002B1759">
          <w:rPr>
            <w:rFonts w:ascii="Times New Roman" w:hAnsi="Times New Roman" w:cs="Times New Roman"/>
            <w:sz w:val="24"/>
            <w:szCs w:val="24"/>
          </w:rPr>
          <w:t>Совершенствование кредитной политики  коммерческого банка в системе обеспечения экономической безопасности (на примере ПАО Сбербанк)»…………………</w:t>
        </w:r>
        <w:r w:rsidR="002B1759">
          <w:rPr>
            <w:rFonts w:ascii="Times New Roman" w:hAnsi="Times New Roman" w:cs="Times New Roman"/>
            <w:sz w:val="24"/>
            <w:szCs w:val="24"/>
          </w:rPr>
          <w:t>.</w:t>
        </w:r>
      </w:hyperlink>
      <w:r w:rsidR="0088402A">
        <w:rPr>
          <w:rFonts w:ascii="Times New Roman" w:hAnsi="Times New Roman" w:cs="Times New Roman"/>
          <w:noProof/>
          <w:sz w:val="24"/>
          <w:szCs w:val="24"/>
        </w:rPr>
        <w:t>3</w:t>
      </w:r>
      <w:r w:rsidR="0088402A" w:rsidRPr="002B1759">
        <w:rPr>
          <w:rFonts w:ascii="Times New Roman" w:hAnsi="Times New Roman" w:cs="Times New Roman"/>
          <w:sz w:val="24"/>
          <w:szCs w:val="24"/>
        </w:rPr>
        <w:t xml:space="preserve"> </w:t>
      </w:r>
    </w:p>
    <w:p w:rsidR="00C74BC9" w:rsidRPr="002B1759" w:rsidRDefault="009B0D15" w:rsidP="00C74BC9">
      <w:pPr>
        <w:tabs>
          <w:tab w:val="right" w:leader="dot" w:pos="9345"/>
        </w:tabs>
        <w:spacing w:after="0" w:line="360" w:lineRule="auto"/>
        <w:rPr>
          <w:rFonts w:ascii="Times New Roman" w:eastAsiaTheme="minorEastAsia" w:hAnsi="Times New Roman" w:cs="Times New Roman"/>
          <w:noProof/>
          <w:sz w:val="24"/>
          <w:szCs w:val="24"/>
          <w:lang w:eastAsia="ru-RU"/>
        </w:rPr>
      </w:pPr>
      <w:hyperlink w:anchor="_Toc504647115" w:history="1">
        <w:r w:rsidR="00C74BC9" w:rsidRPr="002B1759">
          <w:rPr>
            <w:rFonts w:ascii="Times New Roman" w:hAnsi="Times New Roman" w:cs="Times New Roman"/>
            <w:noProof/>
            <w:sz w:val="24"/>
            <w:szCs w:val="24"/>
          </w:rPr>
          <w:t>Список литературы</w:t>
        </w:r>
        <w:r w:rsidR="00C74BC9" w:rsidRPr="002B1759">
          <w:rPr>
            <w:rFonts w:ascii="Times New Roman" w:hAnsi="Times New Roman" w:cs="Times New Roman"/>
            <w:noProof/>
            <w:webHidden/>
            <w:sz w:val="24"/>
            <w:szCs w:val="24"/>
          </w:rPr>
          <w:tab/>
          <w:t>10</w:t>
        </w:r>
      </w:hyperlink>
    </w:p>
    <w:p w:rsidR="00C74BC9" w:rsidRPr="002B1759" w:rsidRDefault="009B0D15" w:rsidP="00C74BC9">
      <w:pPr>
        <w:tabs>
          <w:tab w:val="right" w:leader="dot" w:pos="9345"/>
        </w:tabs>
        <w:spacing w:after="0" w:line="360" w:lineRule="auto"/>
        <w:rPr>
          <w:rFonts w:ascii="Times New Roman" w:eastAsiaTheme="minorEastAsia" w:hAnsi="Times New Roman" w:cs="Times New Roman"/>
          <w:noProof/>
          <w:sz w:val="24"/>
          <w:szCs w:val="24"/>
          <w:lang w:eastAsia="ru-RU"/>
        </w:rPr>
      </w:pPr>
      <w:hyperlink w:anchor="_Toc504647116" w:history="1">
        <w:r w:rsidR="00C74BC9" w:rsidRPr="002B1759">
          <w:rPr>
            <w:rFonts w:ascii="Times New Roman" w:hAnsi="Times New Roman" w:cs="Times New Roman"/>
            <w:noProof/>
            <w:sz w:val="24"/>
            <w:szCs w:val="24"/>
          </w:rPr>
          <w:t>Индивидуальное задание</w:t>
        </w:r>
        <w:r w:rsidR="00C74BC9" w:rsidRPr="002B1759">
          <w:rPr>
            <w:rFonts w:ascii="Times New Roman" w:hAnsi="Times New Roman" w:cs="Times New Roman"/>
            <w:noProof/>
            <w:webHidden/>
            <w:sz w:val="24"/>
            <w:szCs w:val="24"/>
          </w:rPr>
          <w:tab/>
        </w:r>
      </w:hyperlink>
      <w:r w:rsidR="0088402A">
        <w:rPr>
          <w:rFonts w:ascii="Times New Roman" w:hAnsi="Times New Roman" w:cs="Times New Roman"/>
          <w:noProof/>
          <w:sz w:val="24"/>
          <w:szCs w:val="24"/>
        </w:rPr>
        <w:t>11</w:t>
      </w:r>
    </w:p>
    <w:p w:rsidR="00C74BC9" w:rsidRPr="002B1759" w:rsidRDefault="009B0D15" w:rsidP="00C74BC9">
      <w:pPr>
        <w:tabs>
          <w:tab w:val="right" w:leader="dot" w:pos="9345"/>
        </w:tabs>
        <w:spacing w:after="0" w:line="360" w:lineRule="auto"/>
        <w:rPr>
          <w:rFonts w:ascii="Times New Roman" w:eastAsiaTheme="minorEastAsia" w:hAnsi="Times New Roman" w:cs="Times New Roman"/>
          <w:noProof/>
          <w:sz w:val="24"/>
          <w:szCs w:val="24"/>
          <w:lang w:eastAsia="ru-RU"/>
        </w:rPr>
      </w:pPr>
      <w:hyperlink w:anchor="_Toc504647117" w:history="1">
        <w:r w:rsidR="00C74BC9" w:rsidRPr="002B1759">
          <w:rPr>
            <w:rFonts w:ascii="Times New Roman" w:hAnsi="Times New Roman" w:cs="Times New Roman"/>
            <w:noProof/>
            <w:sz w:val="24"/>
            <w:szCs w:val="24"/>
          </w:rPr>
          <w:t>Отзыв</w:t>
        </w:r>
        <w:r w:rsidR="00C74BC9" w:rsidRPr="002B1759">
          <w:rPr>
            <w:rFonts w:ascii="Times New Roman" w:hAnsi="Times New Roman" w:cs="Times New Roman"/>
            <w:noProof/>
            <w:webHidden/>
            <w:sz w:val="24"/>
            <w:szCs w:val="24"/>
          </w:rPr>
          <w:tab/>
        </w:r>
      </w:hyperlink>
      <w:r w:rsidR="0088402A">
        <w:rPr>
          <w:rFonts w:ascii="Times New Roman" w:hAnsi="Times New Roman" w:cs="Times New Roman"/>
          <w:noProof/>
          <w:sz w:val="24"/>
          <w:szCs w:val="24"/>
        </w:rPr>
        <w:t>13</w:t>
      </w:r>
    </w:p>
    <w:p w:rsidR="00C74BC9" w:rsidRPr="002B1759" w:rsidRDefault="009B0D15" w:rsidP="00C74BC9">
      <w:pPr>
        <w:tabs>
          <w:tab w:val="right" w:leader="dot" w:pos="9345"/>
        </w:tabs>
        <w:spacing w:after="0" w:line="360" w:lineRule="auto"/>
        <w:rPr>
          <w:rFonts w:ascii="Times New Roman" w:eastAsiaTheme="minorEastAsia" w:hAnsi="Times New Roman" w:cs="Times New Roman"/>
          <w:noProof/>
          <w:sz w:val="24"/>
          <w:szCs w:val="24"/>
          <w:lang w:eastAsia="ru-RU"/>
        </w:rPr>
      </w:pPr>
      <w:hyperlink w:anchor="_Toc504647119" w:history="1">
        <w:r w:rsidR="00C74BC9" w:rsidRPr="002B1759">
          <w:rPr>
            <w:rFonts w:ascii="Times New Roman" w:hAnsi="Times New Roman" w:cs="Times New Roman"/>
            <w:noProof/>
            <w:sz w:val="24"/>
            <w:szCs w:val="24"/>
          </w:rPr>
          <w:t>Совместный график (план) проведения практики</w:t>
        </w:r>
        <w:r w:rsidR="00C74BC9" w:rsidRPr="002B1759">
          <w:rPr>
            <w:rFonts w:ascii="Times New Roman" w:hAnsi="Times New Roman" w:cs="Times New Roman"/>
            <w:noProof/>
            <w:webHidden/>
            <w:sz w:val="24"/>
            <w:szCs w:val="24"/>
          </w:rPr>
          <w:tab/>
        </w:r>
        <w:r w:rsidR="0088402A">
          <w:rPr>
            <w:rFonts w:ascii="Times New Roman" w:hAnsi="Times New Roman" w:cs="Times New Roman"/>
            <w:noProof/>
            <w:webHidden/>
            <w:sz w:val="24"/>
            <w:szCs w:val="24"/>
          </w:rPr>
          <w:t>15</w:t>
        </w:r>
      </w:hyperlink>
    </w:p>
    <w:p w:rsidR="00C74BC9" w:rsidRPr="002B1759" w:rsidRDefault="009B0D15" w:rsidP="00C74BC9">
      <w:pPr>
        <w:tabs>
          <w:tab w:val="right" w:leader="dot" w:pos="9345"/>
        </w:tabs>
        <w:spacing w:after="0" w:line="360" w:lineRule="auto"/>
        <w:rPr>
          <w:rFonts w:ascii="Times New Roman" w:eastAsiaTheme="minorEastAsia" w:hAnsi="Times New Roman" w:cs="Times New Roman"/>
          <w:noProof/>
          <w:sz w:val="24"/>
          <w:szCs w:val="24"/>
          <w:lang w:eastAsia="ru-RU"/>
        </w:rPr>
      </w:pPr>
      <w:hyperlink w:anchor="_Toc504647120" w:history="1">
        <w:r w:rsidR="00C74BC9" w:rsidRPr="002B1759">
          <w:rPr>
            <w:rFonts w:ascii="Times New Roman" w:hAnsi="Times New Roman" w:cs="Times New Roman"/>
            <w:noProof/>
            <w:sz w:val="24"/>
            <w:szCs w:val="24"/>
          </w:rPr>
          <w:t>Дневник</w:t>
        </w:r>
        <w:r w:rsidR="00C74BC9" w:rsidRPr="002B1759">
          <w:rPr>
            <w:rFonts w:ascii="Times New Roman" w:hAnsi="Times New Roman" w:cs="Times New Roman"/>
            <w:noProof/>
            <w:webHidden/>
            <w:sz w:val="24"/>
            <w:szCs w:val="24"/>
          </w:rPr>
          <w:tab/>
        </w:r>
        <w:r w:rsidR="00F31363" w:rsidRPr="002B1759">
          <w:rPr>
            <w:rFonts w:ascii="Times New Roman" w:hAnsi="Times New Roman" w:cs="Times New Roman"/>
            <w:noProof/>
            <w:webHidden/>
            <w:sz w:val="24"/>
            <w:szCs w:val="24"/>
          </w:rPr>
          <w:t>18</w:t>
        </w:r>
      </w:hyperlink>
    </w:p>
    <w:p w:rsidR="00C74BC9" w:rsidRDefault="00C74BC9" w:rsidP="00C74BC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br w:type="page"/>
      </w:r>
    </w:p>
    <w:p w:rsidR="00CE7208" w:rsidRDefault="00305B2D" w:rsidP="003C5111">
      <w:pPr>
        <w:spacing w:after="0" w:line="360" w:lineRule="auto"/>
        <w:rPr>
          <w:rFonts w:ascii="Times New Roman" w:hAnsi="Times New Roman" w:cs="Times New Roman"/>
          <w:sz w:val="24"/>
          <w:szCs w:val="24"/>
        </w:rPr>
      </w:pPr>
      <w:r w:rsidRPr="00305B2D">
        <w:rPr>
          <w:rFonts w:ascii="Times New Roman" w:hAnsi="Times New Roman" w:cs="Times New Roman"/>
          <w:sz w:val="24"/>
          <w:szCs w:val="24"/>
        </w:rPr>
        <w:lastRenderedPageBreak/>
        <w:t>СОВЕРШЕНСТВОВАНИЕ КРЕДИТНОЙ ПОЛИТИКИ  КОММЕРЧЕСКОГО БАНКА В СИСТЕМЕ ОБЕСПЕЧЕНИЯ ЭКОНОМИЧЕСКОЙ БЕЗОПАСНОСТИ (НА ПРИМЕРЕ ПАО СБЕРБАНК)</w:t>
      </w:r>
    </w:p>
    <w:p w:rsidR="00305B2D" w:rsidRDefault="00305B2D" w:rsidP="003C5111">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Любомирский</w:t>
      </w:r>
      <w:proofErr w:type="spellEnd"/>
      <w:r>
        <w:rPr>
          <w:rFonts w:ascii="Times New Roman" w:hAnsi="Times New Roman" w:cs="Times New Roman"/>
          <w:sz w:val="24"/>
          <w:szCs w:val="24"/>
        </w:rPr>
        <w:t xml:space="preserve"> В.В.</w:t>
      </w:r>
    </w:p>
    <w:p w:rsidR="00305B2D" w:rsidRDefault="00305B2D" w:rsidP="00305B2D">
      <w:pPr>
        <w:spacing w:line="240" w:lineRule="auto"/>
        <w:rPr>
          <w:rFonts w:ascii="Times New Roman" w:hAnsi="Times New Roman" w:cs="Times New Roman"/>
          <w:sz w:val="20"/>
          <w:szCs w:val="24"/>
        </w:rPr>
      </w:pPr>
      <w:r w:rsidRPr="00305B2D">
        <w:rPr>
          <w:rFonts w:ascii="Times New Roman" w:hAnsi="Times New Roman" w:cs="Times New Roman"/>
          <w:b/>
          <w:sz w:val="20"/>
          <w:szCs w:val="24"/>
        </w:rPr>
        <w:t xml:space="preserve">Данная </w:t>
      </w:r>
      <w:r w:rsidR="0068324F">
        <w:rPr>
          <w:rFonts w:ascii="Times New Roman" w:hAnsi="Times New Roman" w:cs="Times New Roman"/>
          <w:b/>
          <w:sz w:val="20"/>
          <w:szCs w:val="24"/>
        </w:rPr>
        <w:t>статья</w:t>
      </w:r>
      <w:r w:rsidRPr="00305B2D">
        <w:rPr>
          <w:rFonts w:ascii="Times New Roman" w:hAnsi="Times New Roman" w:cs="Times New Roman"/>
          <w:b/>
          <w:sz w:val="20"/>
          <w:szCs w:val="24"/>
        </w:rPr>
        <w:t xml:space="preserve"> посвящена изучению актуальной в наше время проблем</w:t>
      </w:r>
      <w:r w:rsidR="0068324F">
        <w:rPr>
          <w:rFonts w:ascii="Times New Roman" w:hAnsi="Times New Roman" w:cs="Times New Roman"/>
          <w:b/>
          <w:sz w:val="20"/>
          <w:szCs w:val="24"/>
        </w:rPr>
        <w:t>ы</w:t>
      </w:r>
      <w:r w:rsidRPr="00305B2D">
        <w:rPr>
          <w:rFonts w:ascii="Times New Roman" w:hAnsi="Times New Roman" w:cs="Times New Roman"/>
          <w:b/>
          <w:sz w:val="20"/>
          <w:szCs w:val="24"/>
        </w:rPr>
        <w:t xml:space="preserve"> кредитования на примере одного из ведущих банков страны – ПАО «Сбербанк России». В работе рассмотрены основные направления кредитной политики банка, проведен анализ структуры и динамики ссудной задолженности за несколько лет. </w:t>
      </w:r>
      <w:r>
        <w:rPr>
          <w:rFonts w:ascii="Times New Roman" w:hAnsi="Times New Roman" w:cs="Times New Roman"/>
          <w:b/>
          <w:sz w:val="20"/>
          <w:szCs w:val="24"/>
        </w:rPr>
        <w:t xml:space="preserve">На основе проведенного анализа </w:t>
      </w:r>
      <w:r w:rsidR="003C5111">
        <w:rPr>
          <w:rFonts w:ascii="Times New Roman" w:hAnsi="Times New Roman" w:cs="Times New Roman"/>
          <w:b/>
          <w:sz w:val="20"/>
          <w:szCs w:val="24"/>
        </w:rPr>
        <w:t xml:space="preserve">были </w:t>
      </w:r>
      <w:r>
        <w:rPr>
          <w:rFonts w:ascii="Times New Roman" w:hAnsi="Times New Roman" w:cs="Times New Roman"/>
          <w:b/>
          <w:sz w:val="20"/>
          <w:szCs w:val="24"/>
        </w:rPr>
        <w:t>сделаны</w:t>
      </w:r>
      <w:r w:rsidR="003C5111">
        <w:rPr>
          <w:rFonts w:ascii="Times New Roman" w:hAnsi="Times New Roman" w:cs="Times New Roman"/>
          <w:b/>
          <w:sz w:val="20"/>
          <w:szCs w:val="24"/>
        </w:rPr>
        <w:t xml:space="preserve"> соответствующие выводы и выдвинуты</w:t>
      </w:r>
      <w:r>
        <w:rPr>
          <w:rFonts w:ascii="Times New Roman" w:hAnsi="Times New Roman" w:cs="Times New Roman"/>
          <w:b/>
          <w:sz w:val="20"/>
          <w:szCs w:val="24"/>
        </w:rPr>
        <w:t xml:space="preserve"> предложения по улучшению кредитной политики ПАО «Сбербанк России»</w:t>
      </w:r>
      <w:r w:rsidR="003C5111">
        <w:rPr>
          <w:rFonts w:ascii="Times New Roman" w:hAnsi="Times New Roman" w:cs="Times New Roman"/>
          <w:b/>
          <w:sz w:val="20"/>
          <w:szCs w:val="24"/>
        </w:rPr>
        <w:t>.</w:t>
      </w:r>
      <w:r w:rsidR="003C5111">
        <w:rPr>
          <w:rFonts w:ascii="Times New Roman" w:hAnsi="Times New Roman" w:cs="Times New Roman"/>
          <w:b/>
          <w:sz w:val="20"/>
          <w:szCs w:val="24"/>
        </w:rPr>
        <w:br/>
      </w:r>
      <w:r w:rsidR="003C5111">
        <w:rPr>
          <w:rFonts w:ascii="Times New Roman" w:hAnsi="Times New Roman" w:cs="Times New Roman"/>
          <w:sz w:val="20"/>
          <w:szCs w:val="24"/>
        </w:rPr>
        <w:t xml:space="preserve">Ключевые слова: </w:t>
      </w:r>
      <w:r w:rsidR="003C5111" w:rsidRPr="003C5111">
        <w:rPr>
          <w:rFonts w:ascii="Times New Roman" w:hAnsi="Times New Roman" w:cs="Times New Roman"/>
          <w:sz w:val="20"/>
          <w:szCs w:val="24"/>
        </w:rPr>
        <w:t>кредит, банк, риск, кредитор,</w:t>
      </w:r>
      <w:r w:rsidR="003C5111">
        <w:rPr>
          <w:rFonts w:ascii="Times New Roman" w:hAnsi="Times New Roman" w:cs="Times New Roman"/>
          <w:sz w:val="20"/>
          <w:szCs w:val="24"/>
        </w:rPr>
        <w:t xml:space="preserve"> кредитный портфель,</w:t>
      </w:r>
      <w:r w:rsidR="003C5111" w:rsidRPr="003C5111">
        <w:rPr>
          <w:rFonts w:ascii="Times New Roman" w:hAnsi="Times New Roman" w:cs="Times New Roman"/>
          <w:sz w:val="20"/>
          <w:szCs w:val="24"/>
        </w:rPr>
        <w:t xml:space="preserve"> заемщик, поручитель.</w:t>
      </w:r>
    </w:p>
    <w:p w:rsidR="003C5111" w:rsidRPr="00CD1DC3" w:rsidRDefault="003C5111" w:rsidP="003C5111">
      <w:pPr>
        <w:spacing w:after="0" w:line="360" w:lineRule="auto"/>
        <w:rPr>
          <w:rFonts w:ascii="Times New Roman" w:hAnsi="Times New Roman" w:cs="Times New Roman"/>
          <w:sz w:val="24"/>
          <w:szCs w:val="24"/>
          <w:lang w:val="en-US"/>
        </w:rPr>
      </w:pPr>
      <w:r w:rsidRPr="003C5111">
        <w:rPr>
          <w:rFonts w:ascii="Times New Roman" w:hAnsi="Times New Roman" w:cs="Times New Roman"/>
          <w:sz w:val="24"/>
          <w:szCs w:val="24"/>
          <w:lang w:val="en-US"/>
        </w:rPr>
        <w:t>IMPROVEMENT OF THE CREDIT POLICY OF THE COMMERCIAL BANK IN THE SYSTEM OF ENSURING ECONOMIC SECURITY (ON THE EXAMPLE OF PJSC SBERBANK)</w:t>
      </w:r>
    </w:p>
    <w:p w:rsidR="003C5111" w:rsidRPr="00CD1DC3" w:rsidRDefault="003C5111" w:rsidP="003C5111">
      <w:pPr>
        <w:spacing w:after="0" w:line="360" w:lineRule="auto"/>
        <w:rPr>
          <w:rFonts w:ascii="Times New Roman" w:hAnsi="Times New Roman" w:cs="Times New Roman"/>
          <w:sz w:val="24"/>
          <w:szCs w:val="24"/>
          <w:lang w:val="en-US"/>
        </w:rPr>
      </w:pPr>
      <w:proofErr w:type="spellStart"/>
      <w:r w:rsidRPr="00CD1DC3">
        <w:rPr>
          <w:rFonts w:ascii="Times New Roman" w:hAnsi="Times New Roman" w:cs="Times New Roman"/>
          <w:sz w:val="24"/>
          <w:szCs w:val="24"/>
          <w:lang w:val="en-US"/>
        </w:rPr>
        <w:t>Lyubomirsky</w:t>
      </w:r>
      <w:proofErr w:type="spellEnd"/>
      <w:r w:rsidRPr="00CD1DC3">
        <w:rPr>
          <w:rFonts w:ascii="Times New Roman" w:hAnsi="Times New Roman" w:cs="Times New Roman"/>
          <w:sz w:val="24"/>
          <w:szCs w:val="24"/>
          <w:lang w:val="en-US"/>
        </w:rPr>
        <w:t xml:space="preserve"> V.V.</w:t>
      </w:r>
    </w:p>
    <w:p w:rsidR="003C5111" w:rsidRPr="00CD1DC3" w:rsidRDefault="003C5111" w:rsidP="003C5111">
      <w:pPr>
        <w:spacing w:after="0" w:line="240" w:lineRule="auto"/>
        <w:rPr>
          <w:rFonts w:ascii="Times New Roman" w:hAnsi="Times New Roman" w:cs="Times New Roman"/>
          <w:sz w:val="20"/>
          <w:szCs w:val="24"/>
          <w:lang w:val="en-US"/>
        </w:rPr>
      </w:pPr>
      <w:r w:rsidRPr="003C5111">
        <w:rPr>
          <w:rFonts w:ascii="Times New Roman" w:hAnsi="Times New Roman" w:cs="Times New Roman"/>
          <w:b/>
          <w:sz w:val="20"/>
          <w:szCs w:val="24"/>
          <w:lang w:val="en-US"/>
        </w:rPr>
        <w:t>This work is devoted to the study of the current in our time the problem of lending using the example of one of the country's leading banks - PJSC "</w:t>
      </w:r>
      <w:proofErr w:type="spellStart"/>
      <w:r w:rsidRPr="003C5111">
        <w:rPr>
          <w:rFonts w:ascii="Times New Roman" w:hAnsi="Times New Roman" w:cs="Times New Roman"/>
          <w:b/>
          <w:sz w:val="20"/>
          <w:szCs w:val="24"/>
          <w:lang w:val="en-US"/>
        </w:rPr>
        <w:t>Sberbank</w:t>
      </w:r>
      <w:proofErr w:type="spellEnd"/>
      <w:r w:rsidRPr="003C5111">
        <w:rPr>
          <w:rFonts w:ascii="Times New Roman" w:hAnsi="Times New Roman" w:cs="Times New Roman"/>
          <w:b/>
          <w:sz w:val="20"/>
          <w:szCs w:val="24"/>
          <w:lang w:val="en-US"/>
        </w:rPr>
        <w:t xml:space="preserve"> of Russia". The paper considers the main directions of the bank's credit policy, analyzed the structure and dynamics of loan debts for several years. Based on the analysis, relevant conclusions were drawn and proposals were put forward to improve the credit policy of PJSC "</w:t>
      </w:r>
      <w:proofErr w:type="spellStart"/>
      <w:r w:rsidRPr="003C5111">
        <w:rPr>
          <w:rFonts w:ascii="Times New Roman" w:hAnsi="Times New Roman" w:cs="Times New Roman"/>
          <w:b/>
          <w:sz w:val="20"/>
          <w:szCs w:val="24"/>
          <w:lang w:val="en-US"/>
        </w:rPr>
        <w:t>Sberbank</w:t>
      </w:r>
      <w:proofErr w:type="spellEnd"/>
      <w:r w:rsidRPr="003C5111">
        <w:rPr>
          <w:rFonts w:ascii="Times New Roman" w:hAnsi="Times New Roman" w:cs="Times New Roman"/>
          <w:b/>
          <w:sz w:val="20"/>
          <w:szCs w:val="24"/>
          <w:lang w:val="en-US"/>
        </w:rPr>
        <w:t xml:space="preserve"> of Russia".</w:t>
      </w:r>
      <w:r w:rsidRPr="00CD1DC3">
        <w:rPr>
          <w:rFonts w:ascii="Times New Roman" w:hAnsi="Times New Roman" w:cs="Times New Roman"/>
          <w:b/>
          <w:sz w:val="20"/>
          <w:szCs w:val="24"/>
          <w:lang w:val="en-US"/>
        </w:rPr>
        <w:br/>
      </w:r>
      <w:r w:rsidRPr="003C5111">
        <w:rPr>
          <w:rFonts w:ascii="Times New Roman" w:hAnsi="Times New Roman" w:cs="Times New Roman"/>
          <w:sz w:val="20"/>
          <w:szCs w:val="24"/>
          <w:lang w:val="en-US"/>
        </w:rPr>
        <w:t>Keywords: credit, bank, risk, creditor, loan portfolio, borrower, guarantor.</w:t>
      </w:r>
    </w:p>
    <w:p w:rsidR="003C5111" w:rsidRPr="00CD1DC3" w:rsidRDefault="003C5111" w:rsidP="003C5111">
      <w:pPr>
        <w:spacing w:after="0" w:line="240" w:lineRule="auto"/>
        <w:rPr>
          <w:rFonts w:ascii="Times New Roman" w:hAnsi="Times New Roman" w:cs="Times New Roman"/>
          <w:sz w:val="20"/>
          <w:szCs w:val="24"/>
          <w:lang w:val="en-US"/>
        </w:rPr>
      </w:pP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ПАО</w:t>
      </w:r>
      <w:r w:rsidRPr="00CD1DC3">
        <w:rPr>
          <w:rFonts w:ascii="Times New Roman" w:eastAsia="Times New Roman" w:hAnsi="Times New Roman" w:cs="Times New Roman"/>
          <w:color w:val="000000"/>
          <w:sz w:val="24"/>
          <w:szCs w:val="24"/>
          <w:lang w:val="en-US" w:eastAsia="ru-RU"/>
        </w:rPr>
        <w:t xml:space="preserve"> «»</w:t>
      </w:r>
      <w:r w:rsidRPr="00261089">
        <w:rPr>
          <w:rFonts w:ascii="Times New Roman" w:eastAsia="Times New Roman" w:hAnsi="Times New Roman" w:cs="Times New Roman"/>
          <w:color w:val="000000"/>
          <w:sz w:val="24"/>
          <w:szCs w:val="24"/>
          <w:lang w:eastAsia="ru-RU"/>
        </w:rPr>
        <w:t>Сбербанк</w:t>
      </w:r>
      <w:r w:rsidRPr="00CD1DC3">
        <w:rPr>
          <w:rFonts w:ascii="Times New Roman" w:eastAsia="Times New Roman" w:hAnsi="Times New Roman" w:cs="Times New Roman"/>
          <w:color w:val="000000"/>
          <w:sz w:val="24"/>
          <w:szCs w:val="24"/>
          <w:lang w:val="en-US" w:eastAsia="ru-RU"/>
        </w:rPr>
        <w:t xml:space="preserve"> </w:t>
      </w:r>
      <w:r w:rsidRPr="00261089">
        <w:rPr>
          <w:rFonts w:ascii="Times New Roman" w:eastAsia="Times New Roman" w:hAnsi="Times New Roman" w:cs="Times New Roman"/>
          <w:color w:val="000000"/>
          <w:sz w:val="24"/>
          <w:szCs w:val="24"/>
          <w:lang w:eastAsia="ru-RU"/>
        </w:rPr>
        <w:t>Росси</w:t>
      </w:r>
      <w:r w:rsidRPr="00CD1DC3">
        <w:rPr>
          <w:rFonts w:ascii="Times New Roman" w:eastAsia="Times New Roman" w:hAnsi="Times New Roman" w:cs="Times New Roman"/>
          <w:color w:val="000000"/>
          <w:sz w:val="24"/>
          <w:szCs w:val="24"/>
          <w:lang w:val="en-US" w:eastAsia="ru-RU"/>
        </w:rPr>
        <w:t xml:space="preserve">» - </w:t>
      </w:r>
      <w:r w:rsidRPr="00261089">
        <w:rPr>
          <w:rFonts w:ascii="Times New Roman" w:eastAsia="Times New Roman" w:hAnsi="Times New Roman" w:cs="Times New Roman"/>
          <w:color w:val="000000"/>
          <w:sz w:val="24"/>
          <w:szCs w:val="24"/>
          <w:lang w:eastAsia="ru-RU"/>
        </w:rPr>
        <w:t>один</w:t>
      </w:r>
      <w:r w:rsidRPr="00CD1DC3">
        <w:rPr>
          <w:rFonts w:ascii="Times New Roman" w:eastAsia="Times New Roman" w:hAnsi="Times New Roman" w:cs="Times New Roman"/>
          <w:color w:val="000000"/>
          <w:sz w:val="24"/>
          <w:szCs w:val="24"/>
          <w:lang w:val="en-US" w:eastAsia="ru-RU"/>
        </w:rPr>
        <w:t xml:space="preserve"> </w:t>
      </w:r>
      <w:r w:rsidRPr="00261089">
        <w:rPr>
          <w:rFonts w:ascii="Times New Roman" w:eastAsia="Times New Roman" w:hAnsi="Times New Roman" w:cs="Times New Roman"/>
          <w:color w:val="000000"/>
          <w:sz w:val="24"/>
          <w:szCs w:val="24"/>
          <w:lang w:eastAsia="ru-RU"/>
        </w:rPr>
        <w:t>из</w:t>
      </w:r>
      <w:r w:rsidRPr="00CD1DC3">
        <w:rPr>
          <w:rFonts w:ascii="Times New Roman" w:eastAsia="Times New Roman" w:hAnsi="Times New Roman" w:cs="Times New Roman"/>
          <w:color w:val="000000"/>
          <w:sz w:val="24"/>
          <w:szCs w:val="24"/>
          <w:lang w:val="en-US" w:eastAsia="ru-RU"/>
        </w:rPr>
        <w:t xml:space="preserve"> </w:t>
      </w:r>
      <w:r w:rsidRPr="00261089">
        <w:rPr>
          <w:rFonts w:ascii="Times New Roman" w:eastAsia="Times New Roman" w:hAnsi="Times New Roman" w:cs="Times New Roman"/>
          <w:color w:val="000000"/>
          <w:sz w:val="24"/>
          <w:szCs w:val="24"/>
          <w:lang w:eastAsia="ru-RU"/>
        </w:rPr>
        <w:t>ведущих</w:t>
      </w:r>
      <w:r w:rsidRPr="00CD1DC3">
        <w:rPr>
          <w:rFonts w:ascii="Times New Roman" w:eastAsia="Times New Roman" w:hAnsi="Times New Roman" w:cs="Times New Roman"/>
          <w:color w:val="000000"/>
          <w:sz w:val="24"/>
          <w:szCs w:val="24"/>
          <w:lang w:val="en-US" w:eastAsia="ru-RU"/>
        </w:rPr>
        <w:t xml:space="preserve"> </w:t>
      </w:r>
      <w:r w:rsidRPr="00261089">
        <w:rPr>
          <w:rFonts w:ascii="Times New Roman" w:eastAsia="Times New Roman" w:hAnsi="Times New Roman" w:cs="Times New Roman"/>
          <w:color w:val="000000"/>
          <w:sz w:val="24"/>
          <w:szCs w:val="24"/>
          <w:lang w:eastAsia="ru-RU"/>
        </w:rPr>
        <w:t>российских</w:t>
      </w:r>
      <w:r w:rsidRPr="00CD1DC3">
        <w:rPr>
          <w:rFonts w:ascii="Times New Roman" w:eastAsia="Times New Roman" w:hAnsi="Times New Roman" w:cs="Times New Roman"/>
          <w:color w:val="000000"/>
          <w:sz w:val="24"/>
          <w:szCs w:val="24"/>
          <w:lang w:val="en-US" w:eastAsia="ru-RU"/>
        </w:rPr>
        <w:t xml:space="preserve"> </w:t>
      </w:r>
      <w:r w:rsidRPr="00261089">
        <w:rPr>
          <w:rFonts w:ascii="Times New Roman" w:eastAsia="Times New Roman" w:hAnsi="Times New Roman" w:cs="Times New Roman"/>
          <w:color w:val="000000"/>
          <w:sz w:val="24"/>
          <w:szCs w:val="24"/>
          <w:lang w:eastAsia="ru-RU"/>
        </w:rPr>
        <w:t>банков</w:t>
      </w:r>
      <w:r w:rsidRPr="00CD1DC3">
        <w:rPr>
          <w:rFonts w:ascii="Times New Roman" w:eastAsia="Times New Roman" w:hAnsi="Times New Roman" w:cs="Times New Roman"/>
          <w:color w:val="000000"/>
          <w:sz w:val="24"/>
          <w:szCs w:val="24"/>
          <w:lang w:val="en-US" w:eastAsia="ru-RU"/>
        </w:rPr>
        <w:t xml:space="preserve">. </w:t>
      </w:r>
      <w:r w:rsidRPr="00261089">
        <w:rPr>
          <w:rFonts w:ascii="Times New Roman" w:eastAsia="Times New Roman" w:hAnsi="Times New Roman" w:cs="Times New Roman"/>
          <w:color w:val="000000"/>
          <w:sz w:val="24"/>
          <w:szCs w:val="24"/>
          <w:lang w:eastAsia="ru-RU"/>
        </w:rPr>
        <w:t xml:space="preserve">По данным журнала РБК в середине 2017 года Сбербанк занял 4-место в рейтинге 500 крупнейших компаний России (РБК 500) [1]. </w:t>
      </w:r>
    </w:p>
    <w:p w:rsidR="00261089" w:rsidRPr="00261089" w:rsidRDefault="00261089" w:rsidP="00261089">
      <w:pPr>
        <w:spacing w:after="0" w:line="360" w:lineRule="auto"/>
        <w:ind w:firstLine="708"/>
        <w:jc w:val="both"/>
        <w:rPr>
          <w:rFonts w:ascii="Times New Roman" w:eastAsia="Times New Roman" w:hAnsi="Times New Roman" w:cs="Times New Roman"/>
          <w:b/>
          <w:bCs/>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Данный банк занимает лидирующие позиции на рынке кредитования. Объем кредитов физическим лицам Сбербанка на 1 мая 2018 года превысил 4416, 5 </w:t>
      </w:r>
      <w:proofErr w:type="spellStart"/>
      <w:r w:rsidRPr="00261089">
        <w:rPr>
          <w:rFonts w:ascii="Times New Roman" w:eastAsia="Times New Roman" w:hAnsi="Times New Roman" w:cs="Times New Roman"/>
          <w:color w:val="000000"/>
          <w:sz w:val="24"/>
          <w:szCs w:val="24"/>
          <w:lang w:eastAsia="ru-RU"/>
        </w:rPr>
        <w:t>млрд</w:t>
      </w:r>
      <w:proofErr w:type="gramStart"/>
      <w:r w:rsidRPr="00261089">
        <w:rPr>
          <w:rFonts w:ascii="Times New Roman" w:eastAsia="Times New Roman" w:hAnsi="Times New Roman" w:cs="Times New Roman"/>
          <w:color w:val="000000"/>
          <w:sz w:val="24"/>
          <w:szCs w:val="24"/>
          <w:lang w:eastAsia="ru-RU"/>
        </w:rPr>
        <w:t>.р</w:t>
      </w:r>
      <w:proofErr w:type="gramEnd"/>
      <w:r w:rsidRPr="00261089">
        <w:rPr>
          <w:rFonts w:ascii="Times New Roman" w:eastAsia="Times New Roman" w:hAnsi="Times New Roman" w:cs="Times New Roman"/>
          <w:color w:val="000000"/>
          <w:sz w:val="24"/>
          <w:szCs w:val="24"/>
          <w:lang w:eastAsia="ru-RU"/>
        </w:rPr>
        <w:t>уб</w:t>
      </w:r>
      <w:proofErr w:type="spellEnd"/>
      <w:r w:rsidRPr="00261089">
        <w:rPr>
          <w:rFonts w:ascii="Times New Roman" w:eastAsia="Times New Roman" w:hAnsi="Times New Roman" w:cs="Times New Roman"/>
          <w:color w:val="000000"/>
          <w:sz w:val="24"/>
          <w:szCs w:val="24"/>
          <w:lang w:eastAsia="ru-RU"/>
        </w:rPr>
        <w:t>.   (табл. 1) [2].</w:t>
      </w:r>
    </w:p>
    <w:p w:rsidR="00261089" w:rsidRPr="00261089" w:rsidRDefault="00261089" w:rsidP="00261089">
      <w:pPr>
        <w:spacing w:after="0" w:line="360" w:lineRule="auto"/>
        <w:rPr>
          <w:rFonts w:ascii="Times New Roman" w:eastAsia="Times New Roman" w:hAnsi="Times New Roman" w:cs="Times New Roman"/>
          <w:sz w:val="24"/>
          <w:szCs w:val="24"/>
          <w:lang w:eastAsia="ru-RU"/>
        </w:rPr>
      </w:pPr>
      <w:r w:rsidRPr="00261089">
        <w:rPr>
          <w:rFonts w:ascii="Times New Roman" w:eastAsia="Times New Roman" w:hAnsi="Times New Roman" w:cs="Times New Roman"/>
          <w:bCs/>
          <w:color w:val="000000"/>
          <w:sz w:val="24"/>
          <w:szCs w:val="24"/>
          <w:lang w:eastAsia="ru-RU"/>
        </w:rPr>
        <w:t>Таблица 1 – Объемы кредитования физических лиц на 1 мая 2018 г.</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4"/>
        <w:gridCol w:w="4536"/>
        <w:gridCol w:w="4677"/>
      </w:tblGrid>
      <w:tr w:rsidR="00261089" w:rsidRPr="00261089" w:rsidTr="000A3636">
        <w:tc>
          <w:tcPr>
            <w:tcW w:w="534"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Наименование банка</w:t>
            </w:r>
          </w:p>
        </w:tc>
        <w:tc>
          <w:tcPr>
            <w:tcW w:w="4677"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Сумма, </w:t>
            </w:r>
            <w:proofErr w:type="spellStart"/>
            <w:r w:rsidRPr="00261089">
              <w:rPr>
                <w:rFonts w:ascii="Times New Roman" w:eastAsia="Times New Roman" w:hAnsi="Times New Roman" w:cs="Times New Roman"/>
                <w:color w:val="000000"/>
                <w:sz w:val="20"/>
                <w:szCs w:val="20"/>
                <w:lang w:eastAsia="ru-RU"/>
              </w:rPr>
              <w:t>млрд.руб</w:t>
            </w:r>
            <w:proofErr w:type="spellEnd"/>
            <w:r w:rsidRPr="00261089">
              <w:rPr>
                <w:rFonts w:ascii="Times New Roman" w:eastAsia="Times New Roman" w:hAnsi="Times New Roman" w:cs="Times New Roman"/>
                <w:color w:val="000000"/>
                <w:sz w:val="20"/>
                <w:szCs w:val="20"/>
                <w:lang w:eastAsia="ru-RU"/>
              </w:rPr>
              <w:t>.</w:t>
            </w:r>
          </w:p>
        </w:tc>
      </w:tr>
      <w:tr w:rsidR="00261089" w:rsidRPr="00261089" w:rsidTr="000A3636">
        <w:tc>
          <w:tcPr>
            <w:tcW w:w="534"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4416,52</w:t>
            </w:r>
          </w:p>
        </w:tc>
      </w:tr>
      <w:tr w:rsidR="00261089" w:rsidRPr="00261089" w:rsidTr="000A3636">
        <w:tc>
          <w:tcPr>
            <w:tcW w:w="534"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ВТБ 24</w:t>
            </w:r>
          </w:p>
        </w:tc>
        <w:tc>
          <w:tcPr>
            <w:tcW w:w="4677"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1653,75</w:t>
            </w:r>
          </w:p>
        </w:tc>
      </w:tr>
      <w:tr w:rsidR="00261089" w:rsidRPr="00261089" w:rsidTr="000A3636">
        <w:tc>
          <w:tcPr>
            <w:tcW w:w="534"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proofErr w:type="spellStart"/>
            <w:r w:rsidRPr="00261089">
              <w:rPr>
                <w:rFonts w:ascii="Times New Roman" w:eastAsia="Times New Roman" w:hAnsi="Times New Roman" w:cs="Times New Roman"/>
                <w:color w:val="000000"/>
                <w:sz w:val="20"/>
                <w:szCs w:val="20"/>
                <w:lang w:eastAsia="ru-RU"/>
              </w:rPr>
              <w:t>Россельхозбанк</w:t>
            </w:r>
            <w:proofErr w:type="spellEnd"/>
          </w:p>
        </w:tc>
        <w:tc>
          <w:tcPr>
            <w:tcW w:w="4677"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327,85</w:t>
            </w:r>
          </w:p>
        </w:tc>
      </w:tr>
      <w:tr w:rsidR="00261089" w:rsidRPr="00261089" w:rsidTr="000A3636">
        <w:tc>
          <w:tcPr>
            <w:tcW w:w="534"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Газпромбанк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307,65</w:t>
            </w:r>
          </w:p>
        </w:tc>
      </w:tr>
      <w:tr w:rsidR="00261089" w:rsidRPr="00261089" w:rsidTr="000A3636">
        <w:tc>
          <w:tcPr>
            <w:tcW w:w="534"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ВТБ</w:t>
            </w:r>
          </w:p>
        </w:tc>
        <w:tc>
          <w:tcPr>
            <w:tcW w:w="4677"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245,94</w:t>
            </w:r>
          </w:p>
        </w:tc>
      </w:tr>
      <w:tr w:rsidR="00261089" w:rsidRPr="00261089" w:rsidTr="000A3636">
        <w:tc>
          <w:tcPr>
            <w:tcW w:w="534"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Альфа-Банк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240,17</w:t>
            </w:r>
          </w:p>
        </w:tc>
      </w:tr>
      <w:tr w:rsidR="00261089" w:rsidRPr="00261089" w:rsidTr="000A3636">
        <w:tc>
          <w:tcPr>
            <w:tcW w:w="534"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196,54</w:t>
            </w:r>
          </w:p>
        </w:tc>
      </w:tr>
    </w:tbl>
    <w:p w:rsidR="00261089" w:rsidRPr="00261089" w:rsidRDefault="00261089" w:rsidP="00261089">
      <w:pPr>
        <w:spacing w:after="0" w:line="360" w:lineRule="auto"/>
        <w:rPr>
          <w:rFonts w:ascii="Times New Roman" w:eastAsia="Times New Roman" w:hAnsi="Times New Roman" w:cs="Times New Roman"/>
          <w:sz w:val="24"/>
          <w:szCs w:val="24"/>
          <w:lang w:eastAsia="ru-RU"/>
        </w:rPr>
      </w:pP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Основные направления кредитной и процентной политики банка определяются Советом директоров Сбербанка РФ на основании законодательства РФ и нормативных документов ЦБ РФ. Координацию работы по кредитам и принятие решений об их выдаче осуществляет кредитно-инвестиционный комитет.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Предоставление Сбербанком кредитов основано на учете потребностей заемщиков в заемных средствах, наличия гарантий и обеспечения для их возврата св</w:t>
      </w:r>
      <w:r w:rsidR="00827E37">
        <w:rPr>
          <w:rFonts w:ascii="Times New Roman" w:eastAsia="Times New Roman" w:hAnsi="Times New Roman" w:cs="Times New Roman"/>
          <w:color w:val="000000"/>
          <w:sz w:val="24"/>
          <w:szCs w:val="24"/>
          <w:lang w:eastAsia="ru-RU"/>
        </w:rPr>
        <w:t>оевременно и в полном объеме.</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lastRenderedPageBreak/>
        <w:t xml:space="preserve">Одновременно с межбанковским кредитованием и кредитованием юридических лиц Сбербанк предоставляет потребительские кредиты населению.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Кредитные операции - это активные операции, относимые в группу наиболее рисковых банковских операций. Поэтому кредитная политика банка должна быть, в первую очередь, ориентирована на надежность заемщиков.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Среди методов управления кредитными рисками Сбербанка РФ применяются: внедрение новейших методов оценки рисков, процедуры предупреждения риска, планирование и прогнозирование уровня кредитного риска, установление лимитов кредитного риска, структурирование сделок, управление обеспечением и гарантиями по долговым сделкам, мониторинг и контроль уровня кредитного риска, создание страховых резервов возмещения потерь. </w:t>
      </w:r>
    </w:p>
    <w:p w:rsidR="00261089" w:rsidRPr="00261089" w:rsidRDefault="00261089" w:rsidP="00D83AFB">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Мониторинг и оценка кредитного риска проводится в целом по банку и по отдельным кредитным портфелям, а также по группам контрагентов, стран, географических регионов, видов экономической деятельности.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Банк уделяет особое внимание контролю крупных кредитных рисков и соблюдению требований ЦБ РФ, оценке и прогнозу уровня рисков.</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Эффективность проводимой кредитной политики коммерческим банком зависит от качества его кредитного портфеля. В связи с чем проведем исследование кредитного портфеля ПАО «Сбербанк России».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Кредитный портфель Сбербанка России представлен кредитами, предоставленными кредитным организациям, прочим юридическим и физическим лицам (табл. 2) [</w:t>
      </w:r>
      <w:r w:rsidR="00D83AFB">
        <w:rPr>
          <w:rFonts w:ascii="Times New Roman" w:eastAsia="Times New Roman" w:hAnsi="Times New Roman" w:cs="Times New Roman"/>
          <w:color w:val="000000"/>
          <w:sz w:val="24"/>
          <w:szCs w:val="24"/>
          <w:lang w:eastAsia="ru-RU"/>
        </w:rPr>
        <w:t>8</w:t>
      </w:r>
      <w:r w:rsidRPr="00261089">
        <w:rPr>
          <w:rFonts w:ascii="Times New Roman" w:eastAsia="Times New Roman" w:hAnsi="Times New Roman" w:cs="Times New Roman"/>
          <w:color w:val="000000"/>
          <w:sz w:val="24"/>
          <w:szCs w:val="24"/>
          <w:lang w:eastAsia="ru-RU"/>
        </w:rPr>
        <w:t xml:space="preserve">]. </w:t>
      </w:r>
    </w:p>
    <w:p w:rsidR="00261089" w:rsidRPr="00D83AFB" w:rsidRDefault="00261089" w:rsidP="00D83AFB">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В 2016 году рост общей ссудной задолженности банка составил 7,13%, что связано с ростом объемов межбанковских кредитов на 53,95 и кредитов юридическим лицам на 5,16%. Кредиты физическ</w:t>
      </w:r>
      <w:r w:rsidR="00D83AFB">
        <w:rPr>
          <w:rFonts w:ascii="Times New Roman" w:eastAsia="Times New Roman" w:hAnsi="Times New Roman" w:cs="Times New Roman"/>
          <w:color w:val="000000"/>
          <w:sz w:val="24"/>
          <w:szCs w:val="24"/>
          <w:lang w:eastAsia="ru-RU"/>
        </w:rPr>
        <w:t>им лицам возросли всего на 1,59</w:t>
      </w:r>
    </w:p>
    <w:p w:rsidR="00261089" w:rsidRDefault="00261089" w:rsidP="00261089">
      <w:pPr>
        <w:spacing w:after="0" w:line="360" w:lineRule="auto"/>
        <w:rPr>
          <w:rFonts w:ascii="Times New Roman" w:eastAsia="Times New Roman" w:hAnsi="Times New Roman" w:cs="Times New Roman"/>
          <w:bCs/>
          <w:color w:val="000000"/>
          <w:sz w:val="24"/>
          <w:szCs w:val="24"/>
          <w:lang w:eastAsia="ru-RU"/>
        </w:rPr>
      </w:pPr>
    </w:p>
    <w:p w:rsidR="00261089" w:rsidRPr="00261089" w:rsidRDefault="00261089" w:rsidP="00261089">
      <w:pPr>
        <w:spacing w:after="0" w:line="360" w:lineRule="auto"/>
        <w:rPr>
          <w:rFonts w:ascii="Times New Roman" w:eastAsia="Times New Roman" w:hAnsi="Times New Roman" w:cs="Times New Roman"/>
          <w:bCs/>
          <w:color w:val="000000"/>
          <w:sz w:val="24"/>
          <w:szCs w:val="24"/>
          <w:lang w:eastAsia="ru-RU"/>
        </w:rPr>
      </w:pPr>
      <w:r w:rsidRPr="00261089">
        <w:rPr>
          <w:rFonts w:ascii="Times New Roman" w:eastAsia="Times New Roman" w:hAnsi="Times New Roman" w:cs="Times New Roman"/>
          <w:bCs/>
          <w:color w:val="000000"/>
          <w:sz w:val="24"/>
          <w:szCs w:val="24"/>
          <w:lang w:eastAsia="ru-RU"/>
        </w:rPr>
        <w:t>Таблица 2 – Структура и динамика ссудной задолженности Сбербанка за 2015-2017 гг.</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668"/>
        <w:gridCol w:w="992"/>
        <w:gridCol w:w="709"/>
        <w:gridCol w:w="992"/>
        <w:gridCol w:w="709"/>
        <w:gridCol w:w="992"/>
        <w:gridCol w:w="709"/>
        <w:gridCol w:w="850"/>
        <w:gridCol w:w="709"/>
        <w:gridCol w:w="850"/>
        <w:gridCol w:w="567"/>
      </w:tblGrid>
      <w:tr w:rsidR="00261089" w:rsidRPr="00261089" w:rsidTr="000A3636">
        <w:tc>
          <w:tcPr>
            <w:tcW w:w="1668" w:type="dxa"/>
            <w:vMerge w:val="restart"/>
            <w:tcBorders>
              <w:top w:val="single" w:sz="4" w:space="0" w:color="auto"/>
              <w:left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Показатели</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2015 г</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2016 г</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2017 г</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Изменение</w:t>
            </w:r>
            <w:r w:rsidRPr="00261089">
              <w:rPr>
                <w:rFonts w:ascii="Times New Roman" w:eastAsia="Times New Roman" w:hAnsi="Times New Roman" w:cs="Times New Roman"/>
                <w:color w:val="000000"/>
                <w:sz w:val="20"/>
                <w:szCs w:val="20"/>
                <w:lang w:eastAsia="ru-RU"/>
              </w:rPr>
              <w:br/>
              <w:t>2016 к 2015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eastAsia="Times New Roman" w:hAnsi="Times New Roman" w:cs="Times New Roman"/>
                <w:color w:val="000000"/>
                <w:sz w:val="20"/>
                <w:szCs w:val="20"/>
                <w:lang w:eastAsia="ru-RU"/>
              </w:rPr>
              <w:t>Изменение</w:t>
            </w:r>
            <w:r w:rsidRPr="00261089">
              <w:rPr>
                <w:rFonts w:ascii="Times New Roman" w:eastAsia="Times New Roman" w:hAnsi="Times New Roman" w:cs="Times New Roman"/>
                <w:color w:val="000000"/>
                <w:sz w:val="20"/>
                <w:szCs w:val="20"/>
                <w:lang w:eastAsia="ru-RU"/>
              </w:rPr>
              <w:br/>
              <w:t>2017 к 2016</w:t>
            </w:r>
          </w:p>
        </w:tc>
      </w:tr>
      <w:tr w:rsidR="00261089" w:rsidRPr="00261089" w:rsidTr="000A3636">
        <w:tc>
          <w:tcPr>
            <w:tcW w:w="1668" w:type="dxa"/>
            <w:vMerge/>
            <w:tcBorders>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992"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992"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850"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eastAsia="Times New Roman" w:hAnsi="Times New Roman" w:cs="Times New Roman"/>
                <w:sz w:val="20"/>
                <w:szCs w:val="20"/>
                <w:lang w:eastAsia="ru-RU"/>
              </w:rPr>
              <w:t>Млрд. руб.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hAnsi="Times New Roman" w:cs="Times New Roman"/>
                <w:sz w:val="20"/>
                <w:szCs w:val="20"/>
              </w:rPr>
              <w:t>%</w:t>
            </w:r>
          </w:p>
        </w:tc>
      </w:tr>
      <w:tr w:rsidR="00261089" w:rsidRPr="00261089" w:rsidTr="000A3636">
        <w:tc>
          <w:tcPr>
            <w:tcW w:w="1668"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 xml:space="preserve">Межбанковские кредиты </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972,4</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5,83</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1497,1</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8,39</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1595,5</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9,24</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524,7</w:t>
            </w:r>
          </w:p>
        </w:tc>
        <w:tc>
          <w:tcPr>
            <w:tcW w:w="709"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53,95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hAnsi="Times New Roman" w:cs="Times New Roman"/>
                <w:sz w:val="20"/>
                <w:szCs w:val="20"/>
              </w:rPr>
              <w:t>98,4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hAnsi="Times New Roman" w:cs="Times New Roman"/>
                <w:sz w:val="20"/>
                <w:szCs w:val="20"/>
              </w:rPr>
              <w:t>6,57</w:t>
            </w:r>
          </w:p>
        </w:tc>
      </w:tr>
      <w:tr w:rsidR="00261089" w:rsidRPr="00261089" w:rsidTr="000A3636">
        <w:tc>
          <w:tcPr>
            <w:tcW w:w="1668"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Кредиты юридическим лицам </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11648,2</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69,79</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12248,8</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68,51</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11327,5</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65,63</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600,6</w:t>
            </w:r>
          </w:p>
        </w:tc>
        <w:tc>
          <w:tcPr>
            <w:tcW w:w="709"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hAnsi="Times New Roman" w:cs="Times New Roman"/>
                <w:sz w:val="20"/>
                <w:szCs w:val="20"/>
              </w:rPr>
              <w:t>-921,3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hAnsi="Times New Roman" w:cs="Times New Roman"/>
                <w:sz w:val="20"/>
                <w:szCs w:val="20"/>
              </w:rPr>
              <w:t>-7,52</w:t>
            </w:r>
          </w:p>
        </w:tc>
      </w:tr>
      <w:tr w:rsidR="00261089" w:rsidRPr="00261089" w:rsidTr="000A3636">
        <w:tc>
          <w:tcPr>
            <w:tcW w:w="1668"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Кредиты физическим лицам </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4069,9</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24,38</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4134,8</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23,10</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4337,4</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25,13</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64,8</w:t>
            </w:r>
          </w:p>
        </w:tc>
        <w:tc>
          <w:tcPr>
            <w:tcW w:w="709"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1,59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hAnsi="Times New Roman" w:cs="Times New Roman"/>
                <w:sz w:val="20"/>
                <w:szCs w:val="20"/>
              </w:rPr>
              <w:t>202,6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hAnsi="Times New Roman" w:cs="Times New Roman"/>
                <w:sz w:val="20"/>
                <w:szCs w:val="20"/>
              </w:rPr>
              <w:t>4,90</w:t>
            </w:r>
          </w:p>
        </w:tc>
      </w:tr>
      <w:tr w:rsidR="00261089" w:rsidRPr="00261089" w:rsidTr="000A3636">
        <w:tc>
          <w:tcPr>
            <w:tcW w:w="1668"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Итого ссудная задолженность </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16690,7</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17880,6</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17260,3</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1190,0</w:t>
            </w:r>
          </w:p>
        </w:tc>
        <w:tc>
          <w:tcPr>
            <w:tcW w:w="709"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hAnsi="Times New Roman" w:cs="Times New Roman"/>
                <w:sz w:val="20"/>
                <w:szCs w:val="20"/>
              </w:rPr>
              <w:t>-620,3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61089" w:rsidRPr="00261089" w:rsidRDefault="00261089" w:rsidP="00261089">
            <w:pPr>
              <w:spacing w:after="0" w:line="240" w:lineRule="auto"/>
              <w:jc w:val="center"/>
              <w:rPr>
                <w:rFonts w:ascii="Times New Roman" w:hAnsi="Times New Roman" w:cs="Times New Roman"/>
                <w:sz w:val="20"/>
                <w:szCs w:val="20"/>
              </w:rPr>
            </w:pPr>
            <w:r w:rsidRPr="00261089">
              <w:rPr>
                <w:rFonts w:ascii="Times New Roman" w:hAnsi="Times New Roman" w:cs="Times New Roman"/>
                <w:sz w:val="20"/>
                <w:szCs w:val="20"/>
              </w:rPr>
              <w:t>3,47</w:t>
            </w:r>
          </w:p>
        </w:tc>
      </w:tr>
    </w:tbl>
    <w:p w:rsidR="00261089" w:rsidRPr="00261089" w:rsidRDefault="00261089" w:rsidP="00261089">
      <w:pPr>
        <w:spacing w:after="0" w:line="360" w:lineRule="auto"/>
        <w:rPr>
          <w:rFonts w:ascii="Times New Roman" w:eastAsia="Times New Roman" w:hAnsi="Times New Roman" w:cs="Times New Roman"/>
          <w:sz w:val="24"/>
          <w:szCs w:val="24"/>
          <w:lang w:eastAsia="ru-RU"/>
        </w:rPr>
      </w:pP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lastRenderedPageBreak/>
        <w:t xml:space="preserve">В 2017 году общая ссудная задолженность снижается на 3,47%, что было обусловлено снижением кредитов юридических лиц на 7,52%. Наибольший рост наблюдается по межбанковским кредитам которые увеличиваются на 6,57%. Кредиты физическим лицам возрастают на 4,9%.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В структуре ссудной задолженности преобладают кредиты юридическим лицам доля которых на конец 2017 года составила 65,63% (рис. 1). На втором месте кредиты физическим лицам, доля которых составляет 25,13%. Межбанковские кредиты занимают 9,24% в общей структуре ссудной задолженности ПАО «Сбербанк России». </w:t>
      </w:r>
    </w:p>
    <w:p w:rsidR="00261089" w:rsidRPr="00261089" w:rsidRDefault="00261089" w:rsidP="00261089">
      <w:pPr>
        <w:spacing w:after="0" w:line="360" w:lineRule="auto"/>
        <w:jc w:val="center"/>
        <w:rPr>
          <w:rFonts w:ascii="Times New Roman" w:eastAsia="Times New Roman" w:hAnsi="Times New Roman" w:cs="Times New Roman"/>
          <w:b/>
          <w:bCs/>
          <w:color w:val="000000"/>
          <w:sz w:val="24"/>
          <w:szCs w:val="24"/>
          <w:lang w:eastAsia="ru-RU"/>
        </w:rPr>
      </w:pPr>
      <w:r w:rsidRPr="00261089">
        <w:rPr>
          <w:rFonts w:ascii="Times New Roman" w:eastAsia="Times New Roman" w:hAnsi="Times New Roman" w:cs="Times New Roman"/>
          <w:b/>
          <w:bCs/>
          <w:noProof/>
          <w:color w:val="000000"/>
          <w:sz w:val="24"/>
          <w:szCs w:val="24"/>
          <w:lang w:eastAsia="ru-RU"/>
        </w:rPr>
        <w:drawing>
          <wp:inline distT="0" distB="0" distL="0" distR="0" wp14:anchorId="0899FB96" wp14:editId="16556ECE">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61089" w:rsidRPr="00261089" w:rsidRDefault="00D83AFB" w:rsidP="00261089">
      <w:pPr>
        <w:spacing w:after="0" w:line="36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Рисунок 1 –</w:t>
      </w:r>
      <w:r w:rsidR="00261089" w:rsidRPr="00261089">
        <w:rPr>
          <w:rFonts w:ascii="Times New Roman" w:eastAsia="Times New Roman" w:hAnsi="Times New Roman" w:cs="Times New Roman"/>
          <w:bCs/>
          <w:color w:val="000000"/>
          <w:sz w:val="24"/>
          <w:szCs w:val="24"/>
          <w:lang w:eastAsia="ru-RU"/>
        </w:rPr>
        <w:t xml:space="preserve"> Структура ссудной задолженности Сбербанка за 2017 год,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Анализ структуры и динамики кредитного портфеля юридических лиц банка в течение анализируемого периода показал, что в 2016 году общая сумма ссудной задолженности юридических лиц увеличилась на 600,6 </w:t>
      </w:r>
      <w:proofErr w:type="spellStart"/>
      <w:r w:rsidRPr="00261089">
        <w:rPr>
          <w:rFonts w:ascii="Times New Roman" w:eastAsia="Times New Roman" w:hAnsi="Times New Roman" w:cs="Times New Roman"/>
          <w:color w:val="000000"/>
          <w:sz w:val="24"/>
          <w:szCs w:val="24"/>
          <w:lang w:eastAsia="ru-RU"/>
        </w:rPr>
        <w:t>млрд.руб</w:t>
      </w:r>
      <w:proofErr w:type="spellEnd"/>
      <w:r w:rsidRPr="00261089">
        <w:rPr>
          <w:rFonts w:ascii="Times New Roman" w:eastAsia="Times New Roman" w:hAnsi="Times New Roman" w:cs="Times New Roman"/>
          <w:color w:val="000000"/>
          <w:sz w:val="24"/>
          <w:szCs w:val="24"/>
          <w:lang w:eastAsia="ru-RU"/>
        </w:rPr>
        <w:t xml:space="preserve">. (или на 5,16%), а в 2017 году снизилась на 921,3 </w:t>
      </w:r>
      <w:proofErr w:type="spellStart"/>
      <w:r w:rsidRPr="00261089">
        <w:rPr>
          <w:rFonts w:ascii="Times New Roman" w:eastAsia="Times New Roman" w:hAnsi="Times New Roman" w:cs="Times New Roman"/>
          <w:color w:val="000000"/>
          <w:sz w:val="24"/>
          <w:szCs w:val="24"/>
          <w:lang w:eastAsia="ru-RU"/>
        </w:rPr>
        <w:t>млрд.руб</w:t>
      </w:r>
      <w:proofErr w:type="spellEnd"/>
      <w:r w:rsidRPr="00261089">
        <w:rPr>
          <w:rFonts w:ascii="Times New Roman" w:eastAsia="Times New Roman" w:hAnsi="Times New Roman" w:cs="Times New Roman"/>
          <w:color w:val="000000"/>
          <w:sz w:val="24"/>
          <w:szCs w:val="24"/>
          <w:lang w:eastAsia="ru-RU"/>
        </w:rPr>
        <w:t xml:space="preserve">. (или на 7,5%) (табл. 3) [3]. </w:t>
      </w:r>
    </w:p>
    <w:p w:rsid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Рост ссудной задолженности юридических лиц в 2016 году был обусловлен увеличением финансирования текущей деятельности хозяйствующих субъектов на 960,5 </w:t>
      </w:r>
      <w:proofErr w:type="spellStart"/>
      <w:r w:rsidRPr="00261089">
        <w:rPr>
          <w:rFonts w:ascii="Times New Roman" w:eastAsia="Times New Roman" w:hAnsi="Times New Roman" w:cs="Times New Roman"/>
          <w:color w:val="000000"/>
          <w:sz w:val="24"/>
          <w:szCs w:val="24"/>
          <w:lang w:eastAsia="ru-RU"/>
        </w:rPr>
        <w:t>млрд.руб</w:t>
      </w:r>
      <w:proofErr w:type="spellEnd"/>
      <w:r w:rsidRPr="00261089">
        <w:rPr>
          <w:rFonts w:ascii="Times New Roman" w:eastAsia="Times New Roman" w:hAnsi="Times New Roman" w:cs="Times New Roman"/>
          <w:color w:val="000000"/>
          <w:sz w:val="24"/>
          <w:szCs w:val="24"/>
          <w:lang w:eastAsia="ru-RU"/>
        </w:rPr>
        <w:t xml:space="preserve">. (или на 13,51%). По всем остальным целям кредитования наблюдается снижение. Наибольшее снижение происходит по кредитованию в рамках сделок обратного </w:t>
      </w:r>
      <w:proofErr w:type="spellStart"/>
      <w:r w:rsidRPr="00261089">
        <w:rPr>
          <w:rFonts w:ascii="Times New Roman" w:eastAsia="Times New Roman" w:hAnsi="Times New Roman" w:cs="Times New Roman"/>
          <w:color w:val="000000"/>
          <w:sz w:val="24"/>
          <w:szCs w:val="24"/>
          <w:lang w:eastAsia="ru-RU"/>
        </w:rPr>
        <w:t>репо</w:t>
      </w:r>
      <w:proofErr w:type="spellEnd"/>
      <w:r w:rsidRPr="00261089">
        <w:rPr>
          <w:rFonts w:ascii="Times New Roman" w:eastAsia="Times New Roman" w:hAnsi="Times New Roman" w:cs="Times New Roman"/>
          <w:color w:val="000000"/>
          <w:sz w:val="24"/>
          <w:szCs w:val="24"/>
          <w:lang w:eastAsia="ru-RU"/>
        </w:rPr>
        <w:t xml:space="preserve">, сумма которого снизилась на 72,86 </w:t>
      </w:r>
      <w:proofErr w:type="spellStart"/>
      <w:r w:rsidRPr="00261089">
        <w:rPr>
          <w:rFonts w:ascii="Times New Roman" w:eastAsia="Times New Roman" w:hAnsi="Times New Roman" w:cs="Times New Roman"/>
          <w:color w:val="000000"/>
          <w:sz w:val="24"/>
          <w:szCs w:val="24"/>
          <w:lang w:eastAsia="ru-RU"/>
        </w:rPr>
        <w:t>млрд.руб</w:t>
      </w:r>
      <w:proofErr w:type="spellEnd"/>
      <w:r w:rsidRPr="00261089">
        <w:rPr>
          <w:rFonts w:ascii="Times New Roman" w:eastAsia="Times New Roman" w:hAnsi="Times New Roman" w:cs="Times New Roman"/>
          <w:color w:val="000000"/>
          <w:sz w:val="24"/>
          <w:szCs w:val="24"/>
          <w:lang w:eastAsia="ru-RU"/>
        </w:rPr>
        <w:t>. (или на 56,33%). Инвестиционное и проектное финансирование снизилось на 6,48%, требования по договорам уступки прав требования - на 19,76%.</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p>
    <w:p w:rsidR="00D83AFB" w:rsidRDefault="00D83AFB" w:rsidP="00261089">
      <w:pPr>
        <w:spacing w:after="0" w:line="360" w:lineRule="auto"/>
        <w:rPr>
          <w:rFonts w:ascii="Times New Roman" w:eastAsia="Times New Roman" w:hAnsi="Times New Roman" w:cs="Times New Roman"/>
          <w:bCs/>
          <w:color w:val="000000"/>
          <w:sz w:val="24"/>
          <w:szCs w:val="24"/>
          <w:lang w:eastAsia="ru-RU"/>
        </w:rPr>
      </w:pPr>
    </w:p>
    <w:p w:rsidR="00261089" w:rsidRPr="00261089" w:rsidRDefault="00261089" w:rsidP="00261089">
      <w:pPr>
        <w:spacing w:after="0" w:line="360" w:lineRule="auto"/>
        <w:rPr>
          <w:rFonts w:ascii="Times New Roman" w:eastAsia="Times New Roman" w:hAnsi="Times New Roman" w:cs="Times New Roman"/>
          <w:sz w:val="24"/>
          <w:szCs w:val="24"/>
          <w:lang w:eastAsia="ru-RU"/>
        </w:rPr>
      </w:pPr>
      <w:r w:rsidRPr="00261089">
        <w:rPr>
          <w:rFonts w:ascii="Times New Roman" w:eastAsia="Times New Roman" w:hAnsi="Times New Roman" w:cs="Times New Roman"/>
          <w:bCs/>
          <w:color w:val="000000"/>
          <w:sz w:val="24"/>
          <w:szCs w:val="24"/>
          <w:lang w:eastAsia="ru-RU"/>
        </w:rPr>
        <w:lastRenderedPageBreak/>
        <w:t>Таблица 3 – Динамика и структура ссудной задолженности юридических лиц за 201</w:t>
      </w:r>
      <w:r w:rsidR="00CD1DC3">
        <w:rPr>
          <w:rFonts w:ascii="Times New Roman" w:eastAsia="Times New Roman" w:hAnsi="Times New Roman" w:cs="Times New Roman"/>
          <w:bCs/>
          <w:color w:val="000000"/>
          <w:sz w:val="24"/>
          <w:szCs w:val="24"/>
          <w:lang w:eastAsia="ru-RU"/>
        </w:rPr>
        <w:t>5</w:t>
      </w:r>
      <w:r w:rsidRPr="00261089">
        <w:rPr>
          <w:rFonts w:ascii="Times New Roman" w:eastAsia="Times New Roman" w:hAnsi="Times New Roman" w:cs="Times New Roman"/>
          <w:bCs/>
          <w:color w:val="000000"/>
          <w:sz w:val="24"/>
          <w:szCs w:val="24"/>
          <w:lang w:eastAsia="ru-RU"/>
        </w:rPr>
        <w:t>-201</w:t>
      </w:r>
      <w:r w:rsidR="00CD1DC3">
        <w:rPr>
          <w:rFonts w:ascii="Times New Roman" w:eastAsia="Times New Roman" w:hAnsi="Times New Roman" w:cs="Times New Roman"/>
          <w:bCs/>
          <w:color w:val="000000"/>
          <w:sz w:val="24"/>
          <w:szCs w:val="24"/>
          <w:lang w:eastAsia="ru-RU"/>
        </w:rPr>
        <w:t>7</w:t>
      </w:r>
      <w:r w:rsidRPr="00261089">
        <w:rPr>
          <w:rFonts w:ascii="Times New Roman" w:eastAsia="Times New Roman" w:hAnsi="Times New Roman" w:cs="Times New Roman"/>
          <w:bCs/>
          <w:color w:val="000000"/>
          <w:sz w:val="24"/>
          <w:szCs w:val="24"/>
          <w:lang w:eastAsia="ru-RU"/>
        </w:rPr>
        <w:t xml:space="preserve"> гг.</w:t>
      </w:r>
    </w:p>
    <w:tbl>
      <w:tblPr>
        <w:tblStyle w:val="a3"/>
        <w:tblW w:w="0" w:type="auto"/>
        <w:tblLayout w:type="fixed"/>
        <w:tblLook w:val="04A0" w:firstRow="1" w:lastRow="0" w:firstColumn="1" w:lastColumn="0" w:noHBand="0" w:noVBand="1"/>
      </w:tblPr>
      <w:tblGrid>
        <w:gridCol w:w="1951"/>
        <w:gridCol w:w="992"/>
        <w:gridCol w:w="851"/>
        <w:gridCol w:w="992"/>
        <w:gridCol w:w="851"/>
        <w:gridCol w:w="992"/>
        <w:gridCol w:w="850"/>
        <w:gridCol w:w="709"/>
        <w:gridCol w:w="709"/>
        <w:gridCol w:w="850"/>
        <w:gridCol w:w="851"/>
      </w:tblGrid>
      <w:tr w:rsidR="00261089" w:rsidRPr="00261089" w:rsidTr="000A3636">
        <w:trPr>
          <w:trHeight w:val="345"/>
        </w:trPr>
        <w:tc>
          <w:tcPr>
            <w:tcW w:w="1951" w:type="dxa"/>
            <w:vMerge w:val="restart"/>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Показатели</w:t>
            </w:r>
          </w:p>
        </w:tc>
        <w:tc>
          <w:tcPr>
            <w:tcW w:w="1843" w:type="dxa"/>
            <w:gridSpan w:val="2"/>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2015</w:t>
            </w:r>
          </w:p>
        </w:tc>
        <w:tc>
          <w:tcPr>
            <w:tcW w:w="1843" w:type="dxa"/>
            <w:gridSpan w:val="2"/>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2016</w:t>
            </w:r>
          </w:p>
        </w:tc>
        <w:tc>
          <w:tcPr>
            <w:tcW w:w="1842" w:type="dxa"/>
            <w:gridSpan w:val="2"/>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2017</w:t>
            </w:r>
          </w:p>
        </w:tc>
        <w:tc>
          <w:tcPr>
            <w:tcW w:w="1418" w:type="dxa"/>
            <w:gridSpan w:val="2"/>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Изменение 2015 к 2016</w:t>
            </w:r>
          </w:p>
        </w:tc>
        <w:tc>
          <w:tcPr>
            <w:tcW w:w="1701" w:type="dxa"/>
            <w:gridSpan w:val="2"/>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Изменение 2017 к 2016</w:t>
            </w:r>
          </w:p>
        </w:tc>
      </w:tr>
      <w:tr w:rsidR="00261089" w:rsidRPr="00261089" w:rsidTr="000A3636">
        <w:trPr>
          <w:trHeight w:val="195"/>
        </w:trPr>
        <w:tc>
          <w:tcPr>
            <w:tcW w:w="1951" w:type="dxa"/>
            <w:vMerge/>
          </w:tcPr>
          <w:p w:rsidR="00261089" w:rsidRPr="00261089" w:rsidRDefault="00261089" w:rsidP="00261089">
            <w:pPr>
              <w:rPr>
                <w:rFonts w:ascii="Times New Roman" w:eastAsia="Times New Roman" w:hAnsi="Times New Roman" w:cs="Times New Roman"/>
                <w:color w:val="000000"/>
                <w:sz w:val="20"/>
                <w:szCs w:val="20"/>
                <w:lang w:eastAsia="ru-RU"/>
              </w:rPr>
            </w:pP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Млрд. руб.</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 к итогу</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Млрд. руб.</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 к итогу</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Млрд. руб.</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 к итогу</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Млрд. руб.</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Млрд. руб.</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w:t>
            </w:r>
          </w:p>
        </w:tc>
      </w:tr>
      <w:tr w:rsidR="00261089" w:rsidRPr="00261089" w:rsidTr="000A3636">
        <w:tc>
          <w:tcPr>
            <w:tcW w:w="1951" w:type="dxa"/>
          </w:tcPr>
          <w:p w:rsidR="00261089" w:rsidRPr="00261089" w:rsidRDefault="00261089" w:rsidP="00261089">
            <w:pP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Функционирование текущей деятельности</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7107,5</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61,02</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8068,0</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65,87</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8043,37</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71,01</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960,54</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13,51</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-24,66</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-0,31</w:t>
            </w:r>
          </w:p>
        </w:tc>
      </w:tr>
      <w:tr w:rsidR="00261089" w:rsidRPr="00261089" w:rsidTr="000A3636">
        <w:tc>
          <w:tcPr>
            <w:tcW w:w="1951" w:type="dxa"/>
          </w:tcPr>
          <w:p w:rsidR="00261089" w:rsidRPr="00261089" w:rsidRDefault="00261089" w:rsidP="00261089">
            <w:pP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Инвестиционное и проектное финансирование</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4402,4</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37,79</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4117,0</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33,61</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3263,8</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28,81</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-285,4</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-6,48</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-853,2</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-20,72</w:t>
            </w:r>
          </w:p>
        </w:tc>
      </w:tr>
      <w:tr w:rsidR="00261089" w:rsidRPr="00261089" w:rsidTr="000A3636">
        <w:tc>
          <w:tcPr>
            <w:tcW w:w="1951" w:type="dxa"/>
          </w:tcPr>
          <w:p w:rsidR="00261089" w:rsidRPr="00261089" w:rsidRDefault="00261089" w:rsidP="00261089">
            <w:pP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 xml:space="preserve">Кредитование в рамках сделок обратного </w:t>
            </w:r>
            <w:proofErr w:type="spellStart"/>
            <w:r w:rsidRPr="00261089">
              <w:rPr>
                <w:rFonts w:ascii="Times New Roman" w:eastAsia="Times New Roman" w:hAnsi="Times New Roman" w:cs="Times New Roman"/>
                <w:color w:val="000000"/>
                <w:sz w:val="20"/>
                <w:szCs w:val="20"/>
                <w:lang w:eastAsia="ru-RU"/>
              </w:rPr>
              <w:t>репо</w:t>
            </w:r>
            <w:proofErr w:type="spellEnd"/>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129,3</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1,11</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56,5</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0,46</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12,71</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0,11</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-72,9</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-56,3</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-43,8</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-77,5</w:t>
            </w:r>
          </w:p>
        </w:tc>
      </w:tr>
      <w:tr w:rsidR="00261089" w:rsidRPr="00261089" w:rsidTr="000A3636">
        <w:tc>
          <w:tcPr>
            <w:tcW w:w="1951" w:type="dxa"/>
          </w:tcPr>
          <w:p w:rsidR="00261089" w:rsidRPr="00261089" w:rsidRDefault="00261089" w:rsidP="00261089">
            <w:pP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Требования по задолженностям, образованным в результате заключения банком договора уступки прав требования</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9,0</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0,08</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7,2</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0,06</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7,6</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0,07</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-1,8</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-19,8</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0,4</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4,84</w:t>
            </w:r>
          </w:p>
        </w:tc>
      </w:tr>
      <w:tr w:rsidR="00261089" w:rsidRPr="00261089" w:rsidTr="000A3636">
        <w:tc>
          <w:tcPr>
            <w:tcW w:w="1951" w:type="dxa"/>
          </w:tcPr>
          <w:p w:rsidR="00261089" w:rsidRPr="00261089" w:rsidRDefault="00261089" w:rsidP="00261089">
            <w:pP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Итого</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11648,2</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100,00</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12248,8</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100,00</w:t>
            </w:r>
          </w:p>
        </w:tc>
        <w:tc>
          <w:tcPr>
            <w:tcW w:w="992"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11327,5</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100,00</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600,6</w:t>
            </w:r>
          </w:p>
        </w:tc>
        <w:tc>
          <w:tcPr>
            <w:tcW w:w="709"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5,16</w:t>
            </w:r>
          </w:p>
        </w:tc>
        <w:tc>
          <w:tcPr>
            <w:tcW w:w="850"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-921,3</w:t>
            </w:r>
          </w:p>
        </w:tc>
        <w:tc>
          <w:tcPr>
            <w:tcW w:w="851" w:type="dxa"/>
            <w:vAlign w:val="center"/>
          </w:tcPr>
          <w:p w:rsidR="00261089" w:rsidRPr="00261089" w:rsidRDefault="00261089" w:rsidP="00261089">
            <w:pPr>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-7,52</w:t>
            </w:r>
          </w:p>
        </w:tc>
      </w:tr>
    </w:tbl>
    <w:p w:rsidR="00261089" w:rsidRPr="00261089" w:rsidRDefault="00261089" w:rsidP="00261089">
      <w:pPr>
        <w:spacing w:after="0" w:line="360" w:lineRule="auto"/>
        <w:rPr>
          <w:rFonts w:ascii="Times New Roman" w:eastAsia="Times New Roman" w:hAnsi="Times New Roman" w:cs="Times New Roman"/>
          <w:color w:val="000000"/>
          <w:sz w:val="24"/>
          <w:szCs w:val="24"/>
          <w:lang w:eastAsia="ru-RU"/>
        </w:rPr>
      </w:pP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В 2017 году из всех целей кредитования юридических лиц увеличение ссудной задолженности наблюдается только по требованиям по договорам уступки прав требования на 4,84%. По остальным статьям кредитования наблюдается снижение. </w:t>
      </w:r>
    </w:p>
    <w:p w:rsidR="00261089" w:rsidRPr="00261089" w:rsidRDefault="00BD6663" w:rsidP="00261089">
      <w:pPr>
        <w:spacing w:after="0" w:line="36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Как видно по данным рисунка</w:t>
      </w:r>
      <w:r w:rsidR="00261089" w:rsidRPr="00261089">
        <w:rPr>
          <w:rFonts w:ascii="Times New Roman" w:eastAsia="Times New Roman" w:hAnsi="Times New Roman" w:cs="Times New Roman"/>
          <w:color w:val="000000"/>
          <w:sz w:val="24"/>
          <w:szCs w:val="24"/>
          <w:lang w:eastAsia="ru-RU"/>
        </w:rPr>
        <w:t xml:space="preserve"> 2 наибольший удельный вес в структуре ссудной задолженности юридических лиц занимает финансирование текущей деятельности, при этом доля данного вида кредитования увеличивается с 61,02% в 2015 году до 71,01% в 2017 году.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Инвестиционное и проектное финансирование занимает 37,79% в 2015 году и снижается к 2017 году до 28,81%. Доля кредитования в рамках обратного </w:t>
      </w:r>
      <w:proofErr w:type="spellStart"/>
      <w:r w:rsidRPr="00261089">
        <w:rPr>
          <w:rFonts w:ascii="Times New Roman" w:eastAsia="Times New Roman" w:hAnsi="Times New Roman" w:cs="Times New Roman"/>
          <w:color w:val="000000"/>
          <w:sz w:val="24"/>
          <w:szCs w:val="24"/>
          <w:lang w:eastAsia="ru-RU"/>
        </w:rPr>
        <w:t>репо</w:t>
      </w:r>
      <w:proofErr w:type="spellEnd"/>
      <w:r w:rsidRPr="00261089">
        <w:rPr>
          <w:rFonts w:ascii="Times New Roman" w:eastAsia="Times New Roman" w:hAnsi="Times New Roman" w:cs="Times New Roman"/>
          <w:color w:val="000000"/>
          <w:sz w:val="24"/>
          <w:szCs w:val="24"/>
          <w:lang w:eastAsia="ru-RU"/>
        </w:rPr>
        <w:t xml:space="preserve"> и договоров уступки прав требования незначительна и занимает менее 1% в общей структуре ссудной задолженности юридических лиц.</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Исследование структуры и динамики кредитов, выданных физическим лицам (табл.4) [3] показало, что в 2016 году продолжился рост только ипотечного кредитования, сумма которого увеличилась на 256,6 </w:t>
      </w:r>
      <w:proofErr w:type="spellStart"/>
      <w:r w:rsidRPr="00261089">
        <w:rPr>
          <w:rFonts w:ascii="Times New Roman" w:eastAsia="Times New Roman" w:hAnsi="Times New Roman" w:cs="Times New Roman"/>
          <w:color w:val="000000"/>
          <w:sz w:val="24"/>
          <w:szCs w:val="24"/>
          <w:lang w:eastAsia="ru-RU"/>
        </w:rPr>
        <w:t>млрд.руб</w:t>
      </w:r>
      <w:proofErr w:type="spellEnd"/>
      <w:r w:rsidRPr="00261089">
        <w:rPr>
          <w:rFonts w:ascii="Times New Roman" w:eastAsia="Times New Roman" w:hAnsi="Times New Roman" w:cs="Times New Roman"/>
          <w:color w:val="000000"/>
          <w:sz w:val="24"/>
          <w:szCs w:val="24"/>
          <w:lang w:eastAsia="ru-RU"/>
        </w:rPr>
        <w:t xml:space="preserve">. (или на 13,38%), в то время как потребительское и автокредитование замедлились на 7,62% и 51,92% соответственно. В 2017 году ипотечное кредитование продолжало расти, но меньшими темпами на 217,56 </w:t>
      </w:r>
      <w:proofErr w:type="spellStart"/>
      <w:r w:rsidRPr="00261089">
        <w:rPr>
          <w:rFonts w:ascii="Times New Roman" w:eastAsia="Times New Roman" w:hAnsi="Times New Roman" w:cs="Times New Roman"/>
          <w:color w:val="000000"/>
          <w:sz w:val="24"/>
          <w:szCs w:val="24"/>
          <w:lang w:eastAsia="ru-RU"/>
        </w:rPr>
        <w:t>млрд.руб</w:t>
      </w:r>
      <w:proofErr w:type="spellEnd"/>
      <w:r w:rsidRPr="00261089">
        <w:rPr>
          <w:rFonts w:ascii="Times New Roman" w:eastAsia="Times New Roman" w:hAnsi="Times New Roman" w:cs="Times New Roman"/>
          <w:color w:val="000000"/>
          <w:sz w:val="24"/>
          <w:szCs w:val="24"/>
          <w:lang w:eastAsia="ru-RU"/>
        </w:rPr>
        <w:t xml:space="preserve">. (или на 10%). Потребительское кредитование возросло незначительно – всего на 0,15% Автокредитование продолжило существенное </w:t>
      </w:r>
      <w:r w:rsidR="00D83AFB">
        <w:rPr>
          <w:rFonts w:ascii="Times New Roman" w:eastAsia="Times New Roman" w:hAnsi="Times New Roman" w:cs="Times New Roman"/>
          <w:color w:val="000000"/>
          <w:sz w:val="24"/>
          <w:szCs w:val="24"/>
          <w:lang w:eastAsia="ru-RU"/>
        </w:rPr>
        <w:t>снижение на 59,2</w:t>
      </w:r>
      <w:r w:rsidRPr="00261089">
        <w:rPr>
          <w:rFonts w:ascii="Times New Roman" w:eastAsia="Times New Roman" w:hAnsi="Times New Roman" w:cs="Times New Roman"/>
          <w:color w:val="000000"/>
          <w:sz w:val="24"/>
          <w:szCs w:val="24"/>
          <w:lang w:eastAsia="ru-RU"/>
        </w:rPr>
        <w:t>%.</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Как отмечают специалисты, ипотечное кредитование является приоритетным продуктом Сбербанка. Его доля в структуре кредитов физическим лицам на конец 2017 года занимала 55,16% по сравнению с 2015 годом - 47,13%. </w:t>
      </w:r>
    </w:p>
    <w:p w:rsidR="00261089" w:rsidRPr="00261089" w:rsidRDefault="00261089" w:rsidP="00261089">
      <w:pPr>
        <w:spacing w:after="0" w:line="360" w:lineRule="auto"/>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lastRenderedPageBreak/>
        <w:t>Наименьшую долю в структуре</w:t>
      </w:r>
      <w:r w:rsidRPr="00261089">
        <w:rPr>
          <w:rFonts w:ascii="Times New Roman" w:eastAsia="Times New Roman" w:hAnsi="Times New Roman" w:cs="Times New Roman"/>
          <w:sz w:val="24"/>
          <w:szCs w:val="24"/>
          <w:lang w:eastAsia="ru-RU"/>
        </w:rPr>
        <w:t xml:space="preserve"> </w:t>
      </w:r>
      <w:r w:rsidRPr="00261089">
        <w:rPr>
          <w:rFonts w:ascii="Times New Roman" w:eastAsia="Times New Roman" w:hAnsi="Times New Roman" w:cs="Times New Roman"/>
          <w:color w:val="000000"/>
          <w:sz w:val="24"/>
          <w:szCs w:val="24"/>
          <w:lang w:eastAsia="ru-RU"/>
        </w:rPr>
        <w:t xml:space="preserve">кредитного портфеля физических лиц банка на конец 2017 года заняло автокредитование - 0,28% против 1,54% в 2015 году. </w:t>
      </w:r>
    </w:p>
    <w:p w:rsidR="00261089" w:rsidRPr="00261089" w:rsidRDefault="00261089" w:rsidP="00261089">
      <w:pPr>
        <w:spacing w:after="0" w:line="360" w:lineRule="auto"/>
        <w:rPr>
          <w:rFonts w:ascii="Times New Roman" w:eastAsia="Times New Roman" w:hAnsi="Times New Roman" w:cs="Times New Roman"/>
          <w:b/>
          <w:bCs/>
          <w:color w:val="000000"/>
          <w:sz w:val="24"/>
          <w:szCs w:val="24"/>
          <w:lang w:eastAsia="ru-RU"/>
        </w:rPr>
      </w:pPr>
      <w:r w:rsidRPr="00261089">
        <w:rPr>
          <w:rFonts w:ascii="Times New Roman" w:eastAsia="Times New Roman" w:hAnsi="Times New Roman" w:cs="Times New Roman"/>
          <w:b/>
          <w:bCs/>
          <w:noProof/>
          <w:color w:val="000000"/>
          <w:sz w:val="24"/>
          <w:szCs w:val="24"/>
          <w:lang w:eastAsia="ru-RU"/>
        </w:rPr>
        <w:drawing>
          <wp:inline distT="0" distB="0" distL="0" distR="0" wp14:anchorId="09B3DB9B" wp14:editId="53FC6FD2">
            <wp:extent cx="5486400" cy="32004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61089" w:rsidRPr="00261089" w:rsidRDefault="00BD6663" w:rsidP="00261089">
      <w:pPr>
        <w:spacing w:after="0" w:line="36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Рисунок 2 –</w:t>
      </w:r>
      <w:r w:rsidR="00261089" w:rsidRPr="00261089">
        <w:rPr>
          <w:rFonts w:ascii="Times New Roman" w:eastAsia="Times New Roman" w:hAnsi="Times New Roman" w:cs="Times New Roman"/>
          <w:bCs/>
          <w:color w:val="000000"/>
          <w:sz w:val="24"/>
          <w:szCs w:val="24"/>
          <w:lang w:eastAsia="ru-RU"/>
        </w:rPr>
        <w:t xml:space="preserve"> Структура кредитного портфеля юридических лиц за 201</w:t>
      </w:r>
      <w:r w:rsidR="00CD1DC3">
        <w:rPr>
          <w:rFonts w:ascii="Times New Roman" w:eastAsia="Times New Roman" w:hAnsi="Times New Roman" w:cs="Times New Roman"/>
          <w:bCs/>
          <w:color w:val="000000"/>
          <w:sz w:val="24"/>
          <w:szCs w:val="24"/>
          <w:lang w:eastAsia="ru-RU"/>
        </w:rPr>
        <w:t>7</w:t>
      </w:r>
      <w:r w:rsidR="00261089" w:rsidRPr="00261089">
        <w:rPr>
          <w:rFonts w:ascii="Times New Roman" w:eastAsia="Times New Roman" w:hAnsi="Times New Roman" w:cs="Times New Roman"/>
          <w:bCs/>
          <w:color w:val="000000"/>
          <w:sz w:val="24"/>
          <w:szCs w:val="24"/>
          <w:lang w:eastAsia="ru-RU"/>
        </w:rPr>
        <w:t xml:space="preserve"> год</w:t>
      </w:r>
    </w:p>
    <w:p w:rsidR="00261089" w:rsidRPr="00261089" w:rsidRDefault="00261089" w:rsidP="00261089">
      <w:pPr>
        <w:spacing w:after="0" w:line="360" w:lineRule="auto"/>
        <w:rPr>
          <w:rFonts w:ascii="Times New Roman" w:eastAsia="Times New Roman" w:hAnsi="Times New Roman" w:cs="Times New Roman"/>
          <w:bCs/>
          <w:color w:val="000000"/>
          <w:sz w:val="24"/>
          <w:szCs w:val="24"/>
          <w:lang w:eastAsia="ru-RU"/>
        </w:rPr>
      </w:pPr>
    </w:p>
    <w:p w:rsidR="00261089" w:rsidRPr="00261089" w:rsidRDefault="00261089" w:rsidP="00261089">
      <w:pPr>
        <w:spacing w:after="0" w:line="360" w:lineRule="auto"/>
        <w:rPr>
          <w:rFonts w:ascii="Times New Roman" w:eastAsia="Times New Roman" w:hAnsi="Times New Roman" w:cs="Times New Roman"/>
          <w:sz w:val="24"/>
          <w:szCs w:val="24"/>
          <w:lang w:eastAsia="ru-RU"/>
        </w:rPr>
      </w:pPr>
      <w:r w:rsidRPr="00261089">
        <w:rPr>
          <w:rFonts w:ascii="Times New Roman" w:eastAsia="Times New Roman" w:hAnsi="Times New Roman" w:cs="Times New Roman"/>
          <w:bCs/>
          <w:color w:val="000000"/>
          <w:sz w:val="24"/>
          <w:szCs w:val="24"/>
          <w:lang w:eastAsia="ru-RU"/>
        </w:rPr>
        <w:t>Таблица 4 – Динамика и структура кредитов, выданных физическим лицам за 201</w:t>
      </w:r>
      <w:r w:rsidR="00CD1DC3">
        <w:rPr>
          <w:rFonts w:ascii="Times New Roman" w:eastAsia="Times New Roman" w:hAnsi="Times New Roman" w:cs="Times New Roman"/>
          <w:bCs/>
          <w:color w:val="000000"/>
          <w:sz w:val="24"/>
          <w:szCs w:val="24"/>
          <w:lang w:eastAsia="ru-RU"/>
        </w:rPr>
        <w:t>5</w:t>
      </w:r>
      <w:r w:rsidRPr="00261089">
        <w:rPr>
          <w:rFonts w:ascii="Times New Roman" w:eastAsia="Times New Roman" w:hAnsi="Times New Roman" w:cs="Times New Roman"/>
          <w:bCs/>
          <w:color w:val="000000"/>
          <w:sz w:val="24"/>
          <w:szCs w:val="24"/>
          <w:lang w:eastAsia="ru-RU"/>
        </w:rPr>
        <w:t>-201</w:t>
      </w:r>
      <w:r w:rsidR="00CD1DC3">
        <w:rPr>
          <w:rFonts w:ascii="Times New Roman" w:eastAsia="Times New Roman" w:hAnsi="Times New Roman" w:cs="Times New Roman"/>
          <w:bCs/>
          <w:color w:val="000000"/>
          <w:sz w:val="24"/>
          <w:szCs w:val="24"/>
          <w:lang w:eastAsia="ru-RU"/>
        </w:rPr>
        <w:t>7</w:t>
      </w:r>
      <w:r w:rsidRPr="00261089">
        <w:rPr>
          <w:rFonts w:ascii="Times New Roman" w:eastAsia="Times New Roman" w:hAnsi="Times New Roman" w:cs="Times New Roman"/>
          <w:bCs/>
          <w:color w:val="000000"/>
          <w:sz w:val="24"/>
          <w:szCs w:val="24"/>
          <w:lang w:eastAsia="ru-RU"/>
        </w:rPr>
        <w:t xml:space="preserve"> гг.</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51"/>
        <w:gridCol w:w="851"/>
        <w:gridCol w:w="708"/>
        <w:gridCol w:w="851"/>
        <w:gridCol w:w="709"/>
        <w:gridCol w:w="850"/>
        <w:gridCol w:w="709"/>
        <w:gridCol w:w="850"/>
        <w:gridCol w:w="709"/>
        <w:gridCol w:w="851"/>
        <w:gridCol w:w="708"/>
      </w:tblGrid>
      <w:tr w:rsidR="00261089" w:rsidRPr="00261089" w:rsidTr="000A3636">
        <w:tc>
          <w:tcPr>
            <w:tcW w:w="1951" w:type="dxa"/>
            <w:vMerge w:val="restart"/>
            <w:tcBorders>
              <w:top w:val="single" w:sz="4" w:space="0" w:color="auto"/>
              <w:left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Показатели</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2015</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2016</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2017</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Изменение</w:t>
            </w:r>
            <w:r w:rsidRPr="00261089">
              <w:rPr>
                <w:rFonts w:ascii="Times New Roman" w:eastAsia="Times New Roman" w:hAnsi="Times New Roman" w:cs="Times New Roman"/>
                <w:color w:val="000000"/>
                <w:sz w:val="20"/>
                <w:szCs w:val="20"/>
                <w:lang w:eastAsia="ru-RU"/>
              </w:rPr>
              <w:br/>
              <w:t>2016 к 2015</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Изменение</w:t>
            </w:r>
            <w:r w:rsidRPr="00261089">
              <w:rPr>
                <w:rFonts w:ascii="Times New Roman" w:eastAsia="Times New Roman" w:hAnsi="Times New Roman" w:cs="Times New Roman"/>
                <w:color w:val="000000"/>
                <w:sz w:val="20"/>
                <w:szCs w:val="20"/>
                <w:lang w:eastAsia="ru-RU"/>
              </w:rPr>
              <w:br/>
              <w:t>2017 к 2016</w:t>
            </w:r>
          </w:p>
        </w:tc>
      </w:tr>
      <w:tr w:rsidR="00261089" w:rsidRPr="00261089" w:rsidTr="000A3636">
        <w:tc>
          <w:tcPr>
            <w:tcW w:w="1951" w:type="dxa"/>
            <w:vMerge/>
            <w:tcBorders>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850"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850"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w:t>
            </w:r>
          </w:p>
        </w:tc>
      </w:tr>
      <w:tr w:rsidR="00261089" w:rsidRPr="00261089" w:rsidTr="000A3636">
        <w:tc>
          <w:tcPr>
            <w:tcW w:w="19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Ипотечное кредитование</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1918,2</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47,13</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2174,8</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52,6</w:t>
            </w:r>
          </w:p>
        </w:tc>
        <w:tc>
          <w:tcPr>
            <w:tcW w:w="850"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2392,4</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55,16</w:t>
            </w:r>
          </w:p>
        </w:tc>
        <w:tc>
          <w:tcPr>
            <w:tcW w:w="850"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256,6</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13,38</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217,6</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10,00</w:t>
            </w:r>
          </w:p>
        </w:tc>
      </w:tr>
      <w:tr w:rsidR="00261089" w:rsidRPr="00261089" w:rsidTr="000A3636">
        <w:tc>
          <w:tcPr>
            <w:tcW w:w="19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Автокредитование </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62,8</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1,54</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30,2</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0,73</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12,3</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0,28</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-32,6</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-51,92</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-17,9</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-59,2</w:t>
            </w:r>
          </w:p>
        </w:tc>
      </w:tr>
      <w:tr w:rsidR="00261089" w:rsidRPr="00261089" w:rsidTr="000A3636">
        <w:tc>
          <w:tcPr>
            <w:tcW w:w="19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Потребительские кредиты </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2088,9</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51,33</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1929,8</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46,67</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1932,7</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44,56</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-159,2</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-7,62</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2,9</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0,15</w:t>
            </w:r>
          </w:p>
        </w:tc>
      </w:tr>
      <w:tr w:rsidR="00261089" w:rsidRPr="00261089" w:rsidTr="000A3636">
        <w:tc>
          <w:tcPr>
            <w:tcW w:w="19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Итого </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4069,9</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4134,8</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4337,4</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64,8</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1,59</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202,6</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4,9</w:t>
            </w:r>
          </w:p>
        </w:tc>
      </w:tr>
    </w:tbl>
    <w:p w:rsidR="00261089" w:rsidRPr="00261089" w:rsidRDefault="00261089" w:rsidP="00261089">
      <w:pPr>
        <w:spacing w:after="0" w:line="360" w:lineRule="auto"/>
        <w:rPr>
          <w:rFonts w:ascii="Times New Roman" w:eastAsia="Times New Roman" w:hAnsi="Times New Roman" w:cs="Times New Roman"/>
          <w:b/>
          <w:bCs/>
          <w:color w:val="000000"/>
          <w:sz w:val="24"/>
          <w:szCs w:val="24"/>
          <w:lang w:eastAsia="ru-RU"/>
        </w:rPr>
      </w:pP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Исследование качества кредитного портфеля физически</w:t>
      </w:r>
      <w:r w:rsidR="00BD6663">
        <w:rPr>
          <w:rFonts w:ascii="Times New Roman" w:eastAsia="Times New Roman" w:hAnsi="Times New Roman" w:cs="Times New Roman"/>
          <w:color w:val="000000"/>
          <w:sz w:val="24"/>
          <w:szCs w:val="24"/>
          <w:lang w:eastAsia="ru-RU"/>
        </w:rPr>
        <w:t>х лиц</w:t>
      </w:r>
      <w:r w:rsidRPr="00261089">
        <w:rPr>
          <w:rFonts w:ascii="Times New Roman" w:eastAsia="Times New Roman" w:hAnsi="Times New Roman" w:cs="Times New Roman"/>
          <w:color w:val="000000"/>
          <w:sz w:val="24"/>
          <w:szCs w:val="24"/>
          <w:lang w:eastAsia="ru-RU"/>
        </w:rPr>
        <w:t xml:space="preserve"> (таб. 5) [</w:t>
      </w:r>
      <w:r w:rsidR="00472BF7">
        <w:rPr>
          <w:rFonts w:ascii="Times New Roman" w:eastAsia="Times New Roman" w:hAnsi="Times New Roman" w:cs="Times New Roman"/>
          <w:color w:val="000000"/>
          <w:sz w:val="24"/>
          <w:szCs w:val="24"/>
          <w:lang w:eastAsia="ru-RU"/>
        </w:rPr>
        <w:t>8</w:t>
      </w:r>
      <w:r w:rsidRPr="00261089">
        <w:rPr>
          <w:rFonts w:ascii="Times New Roman" w:eastAsia="Times New Roman" w:hAnsi="Times New Roman" w:cs="Times New Roman"/>
          <w:color w:val="000000"/>
          <w:sz w:val="24"/>
          <w:szCs w:val="24"/>
          <w:lang w:eastAsia="ru-RU"/>
        </w:rPr>
        <w:t xml:space="preserve">] показало, что наибольшую долю в структуре данного портфеля занимают кредиты с рейтингом I, т.е. кредитные операции при которых вероятность финансовых потерь вследствие неисполнения либо ненадлежащего исполнения заемщиком обязательств по ссуде равна нулю. Доля таких кредитов составляет на конец 2017 года 46,34%. Однако здесь необходимо заметить, что доля таких кредитов постепенно снижается. 42,43% занимают кредиты с рейтингом II, т.е. ссуды с умеренным кредитным риском. 5,71% занимают кредиты с рейтингом III – сомнительные ссуды. 3,72% занимают кредиты с рейтингом V – безнадежные ссуды. Наименьшую долю занимают кредиты с рейтингом IV – проблемные ссуды – 1,80%. </w:t>
      </w:r>
    </w:p>
    <w:p w:rsidR="00261089" w:rsidRPr="00261089" w:rsidRDefault="00261089" w:rsidP="00261089">
      <w:pPr>
        <w:spacing w:after="0" w:line="360" w:lineRule="auto"/>
        <w:rPr>
          <w:rFonts w:ascii="Times New Roman" w:eastAsia="Times New Roman" w:hAnsi="Times New Roman" w:cs="Times New Roman"/>
          <w:b/>
          <w:bCs/>
          <w:color w:val="000000"/>
          <w:sz w:val="24"/>
          <w:szCs w:val="24"/>
          <w:lang w:eastAsia="ru-RU"/>
        </w:rPr>
      </w:pPr>
    </w:p>
    <w:p w:rsidR="00261089" w:rsidRPr="00261089" w:rsidRDefault="00261089" w:rsidP="00261089">
      <w:pPr>
        <w:spacing w:after="0" w:line="360" w:lineRule="auto"/>
        <w:rPr>
          <w:rFonts w:ascii="Times New Roman" w:eastAsia="Times New Roman" w:hAnsi="Times New Roman" w:cs="Times New Roman"/>
          <w:sz w:val="24"/>
          <w:szCs w:val="24"/>
          <w:lang w:eastAsia="ru-RU"/>
        </w:rPr>
      </w:pPr>
      <w:r w:rsidRPr="00261089">
        <w:rPr>
          <w:rFonts w:ascii="Times New Roman" w:eastAsia="Times New Roman" w:hAnsi="Times New Roman" w:cs="Times New Roman"/>
          <w:bCs/>
          <w:color w:val="000000"/>
          <w:sz w:val="24"/>
          <w:szCs w:val="24"/>
          <w:lang w:eastAsia="ru-RU"/>
        </w:rPr>
        <w:lastRenderedPageBreak/>
        <w:t>Таблица 5 – Динамика и структура кредитов физическим лицам за 2015-2017 гг. по категориям качества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42"/>
        <w:gridCol w:w="993"/>
        <w:gridCol w:w="708"/>
        <w:gridCol w:w="993"/>
        <w:gridCol w:w="708"/>
        <w:gridCol w:w="993"/>
        <w:gridCol w:w="708"/>
        <w:gridCol w:w="851"/>
        <w:gridCol w:w="709"/>
        <w:gridCol w:w="850"/>
        <w:gridCol w:w="851"/>
      </w:tblGrid>
      <w:tr w:rsidR="00261089" w:rsidRPr="00261089" w:rsidTr="000A3636">
        <w:tc>
          <w:tcPr>
            <w:tcW w:w="1242" w:type="dxa"/>
            <w:vMerge w:val="restart"/>
            <w:tcBorders>
              <w:top w:val="single" w:sz="4" w:space="0" w:color="auto"/>
              <w:left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Категории качества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2015</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2016</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2017</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color w:val="000000"/>
                <w:sz w:val="20"/>
                <w:szCs w:val="20"/>
                <w:lang w:eastAsia="ru-RU"/>
              </w:rPr>
            </w:pPr>
            <w:r w:rsidRPr="00261089">
              <w:rPr>
                <w:rFonts w:ascii="Times New Roman" w:eastAsia="Times New Roman" w:hAnsi="Times New Roman" w:cs="Times New Roman"/>
                <w:color w:val="000000"/>
                <w:sz w:val="20"/>
                <w:szCs w:val="20"/>
                <w:lang w:eastAsia="ru-RU"/>
              </w:rPr>
              <w:t>Изменение 2016 к 2015</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Изменение 2017 к 2016</w:t>
            </w:r>
          </w:p>
        </w:tc>
      </w:tr>
      <w:tr w:rsidR="00261089" w:rsidRPr="00261089" w:rsidTr="000A3636">
        <w:tc>
          <w:tcPr>
            <w:tcW w:w="1242" w:type="dxa"/>
            <w:vMerge/>
            <w:tcBorders>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993"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993"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w:t>
            </w:r>
          </w:p>
        </w:tc>
      </w:tr>
      <w:tr w:rsidR="00261089" w:rsidRPr="00261089" w:rsidTr="000A3636">
        <w:tc>
          <w:tcPr>
            <w:tcW w:w="124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Рейтинг I </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8406,5</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50,37</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8737,4</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48,87</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7998,2</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46,34</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331,0</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3,94</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-739,2</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-8,46</w:t>
            </w:r>
          </w:p>
        </w:tc>
      </w:tr>
      <w:tr w:rsidR="00261089" w:rsidRPr="00261089" w:rsidTr="000A3636">
        <w:tc>
          <w:tcPr>
            <w:tcW w:w="124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Рейтинг II </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6704,6</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40,17</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7304,8</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40,85</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7322,8</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42,43</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600,1</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8,95</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18,0</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0,25</w:t>
            </w:r>
          </w:p>
        </w:tc>
      </w:tr>
      <w:tr w:rsidR="00261089" w:rsidRPr="00261089" w:rsidTr="000A3636">
        <w:tc>
          <w:tcPr>
            <w:tcW w:w="124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Рейтинг III </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788,3</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4,72</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872,1</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4,88</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985,0</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5,71</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83,9</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10,64</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112,9</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12,95</w:t>
            </w:r>
          </w:p>
        </w:tc>
      </w:tr>
      <w:tr w:rsidR="00261089" w:rsidRPr="00261089" w:rsidTr="000A3636">
        <w:tc>
          <w:tcPr>
            <w:tcW w:w="124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Рейтинг IV </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204,9</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1,23</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213,0</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1,19</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311,4</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1,8</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8,1</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3,95</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98,4</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46,18</w:t>
            </w:r>
          </w:p>
        </w:tc>
      </w:tr>
      <w:tr w:rsidR="00261089" w:rsidRPr="00261089" w:rsidTr="000A3636">
        <w:tc>
          <w:tcPr>
            <w:tcW w:w="124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Рейтинг V </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586,3</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3,51</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753,3</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4,21</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642,9</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3,72</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167,0</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28,48</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-110,4</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-14,66</w:t>
            </w:r>
          </w:p>
        </w:tc>
      </w:tr>
      <w:tr w:rsidR="00261089" w:rsidRPr="00261089" w:rsidTr="000A3636">
        <w:tc>
          <w:tcPr>
            <w:tcW w:w="1242"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Итого кредитов </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16690,6</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17880,6</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17260,3</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1190,0</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7,13</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-620,3</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-3,47</w:t>
            </w:r>
          </w:p>
        </w:tc>
      </w:tr>
    </w:tbl>
    <w:p w:rsidR="00261089" w:rsidRPr="00261089" w:rsidRDefault="00261089" w:rsidP="00261089">
      <w:pPr>
        <w:spacing w:after="0" w:line="360" w:lineRule="auto"/>
        <w:rPr>
          <w:rFonts w:ascii="Times New Roman" w:eastAsia="Times New Roman" w:hAnsi="Times New Roman" w:cs="Times New Roman"/>
          <w:color w:val="000000"/>
          <w:sz w:val="24"/>
          <w:szCs w:val="24"/>
          <w:lang w:eastAsia="ru-RU"/>
        </w:rPr>
      </w:pP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По результатам проведенного анализа можно сказать, что кредитный портфель ПАО «Сбербанк России» обладает хорошим качеством. Однако необходимо отметить отрицательные моменты: значительный рост в 2016-2017 гг. кредитов III и IV категории качества.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Как видно по данным рисунка </w:t>
      </w:r>
      <w:r w:rsidR="00BD6663">
        <w:rPr>
          <w:rFonts w:ascii="Times New Roman" w:eastAsia="Times New Roman" w:hAnsi="Times New Roman" w:cs="Times New Roman"/>
          <w:color w:val="000000"/>
          <w:sz w:val="24"/>
          <w:szCs w:val="24"/>
          <w:lang w:eastAsia="ru-RU"/>
        </w:rPr>
        <w:t>3</w:t>
      </w:r>
      <w:r w:rsidRPr="00261089">
        <w:rPr>
          <w:rFonts w:ascii="Times New Roman" w:eastAsia="Times New Roman" w:hAnsi="Times New Roman" w:cs="Times New Roman"/>
          <w:color w:val="000000"/>
          <w:sz w:val="24"/>
          <w:szCs w:val="24"/>
          <w:lang w:eastAsia="ru-RU"/>
        </w:rPr>
        <w:t xml:space="preserve"> ссудная задолженность банка с просроченными сроками погашения показывает разнонаправленную динамику.</w:t>
      </w:r>
    </w:p>
    <w:p w:rsidR="00261089" w:rsidRPr="00261089" w:rsidRDefault="00261089" w:rsidP="00261089">
      <w:pPr>
        <w:spacing w:after="0" w:line="360" w:lineRule="auto"/>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noProof/>
          <w:color w:val="000000"/>
          <w:sz w:val="24"/>
          <w:szCs w:val="24"/>
          <w:lang w:eastAsia="ru-RU"/>
        </w:rPr>
        <w:drawing>
          <wp:inline distT="0" distB="0" distL="0" distR="0" wp14:anchorId="7B9EBB0F" wp14:editId="137B35C6">
            <wp:extent cx="5486400" cy="32004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61089" w:rsidRPr="00BD6663" w:rsidRDefault="00BD6663" w:rsidP="00261089">
      <w:pPr>
        <w:spacing w:after="0" w:line="36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Рисунок 3 –</w:t>
      </w:r>
      <w:r w:rsidR="00261089" w:rsidRPr="00261089">
        <w:rPr>
          <w:rFonts w:ascii="Times New Roman" w:eastAsia="Times New Roman" w:hAnsi="Times New Roman" w:cs="Times New Roman"/>
          <w:bCs/>
          <w:color w:val="000000"/>
          <w:sz w:val="24"/>
          <w:szCs w:val="24"/>
          <w:lang w:eastAsia="ru-RU"/>
        </w:rPr>
        <w:t xml:space="preserve"> Динамика ссудной задолженности Сбербанка с просроченными сроками погашения за 2015-2017 гг., </w:t>
      </w:r>
      <w:proofErr w:type="spellStart"/>
      <w:r w:rsidR="00261089" w:rsidRPr="00261089">
        <w:rPr>
          <w:rFonts w:ascii="Times New Roman" w:eastAsia="Times New Roman" w:hAnsi="Times New Roman" w:cs="Times New Roman"/>
          <w:bCs/>
          <w:color w:val="000000"/>
          <w:sz w:val="24"/>
          <w:szCs w:val="24"/>
          <w:lang w:eastAsia="ru-RU"/>
        </w:rPr>
        <w:t>млрд.руб</w:t>
      </w:r>
      <w:proofErr w:type="spellEnd"/>
      <w:r w:rsidR="00261089" w:rsidRPr="00261089">
        <w:rPr>
          <w:rFonts w:ascii="Times New Roman" w:eastAsia="Times New Roman" w:hAnsi="Times New Roman" w:cs="Times New Roman"/>
          <w:bCs/>
          <w:color w:val="000000"/>
          <w:sz w:val="24"/>
          <w:szCs w:val="24"/>
          <w:lang w:eastAsia="ru-RU"/>
        </w:rPr>
        <w:t>.</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В 2016 году рост кредитов с просроченными сроками погашения составил 50,4 </w:t>
      </w:r>
      <w:proofErr w:type="spellStart"/>
      <w:r w:rsidRPr="00261089">
        <w:rPr>
          <w:rFonts w:ascii="Times New Roman" w:eastAsia="Times New Roman" w:hAnsi="Times New Roman" w:cs="Times New Roman"/>
          <w:color w:val="000000"/>
          <w:sz w:val="24"/>
          <w:szCs w:val="24"/>
          <w:lang w:eastAsia="ru-RU"/>
        </w:rPr>
        <w:t>млрд.руб</w:t>
      </w:r>
      <w:proofErr w:type="spellEnd"/>
      <w:r w:rsidRPr="00261089">
        <w:rPr>
          <w:rFonts w:ascii="Times New Roman" w:eastAsia="Times New Roman" w:hAnsi="Times New Roman" w:cs="Times New Roman"/>
          <w:color w:val="000000"/>
          <w:sz w:val="24"/>
          <w:szCs w:val="24"/>
          <w:lang w:eastAsia="ru-RU"/>
        </w:rPr>
        <w:t xml:space="preserve">., а в 2017 году сумма просроченных кредитов снизилась на 245,1 </w:t>
      </w:r>
      <w:proofErr w:type="spellStart"/>
      <w:r w:rsidRPr="00261089">
        <w:rPr>
          <w:rFonts w:ascii="Times New Roman" w:eastAsia="Times New Roman" w:hAnsi="Times New Roman" w:cs="Times New Roman"/>
          <w:color w:val="000000"/>
          <w:sz w:val="24"/>
          <w:szCs w:val="24"/>
          <w:lang w:eastAsia="ru-RU"/>
        </w:rPr>
        <w:t>млрд.руб</w:t>
      </w:r>
      <w:proofErr w:type="spellEnd"/>
      <w:r w:rsidRPr="00261089">
        <w:rPr>
          <w:rFonts w:ascii="Times New Roman" w:eastAsia="Times New Roman" w:hAnsi="Times New Roman" w:cs="Times New Roman"/>
          <w:color w:val="000000"/>
          <w:sz w:val="24"/>
          <w:szCs w:val="24"/>
          <w:lang w:eastAsia="ru-RU"/>
        </w:rPr>
        <w:t xml:space="preserve">., что положительно характеризует деятельность банка по взысканию просроченной задолженности, а также свидетельствует об эффективности осуществленного в 2017 году </w:t>
      </w:r>
      <w:r w:rsidRPr="00261089">
        <w:rPr>
          <w:rFonts w:ascii="Times New Roman" w:eastAsia="Times New Roman" w:hAnsi="Times New Roman" w:cs="Times New Roman"/>
          <w:color w:val="000000"/>
          <w:sz w:val="24"/>
          <w:szCs w:val="24"/>
          <w:lang w:eastAsia="ru-RU"/>
        </w:rPr>
        <w:lastRenderedPageBreak/>
        <w:t>перехода на новую целевую автоматизированную систему по взысканию проблемной задолженности.</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В 2016 году на фоне значительного роста ссудной задолженности с просроченными сроками погашения доля просроченных кредитов ПАО «Сбербанк России» в общей их сумме также увеличивается на 0,69% и составляет 4,87%, а в 2017 году сокращается на 1,24% до 3,63%. </w:t>
      </w:r>
    </w:p>
    <w:p w:rsidR="00261089" w:rsidRPr="00261089" w:rsidRDefault="00261089" w:rsidP="00BD6663">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Анализ кредитного портфеля банка по просроченным срокам погашения (табл. 6) [3] показал, что сумма просроченной ссудной задолженности в ПАО «Сбербанк России» увеличивается в 2016 году на 170,9 </w:t>
      </w:r>
      <w:proofErr w:type="spellStart"/>
      <w:r w:rsidRPr="00261089">
        <w:rPr>
          <w:rFonts w:ascii="Times New Roman" w:eastAsia="Times New Roman" w:hAnsi="Times New Roman" w:cs="Times New Roman"/>
          <w:color w:val="000000"/>
          <w:sz w:val="24"/>
          <w:szCs w:val="24"/>
          <w:lang w:eastAsia="ru-RU"/>
        </w:rPr>
        <w:t>млрд.руб</w:t>
      </w:r>
      <w:proofErr w:type="spellEnd"/>
      <w:r w:rsidRPr="00261089">
        <w:rPr>
          <w:rFonts w:ascii="Times New Roman" w:eastAsia="Times New Roman" w:hAnsi="Times New Roman" w:cs="Times New Roman"/>
          <w:color w:val="000000"/>
          <w:sz w:val="24"/>
          <w:szCs w:val="24"/>
          <w:lang w:eastAsia="ru-RU"/>
        </w:rPr>
        <w:t>. (или на 24,4%).</w:t>
      </w:r>
    </w:p>
    <w:p w:rsidR="00BD6663" w:rsidRDefault="00BD6663" w:rsidP="00261089">
      <w:pPr>
        <w:spacing w:after="0" w:line="360" w:lineRule="auto"/>
        <w:rPr>
          <w:rFonts w:ascii="Times New Roman" w:eastAsia="Times New Roman" w:hAnsi="Times New Roman" w:cs="Times New Roman"/>
          <w:bCs/>
          <w:color w:val="000000"/>
          <w:sz w:val="24"/>
          <w:szCs w:val="24"/>
          <w:lang w:eastAsia="ru-RU"/>
        </w:rPr>
      </w:pPr>
    </w:p>
    <w:p w:rsidR="00261089" w:rsidRPr="00261089" w:rsidRDefault="00261089" w:rsidP="00261089">
      <w:pPr>
        <w:spacing w:after="0" w:line="360" w:lineRule="auto"/>
        <w:rPr>
          <w:rFonts w:ascii="Times New Roman" w:eastAsia="Times New Roman" w:hAnsi="Times New Roman" w:cs="Times New Roman"/>
          <w:bCs/>
          <w:color w:val="000000"/>
          <w:sz w:val="24"/>
          <w:szCs w:val="24"/>
          <w:lang w:eastAsia="ru-RU"/>
        </w:rPr>
      </w:pPr>
      <w:r w:rsidRPr="00261089">
        <w:rPr>
          <w:rFonts w:ascii="Times New Roman" w:eastAsia="Times New Roman" w:hAnsi="Times New Roman" w:cs="Times New Roman"/>
          <w:bCs/>
          <w:color w:val="000000"/>
          <w:sz w:val="24"/>
          <w:szCs w:val="24"/>
          <w:lang w:eastAsia="ru-RU"/>
        </w:rPr>
        <w:t>Таблица 6 – Динамика и структура просроченных кредитов в Сбербанке за 201</w:t>
      </w:r>
      <w:r w:rsidR="00CD1DC3">
        <w:rPr>
          <w:rFonts w:ascii="Times New Roman" w:eastAsia="Times New Roman" w:hAnsi="Times New Roman" w:cs="Times New Roman"/>
          <w:bCs/>
          <w:color w:val="000000"/>
          <w:sz w:val="24"/>
          <w:szCs w:val="24"/>
          <w:lang w:eastAsia="ru-RU"/>
        </w:rPr>
        <w:t>5</w:t>
      </w:r>
      <w:r w:rsidRPr="00261089">
        <w:rPr>
          <w:rFonts w:ascii="Times New Roman" w:eastAsia="Times New Roman" w:hAnsi="Times New Roman" w:cs="Times New Roman"/>
          <w:bCs/>
          <w:color w:val="000000"/>
          <w:sz w:val="24"/>
          <w:szCs w:val="24"/>
          <w:lang w:eastAsia="ru-RU"/>
        </w:rPr>
        <w:t>-201</w:t>
      </w:r>
      <w:r w:rsidR="00CD1DC3">
        <w:rPr>
          <w:rFonts w:ascii="Times New Roman" w:eastAsia="Times New Roman" w:hAnsi="Times New Roman" w:cs="Times New Roman"/>
          <w:bCs/>
          <w:color w:val="000000"/>
          <w:sz w:val="24"/>
          <w:szCs w:val="24"/>
          <w:lang w:eastAsia="ru-RU"/>
        </w:rPr>
        <w:t>7</w:t>
      </w:r>
      <w:r w:rsidRPr="00261089">
        <w:rPr>
          <w:rFonts w:ascii="Times New Roman" w:eastAsia="Times New Roman" w:hAnsi="Times New Roman" w:cs="Times New Roman"/>
          <w:bCs/>
          <w:color w:val="000000"/>
          <w:sz w:val="24"/>
          <w:szCs w:val="24"/>
          <w:lang w:eastAsia="ru-RU"/>
        </w:rPr>
        <w:t xml:space="preserve"> гг.</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668"/>
        <w:gridCol w:w="850"/>
        <w:gridCol w:w="709"/>
        <w:gridCol w:w="850"/>
        <w:gridCol w:w="709"/>
        <w:gridCol w:w="851"/>
        <w:gridCol w:w="708"/>
        <w:gridCol w:w="851"/>
        <w:gridCol w:w="709"/>
        <w:gridCol w:w="850"/>
        <w:gridCol w:w="851"/>
      </w:tblGrid>
      <w:tr w:rsidR="00261089" w:rsidRPr="00261089" w:rsidTr="000A3636">
        <w:tc>
          <w:tcPr>
            <w:tcW w:w="1668" w:type="dxa"/>
            <w:vMerge w:val="restart"/>
            <w:tcBorders>
              <w:top w:val="single" w:sz="4" w:space="0" w:color="auto"/>
              <w:left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Показатели</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CD1DC3">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w:t>
            </w:r>
            <w:r w:rsidR="00CD1DC3">
              <w:rPr>
                <w:rFonts w:ascii="Times New Roman" w:eastAsia="Times New Roman" w:hAnsi="Times New Roman" w:cs="Times New Roman"/>
                <w:color w:val="000000"/>
                <w:sz w:val="20"/>
                <w:szCs w:val="20"/>
                <w:lang w:eastAsia="ru-RU"/>
              </w:rPr>
              <w:t>5</w:t>
            </w:r>
            <w:r w:rsidRPr="00261089">
              <w:rPr>
                <w:rFonts w:ascii="Times New Roman" w:eastAsia="Times New Roman" w:hAnsi="Times New Roman" w:cs="Times New Roman"/>
                <w:color w:val="000000"/>
                <w:sz w:val="20"/>
                <w:szCs w:val="20"/>
                <w:lang w:eastAsia="ru-RU"/>
              </w:rPr>
              <w:t xml:space="preserve"> г</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CD1DC3">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w:t>
            </w:r>
            <w:r w:rsidR="00CD1DC3">
              <w:rPr>
                <w:rFonts w:ascii="Times New Roman" w:eastAsia="Times New Roman" w:hAnsi="Times New Roman" w:cs="Times New Roman"/>
                <w:color w:val="000000"/>
                <w:sz w:val="20"/>
                <w:szCs w:val="20"/>
                <w:lang w:eastAsia="ru-RU"/>
              </w:rPr>
              <w:t>6</w:t>
            </w:r>
            <w:r w:rsidRPr="00261089">
              <w:rPr>
                <w:rFonts w:ascii="Times New Roman" w:eastAsia="Times New Roman" w:hAnsi="Times New Roman" w:cs="Times New Roman"/>
                <w:color w:val="000000"/>
                <w:sz w:val="20"/>
                <w:szCs w:val="20"/>
                <w:lang w:eastAsia="ru-RU"/>
              </w:rPr>
              <w:t xml:space="preserve"> г</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CD1DC3">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w:t>
            </w:r>
            <w:r w:rsidR="00CD1DC3">
              <w:rPr>
                <w:rFonts w:ascii="Times New Roman" w:eastAsia="Times New Roman" w:hAnsi="Times New Roman" w:cs="Times New Roman"/>
                <w:color w:val="000000"/>
                <w:sz w:val="20"/>
                <w:szCs w:val="20"/>
                <w:lang w:eastAsia="ru-RU"/>
              </w:rPr>
              <w:t>7</w:t>
            </w:r>
            <w:r w:rsidRPr="00261089">
              <w:rPr>
                <w:rFonts w:ascii="Times New Roman" w:eastAsia="Times New Roman" w:hAnsi="Times New Roman" w:cs="Times New Roman"/>
                <w:color w:val="000000"/>
                <w:sz w:val="20"/>
                <w:szCs w:val="20"/>
                <w:lang w:eastAsia="ru-RU"/>
              </w:rPr>
              <w:t xml:space="preserve"> г</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CD1DC3">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Изменение</w:t>
            </w:r>
            <w:r w:rsidRPr="00261089">
              <w:rPr>
                <w:rFonts w:ascii="Times New Roman" w:eastAsia="Times New Roman" w:hAnsi="Times New Roman" w:cs="Times New Roman"/>
                <w:color w:val="000000"/>
                <w:sz w:val="20"/>
                <w:szCs w:val="20"/>
                <w:lang w:eastAsia="ru-RU"/>
              </w:rPr>
              <w:br/>
              <w:t>201</w:t>
            </w:r>
            <w:r w:rsidR="00CD1DC3">
              <w:rPr>
                <w:rFonts w:ascii="Times New Roman" w:eastAsia="Times New Roman" w:hAnsi="Times New Roman" w:cs="Times New Roman"/>
                <w:color w:val="000000"/>
                <w:sz w:val="20"/>
                <w:szCs w:val="20"/>
                <w:lang w:eastAsia="ru-RU"/>
              </w:rPr>
              <w:t>6</w:t>
            </w:r>
            <w:r w:rsidRPr="00261089">
              <w:rPr>
                <w:rFonts w:ascii="Times New Roman" w:eastAsia="Times New Roman" w:hAnsi="Times New Roman" w:cs="Times New Roman"/>
                <w:color w:val="000000"/>
                <w:sz w:val="20"/>
                <w:szCs w:val="20"/>
                <w:lang w:eastAsia="ru-RU"/>
              </w:rPr>
              <w:t xml:space="preserve"> к 201</w:t>
            </w:r>
            <w:r w:rsidR="00CD1DC3">
              <w:rPr>
                <w:rFonts w:ascii="Times New Roman" w:eastAsia="Times New Roman" w:hAnsi="Times New Roman" w:cs="Times New Roman"/>
                <w:color w:val="000000"/>
                <w:sz w:val="20"/>
                <w:szCs w:val="20"/>
                <w:lang w:eastAsia="ru-RU"/>
              </w:rPr>
              <w:t>5</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CD1DC3">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Изменение 201</w:t>
            </w:r>
            <w:r w:rsidR="00CD1DC3">
              <w:rPr>
                <w:rFonts w:ascii="Times New Roman" w:eastAsia="Times New Roman" w:hAnsi="Times New Roman" w:cs="Times New Roman"/>
                <w:color w:val="000000"/>
                <w:sz w:val="20"/>
                <w:szCs w:val="20"/>
                <w:lang w:eastAsia="ru-RU"/>
              </w:rPr>
              <w:t>7</w:t>
            </w:r>
            <w:r w:rsidRPr="00261089">
              <w:rPr>
                <w:rFonts w:ascii="Times New Roman" w:eastAsia="Times New Roman" w:hAnsi="Times New Roman" w:cs="Times New Roman"/>
                <w:color w:val="000000"/>
                <w:sz w:val="20"/>
                <w:szCs w:val="20"/>
                <w:lang w:eastAsia="ru-RU"/>
              </w:rPr>
              <w:br/>
              <w:t>к 201</w:t>
            </w:r>
            <w:r w:rsidR="00CD1DC3">
              <w:rPr>
                <w:rFonts w:ascii="Times New Roman" w:eastAsia="Times New Roman" w:hAnsi="Times New Roman" w:cs="Times New Roman"/>
                <w:color w:val="000000"/>
                <w:sz w:val="20"/>
                <w:szCs w:val="20"/>
                <w:lang w:eastAsia="ru-RU"/>
              </w:rPr>
              <w:t>6</w:t>
            </w:r>
          </w:p>
        </w:tc>
      </w:tr>
      <w:tr w:rsidR="00261089" w:rsidRPr="00261089" w:rsidTr="000A3636">
        <w:tc>
          <w:tcPr>
            <w:tcW w:w="1668" w:type="dxa"/>
            <w:vMerge/>
            <w:tcBorders>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850"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 к итогу</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Млрд. руб.</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w:t>
            </w:r>
          </w:p>
        </w:tc>
      </w:tr>
      <w:tr w:rsidR="00261089" w:rsidRPr="00261089" w:rsidTr="000A3636">
        <w:tc>
          <w:tcPr>
            <w:tcW w:w="1668"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С задержкой платежа до 30 дней </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254,4</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36,31</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201,2</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23,09</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152,3</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24,32</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-53,2</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-20,9</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-48,9</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-24,3</w:t>
            </w:r>
          </w:p>
        </w:tc>
      </w:tr>
      <w:tr w:rsidR="00261089" w:rsidRPr="00261089" w:rsidTr="000A3636">
        <w:tc>
          <w:tcPr>
            <w:tcW w:w="1668"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С задержкой платежа от 31 до 90 дней </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97,8</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13,95</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115,8</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13,29</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60,6</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9,68</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18,0</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18,45</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-55,1</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-47,62</w:t>
            </w:r>
          </w:p>
        </w:tc>
      </w:tr>
      <w:tr w:rsidR="00261089" w:rsidRPr="00261089" w:rsidTr="000A3636">
        <w:tc>
          <w:tcPr>
            <w:tcW w:w="1668"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С задержкой от 91 до 180 дней </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52,5</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7,50</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104,7</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12,02</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33,1</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5,29</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52,2</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99,47</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-71,6</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-68,4</w:t>
            </w:r>
          </w:p>
        </w:tc>
      </w:tr>
      <w:tr w:rsidR="00261089" w:rsidRPr="00261089" w:rsidTr="000A3636">
        <w:tc>
          <w:tcPr>
            <w:tcW w:w="1668"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С задержкой свыше 180 дней </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295,9</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42,24</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449,7</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51,61</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380,2</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60,71</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153,8</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51,96</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-89,5</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-15,45</w:t>
            </w:r>
          </w:p>
        </w:tc>
      </w:tr>
      <w:tr w:rsidR="00261089" w:rsidRPr="00261089" w:rsidTr="000A3636">
        <w:tc>
          <w:tcPr>
            <w:tcW w:w="1668"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 xml:space="preserve">Итого просроченные кредиты </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700,5</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871,4</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626,3</w:t>
            </w:r>
          </w:p>
        </w:tc>
        <w:tc>
          <w:tcPr>
            <w:tcW w:w="708"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170,9</w:t>
            </w:r>
          </w:p>
        </w:tc>
        <w:tc>
          <w:tcPr>
            <w:tcW w:w="709"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24,39</w:t>
            </w:r>
          </w:p>
        </w:tc>
        <w:tc>
          <w:tcPr>
            <w:tcW w:w="850" w:type="dxa"/>
            <w:tcBorders>
              <w:top w:val="single" w:sz="4" w:space="0" w:color="auto"/>
              <w:left w:val="single" w:sz="4" w:space="0" w:color="auto"/>
              <w:bottom w:val="single" w:sz="4" w:space="0" w:color="auto"/>
              <w:right w:val="single" w:sz="4" w:space="0" w:color="auto"/>
            </w:tcBorders>
            <w:vAlign w:val="center"/>
            <w:hideMark/>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color w:val="000000"/>
                <w:sz w:val="20"/>
                <w:szCs w:val="20"/>
                <w:lang w:eastAsia="ru-RU"/>
              </w:rPr>
              <w:t>-245,1</w:t>
            </w:r>
          </w:p>
        </w:tc>
        <w:tc>
          <w:tcPr>
            <w:tcW w:w="851" w:type="dxa"/>
            <w:tcBorders>
              <w:top w:val="single" w:sz="4" w:space="0" w:color="auto"/>
              <w:left w:val="single" w:sz="4" w:space="0" w:color="auto"/>
              <w:bottom w:val="single" w:sz="4" w:space="0" w:color="auto"/>
              <w:right w:val="single" w:sz="4" w:space="0" w:color="auto"/>
            </w:tcBorders>
            <w:vAlign w:val="center"/>
          </w:tcPr>
          <w:p w:rsidR="00261089" w:rsidRPr="00261089" w:rsidRDefault="00261089" w:rsidP="00261089">
            <w:pPr>
              <w:spacing w:after="0" w:line="240" w:lineRule="auto"/>
              <w:jc w:val="center"/>
              <w:rPr>
                <w:rFonts w:ascii="Times New Roman" w:eastAsia="Times New Roman" w:hAnsi="Times New Roman" w:cs="Times New Roman"/>
                <w:sz w:val="20"/>
                <w:szCs w:val="20"/>
                <w:lang w:eastAsia="ru-RU"/>
              </w:rPr>
            </w:pPr>
            <w:r w:rsidRPr="00261089">
              <w:rPr>
                <w:rFonts w:ascii="Times New Roman" w:eastAsia="Times New Roman" w:hAnsi="Times New Roman" w:cs="Times New Roman"/>
                <w:sz w:val="20"/>
                <w:szCs w:val="20"/>
                <w:lang w:eastAsia="ru-RU"/>
              </w:rPr>
              <w:t>-28,13</w:t>
            </w:r>
          </w:p>
        </w:tc>
      </w:tr>
    </w:tbl>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Наибольший рост задолженности наблюдается в категории «с задержкой платежа</w:t>
      </w:r>
      <w:r w:rsidRPr="00261089">
        <w:rPr>
          <w:rFonts w:ascii="Times New Roman" w:eastAsia="Times New Roman" w:hAnsi="Times New Roman" w:cs="Times New Roman"/>
          <w:color w:val="000000"/>
          <w:sz w:val="24"/>
          <w:szCs w:val="24"/>
          <w:lang w:eastAsia="ru-RU"/>
        </w:rPr>
        <w:br/>
        <w:t xml:space="preserve">от 91 до 180 дней - 99,5%. В 2016 году снижение наблюдается только по кредитам с просроченным сроком погашения до 30 дней сумма которых снилась на 20,9%. По всем остальным категориям просроченных кредитов наблюдается увеличение. Так кредиты с задержкой платежа от 31 до 90 дней увеличились на 18,5%, а рост кредитов с задержкой платежа свыше 180 дней составил 52%. </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Однако в 2017 году новых просроченных кредитов, как следует из представленных данных не было, в связи с чем по всем категориям наблюдается снижение кредитов с просроченным сроком погашения, что позволяет признать кредитную политику ПАО «Сбербанк России» довольно продуктивной. </w:t>
      </w:r>
    </w:p>
    <w:p w:rsidR="000A3636" w:rsidRDefault="000A3636" w:rsidP="00261089">
      <w:pPr>
        <w:spacing w:after="0" w:line="360" w:lineRule="auto"/>
        <w:ind w:firstLine="708"/>
        <w:jc w:val="both"/>
        <w:rPr>
          <w:rFonts w:ascii="Times New Roman" w:eastAsia="Times New Roman" w:hAnsi="Times New Roman" w:cs="Times New Roman"/>
          <w:color w:val="000000"/>
          <w:sz w:val="24"/>
          <w:szCs w:val="24"/>
          <w:lang w:eastAsia="ru-RU"/>
        </w:rPr>
      </w:pPr>
    </w:p>
    <w:p w:rsidR="000A3636" w:rsidRDefault="000A3636" w:rsidP="00261089">
      <w:pPr>
        <w:spacing w:after="0" w:line="360" w:lineRule="auto"/>
        <w:ind w:firstLine="708"/>
        <w:jc w:val="both"/>
        <w:rPr>
          <w:rFonts w:ascii="Times New Roman" w:eastAsia="Times New Roman" w:hAnsi="Times New Roman" w:cs="Times New Roman"/>
          <w:color w:val="000000"/>
          <w:sz w:val="24"/>
          <w:szCs w:val="24"/>
          <w:lang w:eastAsia="ru-RU"/>
        </w:rPr>
      </w:pPr>
    </w:p>
    <w:p w:rsidR="000A3636" w:rsidRDefault="000A3636" w:rsidP="00261089">
      <w:pPr>
        <w:spacing w:after="0" w:line="360" w:lineRule="auto"/>
        <w:ind w:firstLine="708"/>
        <w:jc w:val="both"/>
        <w:rPr>
          <w:rFonts w:ascii="Times New Roman" w:eastAsia="Times New Roman" w:hAnsi="Times New Roman" w:cs="Times New Roman"/>
          <w:color w:val="000000"/>
          <w:sz w:val="24"/>
          <w:szCs w:val="24"/>
          <w:lang w:eastAsia="ru-RU"/>
        </w:rPr>
      </w:pPr>
    </w:p>
    <w:p w:rsidR="00CD1DC3" w:rsidRDefault="00CD1DC3" w:rsidP="00344A45">
      <w:pPr>
        <w:spacing w:after="0" w:line="360" w:lineRule="auto"/>
        <w:ind w:firstLine="708"/>
        <w:jc w:val="both"/>
        <w:rPr>
          <w:rFonts w:ascii="Times New Roman" w:hAnsi="Times New Roman"/>
          <w:sz w:val="24"/>
          <w:lang w:eastAsia="ru-RU"/>
        </w:rPr>
      </w:pPr>
      <w:r>
        <w:rPr>
          <w:rFonts w:ascii="Times New Roman" w:hAnsi="Times New Roman"/>
          <w:sz w:val="24"/>
          <w:lang w:eastAsia="ru-RU"/>
        </w:rPr>
        <w:lastRenderedPageBreak/>
        <w:t xml:space="preserve">В качестве рекомендаций по совершенствованию кредитной политики </w:t>
      </w:r>
      <w:r w:rsidR="00344A45" w:rsidRPr="00344A45">
        <w:rPr>
          <w:rFonts w:ascii="Times New Roman" w:hAnsi="Times New Roman"/>
          <w:sz w:val="24"/>
          <w:lang w:eastAsia="ru-RU"/>
        </w:rPr>
        <w:t>ПАО «Сбербанк»</w:t>
      </w:r>
      <w:r>
        <w:rPr>
          <w:rFonts w:ascii="Times New Roman" w:hAnsi="Times New Roman"/>
          <w:sz w:val="24"/>
          <w:lang w:eastAsia="ru-RU"/>
        </w:rPr>
        <w:t xml:space="preserve"> можно предложить следующие методы: </w:t>
      </w:r>
    </w:p>
    <w:p w:rsidR="00344A45" w:rsidRPr="00344A45" w:rsidRDefault="00CD1DC3" w:rsidP="00344A45">
      <w:pPr>
        <w:spacing w:after="0" w:line="360" w:lineRule="auto"/>
        <w:ind w:firstLine="708"/>
        <w:jc w:val="both"/>
        <w:rPr>
          <w:rFonts w:ascii="Times New Roman" w:hAnsi="Times New Roman"/>
          <w:sz w:val="24"/>
          <w:lang w:eastAsia="ru-RU"/>
        </w:rPr>
      </w:pPr>
      <w:r>
        <w:rPr>
          <w:rFonts w:ascii="Times New Roman" w:hAnsi="Times New Roman"/>
          <w:sz w:val="24"/>
          <w:lang w:eastAsia="ru-RU"/>
        </w:rPr>
        <w:t>Метод минимизации кредитных рисков. П</w:t>
      </w:r>
      <w:r w:rsidR="00344A45" w:rsidRPr="00344A45">
        <w:rPr>
          <w:rFonts w:ascii="Times New Roman" w:hAnsi="Times New Roman"/>
          <w:sz w:val="24"/>
          <w:lang w:eastAsia="ru-RU"/>
        </w:rPr>
        <w:t>ри минимизации важно различать 2</w:t>
      </w:r>
      <w:r>
        <w:rPr>
          <w:rFonts w:ascii="Times New Roman" w:hAnsi="Times New Roman"/>
          <w:sz w:val="24"/>
          <w:lang w:eastAsia="ru-RU"/>
        </w:rPr>
        <w:t xml:space="preserve"> ее</w:t>
      </w:r>
      <w:r w:rsidR="00344A45" w:rsidRPr="00344A45">
        <w:rPr>
          <w:rFonts w:ascii="Times New Roman" w:hAnsi="Times New Roman"/>
          <w:sz w:val="24"/>
          <w:lang w:eastAsia="ru-RU"/>
        </w:rPr>
        <w:t xml:space="preserve"> уровня – на уровне кредитного портфеля банка и на уровне отдельной ссуды в зависимости от уровня управления кредитным риском. Основные возможные способы снижения кредитного риска для «Сбербанка» представлены в таблице </w:t>
      </w:r>
      <w:r>
        <w:rPr>
          <w:rFonts w:ascii="Times New Roman" w:hAnsi="Times New Roman"/>
          <w:sz w:val="24"/>
          <w:lang w:eastAsia="ru-RU"/>
        </w:rPr>
        <w:t>7</w:t>
      </w:r>
    </w:p>
    <w:p w:rsidR="00376430" w:rsidRDefault="00376430" w:rsidP="00344A45">
      <w:pPr>
        <w:spacing w:after="0" w:line="360" w:lineRule="auto"/>
        <w:ind w:firstLine="708"/>
        <w:jc w:val="both"/>
        <w:rPr>
          <w:rFonts w:ascii="Times New Roman" w:hAnsi="Times New Roman"/>
          <w:sz w:val="24"/>
          <w:lang w:eastAsia="ru-RU"/>
        </w:rPr>
      </w:pPr>
    </w:p>
    <w:p w:rsidR="00344A45" w:rsidRPr="00344A45" w:rsidRDefault="00344A45" w:rsidP="00344A45">
      <w:pPr>
        <w:spacing w:after="0" w:line="360" w:lineRule="auto"/>
        <w:ind w:firstLine="708"/>
        <w:jc w:val="both"/>
        <w:rPr>
          <w:rFonts w:ascii="Times New Roman" w:hAnsi="Times New Roman"/>
          <w:sz w:val="24"/>
          <w:lang w:eastAsia="ru-RU"/>
        </w:rPr>
      </w:pPr>
      <w:r w:rsidRPr="00344A45">
        <w:rPr>
          <w:rFonts w:ascii="Times New Roman" w:hAnsi="Times New Roman"/>
          <w:sz w:val="24"/>
          <w:lang w:eastAsia="ru-RU"/>
        </w:rPr>
        <w:t xml:space="preserve">Таблица </w:t>
      </w:r>
      <w:r w:rsidR="00CD1DC3">
        <w:rPr>
          <w:rFonts w:ascii="Times New Roman" w:hAnsi="Times New Roman"/>
          <w:sz w:val="24"/>
          <w:lang w:eastAsia="ru-RU"/>
        </w:rPr>
        <w:t>7</w:t>
      </w:r>
      <w:r w:rsidRPr="00344A45">
        <w:rPr>
          <w:rFonts w:ascii="Times New Roman" w:hAnsi="Times New Roman"/>
          <w:sz w:val="24"/>
          <w:lang w:eastAsia="ru-RU"/>
        </w:rPr>
        <w:t xml:space="preserve"> – Классификация способов минимизации кредитного риска для ПАО «Сбербанк»</w:t>
      </w:r>
    </w:p>
    <w:tbl>
      <w:tblPr>
        <w:tblStyle w:val="a3"/>
        <w:tblW w:w="0" w:type="auto"/>
        <w:tblLook w:val="04A0" w:firstRow="1" w:lastRow="0" w:firstColumn="1" w:lastColumn="0" w:noHBand="0" w:noVBand="1"/>
      </w:tblPr>
      <w:tblGrid>
        <w:gridCol w:w="4785"/>
        <w:gridCol w:w="4786"/>
      </w:tblGrid>
      <w:tr w:rsidR="00344A45" w:rsidRPr="00344A45" w:rsidTr="00CD1DC3">
        <w:tc>
          <w:tcPr>
            <w:tcW w:w="4785" w:type="dxa"/>
            <w:vAlign w:val="center"/>
          </w:tcPr>
          <w:p w:rsidR="00344A45" w:rsidRPr="00344A45" w:rsidRDefault="00344A45" w:rsidP="00344A45">
            <w:pPr>
              <w:spacing w:line="360" w:lineRule="auto"/>
              <w:jc w:val="center"/>
              <w:rPr>
                <w:rFonts w:ascii="Times New Roman" w:hAnsi="Times New Roman"/>
                <w:sz w:val="20"/>
                <w:lang w:eastAsia="ru-RU"/>
              </w:rPr>
            </w:pPr>
            <w:r w:rsidRPr="00344A45">
              <w:rPr>
                <w:rFonts w:ascii="Times New Roman" w:hAnsi="Times New Roman"/>
                <w:sz w:val="20"/>
                <w:lang w:eastAsia="ru-RU"/>
              </w:rPr>
              <w:t>Минимизация риска отдельного инструмента</w:t>
            </w:r>
          </w:p>
        </w:tc>
        <w:tc>
          <w:tcPr>
            <w:tcW w:w="4786" w:type="dxa"/>
            <w:vAlign w:val="center"/>
          </w:tcPr>
          <w:p w:rsidR="00344A45" w:rsidRPr="00344A45" w:rsidRDefault="00344A45" w:rsidP="00344A45">
            <w:pPr>
              <w:spacing w:line="360" w:lineRule="auto"/>
              <w:jc w:val="center"/>
              <w:rPr>
                <w:rFonts w:ascii="Times New Roman" w:hAnsi="Times New Roman"/>
                <w:sz w:val="20"/>
                <w:lang w:eastAsia="ru-RU"/>
              </w:rPr>
            </w:pPr>
            <w:r w:rsidRPr="00344A45">
              <w:rPr>
                <w:rFonts w:ascii="Times New Roman" w:hAnsi="Times New Roman"/>
                <w:sz w:val="20"/>
                <w:lang w:eastAsia="ru-RU"/>
              </w:rPr>
              <w:t>Минимизация риска кредитного портфеля</w:t>
            </w:r>
          </w:p>
        </w:tc>
      </w:tr>
      <w:tr w:rsidR="00344A45" w:rsidRPr="00344A45" w:rsidTr="00CD1DC3">
        <w:tc>
          <w:tcPr>
            <w:tcW w:w="4785" w:type="dxa"/>
            <w:vAlign w:val="center"/>
          </w:tcPr>
          <w:p w:rsidR="00344A45" w:rsidRPr="00344A45" w:rsidRDefault="00344A45" w:rsidP="00344A45">
            <w:pPr>
              <w:spacing w:line="360" w:lineRule="auto"/>
              <w:jc w:val="center"/>
              <w:rPr>
                <w:rFonts w:ascii="Times New Roman" w:hAnsi="Times New Roman"/>
                <w:sz w:val="20"/>
                <w:lang w:eastAsia="ru-RU"/>
              </w:rPr>
            </w:pPr>
            <w:r w:rsidRPr="00344A45">
              <w:rPr>
                <w:rFonts w:ascii="Times New Roman" w:hAnsi="Times New Roman"/>
                <w:sz w:val="20"/>
                <w:lang w:eastAsia="ru-RU"/>
              </w:rPr>
              <w:t>Оптимизация компонентов</w:t>
            </w:r>
          </w:p>
        </w:tc>
        <w:tc>
          <w:tcPr>
            <w:tcW w:w="4786" w:type="dxa"/>
            <w:vAlign w:val="center"/>
          </w:tcPr>
          <w:p w:rsidR="00344A45" w:rsidRPr="00344A45" w:rsidRDefault="00344A45" w:rsidP="00344A45">
            <w:pPr>
              <w:spacing w:line="360" w:lineRule="auto"/>
              <w:jc w:val="center"/>
              <w:rPr>
                <w:rFonts w:ascii="Times New Roman" w:hAnsi="Times New Roman"/>
                <w:sz w:val="20"/>
                <w:lang w:eastAsia="ru-RU"/>
              </w:rPr>
            </w:pPr>
            <w:r w:rsidRPr="00344A45">
              <w:rPr>
                <w:rFonts w:ascii="Times New Roman" w:hAnsi="Times New Roman"/>
                <w:sz w:val="20"/>
                <w:lang w:eastAsia="ru-RU"/>
              </w:rPr>
              <w:t>Диверсификация</w:t>
            </w:r>
          </w:p>
        </w:tc>
      </w:tr>
      <w:tr w:rsidR="00344A45" w:rsidRPr="00344A45" w:rsidTr="00CD1DC3">
        <w:tc>
          <w:tcPr>
            <w:tcW w:w="4785" w:type="dxa"/>
            <w:vAlign w:val="center"/>
          </w:tcPr>
          <w:p w:rsidR="00344A45" w:rsidRPr="00344A45" w:rsidRDefault="00344A45" w:rsidP="00344A45">
            <w:pPr>
              <w:spacing w:line="360" w:lineRule="auto"/>
              <w:jc w:val="center"/>
              <w:rPr>
                <w:rFonts w:ascii="Times New Roman" w:hAnsi="Times New Roman"/>
                <w:sz w:val="20"/>
                <w:lang w:eastAsia="ru-RU"/>
              </w:rPr>
            </w:pPr>
            <w:r w:rsidRPr="00344A45">
              <w:rPr>
                <w:rFonts w:ascii="Times New Roman" w:hAnsi="Times New Roman"/>
                <w:sz w:val="20"/>
                <w:lang w:eastAsia="ru-RU"/>
              </w:rPr>
              <w:t>Страхование</w:t>
            </w:r>
          </w:p>
        </w:tc>
        <w:tc>
          <w:tcPr>
            <w:tcW w:w="4786" w:type="dxa"/>
            <w:vAlign w:val="center"/>
          </w:tcPr>
          <w:p w:rsidR="00344A45" w:rsidRPr="00344A45" w:rsidRDefault="00344A45" w:rsidP="00344A45">
            <w:pPr>
              <w:spacing w:line="360" w:lineRule="auto"/>
              <w:jc w:val="center"/>
              <w:rPr>
                <w:rFonts w:ascii="Times New Roman" w:hAnsi="Times New Roman"/>
                <w:sz w:val="20"/>
                <w:lang w:eastAsia="ru-RU"/>
              </w:rPr>
            </w:pPr>
            <w:proofErr w:type="spellStart"/>
            <w:r w:rsidRPr="00344A45">
              <w:rPr>
                <w:rFonts w:ascii="Times New Roman" w:hAnsi="Times New Roman"/>
                <w:sz w:val="20"/>
                <w:lang w:eastAsia="ru-RU"/>
              </w:rPr>
              <w:t>Лимитирование</w:t>
            </w:r>
            <w:proofErr w:type="spellEnd"/>
          </w:p>
        </w:tc>
      </w:tr>
      <w:tr w:rsidR="00344A45" w:rsidRPr="00344A45" w:rsidTr="00CD1DC3">
        <w:tc>
          <w:tcPr>
            <w:tcW w:w="4785" w:type="dxa"/>
            <w:vAlign w:val="center"/>
          </w:tcPr>
          <w:p w:rsidR="00344A45" w:rsidRPr="00344A45" w:rsidRDefault="00344A45" w:rsidP="00344A45">
            <w:pPr>
              <w:spacing w:line="360" w:lineRule="auto"/>
              <w:jc w:val="center"/>
              <w:rPr>
                <w:rFonts w:ascii="Times New Roman" w:hAnsi="Times New Roman"/>
                <w:sz w:val="20"/>
                <w:lang w:eastAsia="ru-RU"/>
              </w:rPr>
            </w:pPr>
            <w:r w:rsidRPr="00344A45">
              <w:rPr>
                <w:rFonts w:ascii="Times New Roman" w:hAnsi="Times New Roman"/>
                <w:sz w:val="20"/>
                <w:lang w:eastAsia="ru-RU"/>
              </w:rPr>
              <w:t>Хеджирование</w:t>
            </w:r>
          </w:p>
        </w:tc>
        <w:tc>
          <w:tcPr>
            <w:tcW w:w="4786" w:type="dxa"/>
            <w:vAlign w:val="center"/>
          </w:tcPr>
          <w:p w:rsidR="00344A45" w:rsidRPr="00344A45" w:rsidRDefault="00344A45" w:rsidP="00344A45">
            <w:pPr>
              <w:spacing w:line="360" w:lineRule="auto"/>
              <w:jc w:val="center"/>
              <w:rPr>
                <w:rFonts w:ascii="Times New Roman" w:hAnsi="Times New Roman"/>
                <w:sz w:val="20"/>
                <w:lang w:eastAsia="ru-RU"/>
              </w:rPr>
            </w:pPr>
            <w:r w:rsidRPr="00344A45">
              <w:rPr>
                <w:rFonts w:ascii="Times New Roman" w:hAnsi="Times New Roman"/>
                <w:sz w:val="20"/>
                <w:lang w:eastAsia="ru-RU"/>
              </w:rPr>
              <w:t>Децентрализация</w:t>
            </w:r>
          </w:p>
        </w:tc>
      </w:tr>
    </w:tbl>
    <w:p w:rsidR="00344A45" w:rsidRDefault="00344A45" w:rsidP="00344A45">
      <w:pPr>
        <w:spacing w:after="0" w:line="360" w:lineRule="auto"/>
        <w:ind w:firstLine="708"/>
        <w:jc w:val="both"/>
        <w:rPr>
          <w:rFonts w:ascii="Times New Roman" w:hAnsi="Times New Roman"/>
          <w:sz w:val="24"/>
          <w:lang w:eastAsia="ru-RU"/>
        </w:rPr>
      </w:pPr>
    </w:p>
    <w:p w:rsidR="00344A45" w:rsidRPr="00344A45" w:rsidRDefault="00344A45" w:rsidP="00376430">
      <w:pPr>
        <w:spacing w:after="0" w:line="360" w:lineRule="auto"/>
        <w:ind w:firstLine="709"/>
        <w:jc w:val="both"/>
        <w:rPr>
          <w:rFonts w:ascii="Times New Roman" w:hAnsi="Times New Roman"/>
          <w:sz w:val="24"/>
          <w:lang w:eastAsia="ru-RU"/>
        </w:rPr>
      </w:pPr>
      <w:r w:rsidRPr="00344A45">
        <w:rPr>
          <w:rFonts w:ascii="Times New Roman" w:hAnsi="Times New Roman"/>
          <w:sz w:val="24"/>
          <w:lang w:eastAsia="ru-RU"/>
        </w:rPr>
        <w:t>На уровень кредитного риска влияют три основных фактора: кредитоспособность заемщика, обеспечение и срок по обязательству. Изменяя указанные характеристики, ПАО «Сбербанк» имеет возможность снизить общий уровень риска по сделке. Данный способ воздействия на риск лучше применять на этапе согласования сделки.</w:t>
      </w:r>
    </w:p>
    <w:p w:rsidR="00344A45" w:rsidRDefault="00344A45" w:rsidP="00376430">
      <w:pPr>
        <w:spacing w:after="0" w:line="360" w:lineRule="auto"/>
        <w:ind w:firstLine="709"/>
        <w:jc w:val="both"/>
        <w:rPr>
          <w:rFonts w:ascii="Times New Roman" w:hAnsi="Times New Roman"/>
          <w:sz w:val="24"/>
          <w:lang w:eastAsia="ru-RU"/>
        </w:rPr>
      </w:pPr>
      <w:r w:rsidRPr="00344A45">
        <w:rPr>
          <w:rFonts w:ascii="Times New Roman" w:hAnsi="Times New Roman"/>
          <w:sz w:val="24"/>
          <w:lang w:eastAsia="ru-RU"/>
        </w:rPr>
        <w:t>Оптимизация компонентов кредитного риска – это способ минимизации кредитного риска посредством воздействия на его основные составляющие</w:t>
      </w:r>
      <w:r w:rsidR="00CD1DC3">
        <w:rPr>
          <w:rFonts w:ascii="Times New Roman" w:hAnsi="Times New Roman"/>
          <w:sz w:val="24"/>
          <w:lang w:eastAsia="ru-RU"/>
        </w:rPr>
        <w:t>.</w:t>
      </w:r>
      <w:r w:rsidRPr="00344A45">
        <w:rPr>
          <w:rFonts w:ascii="Times New Roman" w:hAnsi="Times New Roman"/>
          <w:sz w:val="24"/>
          <w:lang w:eastAsia="ru-RU"/>
        </w:rPr>
        <w:t xml:space="preserve"> </w:t>
      </w:r>
    </w:p>
    <w:p w:rsidR="00344A45" w:rsidRPr="00344A45" w:rsidRDefault="00344A45" w:rsidP="00376430">
      <w:pPr>
        <w:spacing w:after="0" w:line="360" w:lineRule="auto"/>
        <w:ind w:firstLine="709"/>
        <w:jc w:val="both"/>
        <w:rPr>
          <w:rFonts w:ascii="Times New Roman" w:hAnsi="Times New Roman"/>
          <w:sz w:val="24"/>
          <w:lang w:eastAsia="ru-RU"/>
        </w:rPr>
      </w:pPr>
      <w:r w:rsidRPr="00344A45">
        <w:rPr>
          <w:rFonts w:ascii="Times New Roman" w:hAnsi="Times New Roman"/>
          <w:sz w:val="24"/>
          <w:lang w:eastAsia="ru-RU"/>
        </w:rPr>
        <w:t>При выдаче кредита (и иных обязательств контрагентам), минимизация кредитного риска должна быть произведена за счет подбора оптимального продукта, составления адекватного денежным потокам графика платежей, привлечения достаточного лимита и ликвидного обеспечения, правильного определения срока кредитования.</w:t>
      </w:r>
    </w:p>
    <w:p w:rsidR="000A3636" w:rsidRDefault="00344A45" w:rsidP="00376430">
      <w:pPr>
        <w:spacing w:after="0" w:line="360" w:lineRule="auto"/>
        <w:ind w:firstLine="709"/>
        <w:jc w:val="both"/>
        <w:rPr>
          <w:rFonts w:ascii="Times New Roman" w:hAnsi="Times New Roman" w:cs="Times New Roman"/>
          <w:sz w:val="24"/>
          <w:lang w:eastAsia="ru-RU"/>
        </w:rPr>
      </w:pPr>
      <w:r w:rsidRPr="00344A45">
        <w:rPr>
          <w:rFonts w:ascii="Times New Roman" w:hAnsi="Times New Roman" w:cs="Times New Roman"/>
          <w:sz w:val="24"/>
          <w:lang w:eastAsia="ru-RU"/>
        </w:rPr>
        <w:t>Основным инструментом снижения кредитного риска, обусловленного невыплатой по кредитным договорам, является наличие обеспечения. В качестве обеспечения «Сбербанку» следует принимать: гарантии, поручительства и залоги. Для ограничения кредитного риска может быть принято одновременно несколько видов обеспечения.</w:t>
      </w:r>
    </w:p>
    <w:p w:rsidR="00344A45" w:rsidRPr="00344A45" w:rsidRDefault="00344A45" w:rsidP="00376430">
      <w:pPr>
        <w:spacing w:after="0" w:line="360" w:lineRule="auto"/>
        <w:ind w:firstLine="709"/>
        <w:jc w:val="both"/>
        <w:rPr>
          <w:rFonts w:ascii="Times New Roman" w:hAnsi="Times New Roman"/>
          <w:sz w:val="24"/>
          <w:lang w:eastAsia="ru-RU"/>
        </w:rPr>
      </w:pPr>
      <w:r w:rsidRPr="00344A45">
        <w:rPr>
          <w:rFonts w:ascii="Times New Roman" w:hAnsi="Times New Roman"/>
          <w:sz w:val="24"/>
          <w:lang w:eastAsia="ru-RU"/>
        </w:rPr>
        <w:t>ПАО «Сбербанк» следует проводить регулярный мониторинг залоговых активов с целью обеспечения контроля за количественными, качественными и стоимостными параметрами предметов, принадлежностью, условиями хранения и содержания.</w:t>
      </w:r>
    </w:p>
    <w:p w:rsidR="00BD6663" w:rsidRDefault="00BD6663" w:rsidP="00344A45">
      <w:pPr>
        <w:spacing w:after="0" w:line="360" w:lineRule="auto"/>
        <w:ind w:firstLine="708"/>
        <w:jc w:val="both"/>
        <w:rPr>
          <w:rFonts w:ascii="Times New Roman" w:hAnsi="Times New Roman" w:cs="Times New Roman"/>
          <w:sz w:val="24"/>
          <w:szCs w:val="24"/>
          <w:lang w:eastAsia="ru-RU"/>
        </w:rPr>
      </w:pPr>
    </w:p>
    <w:p w:rsidR="00376430" w:rsidRDefault="00376430" w:rsidP="00344A45">
      <w:pPr>
        <w:spacing w:after="0" w:line="360" w:lineRule="auto"/>
        <w:ind w:firstLine="708"/>
        <w:jc w:val="both"/>
        <w:rPr>
          <w:rFonts w:ascii="Times New Roman" w:hAnsi="Times New Roman" w:cs="Times New Roman"/>
          <w:sz w:val="24"/>
          <w:szCs w:val="24"/>
          <w:lang w:eastAsia="ru-RU"/>
        </w:rPr>
      </w:pPr>
    </w:p>
    <w:p w:rsidR="00376430" w:rsidRDefault="00376430" w:rsidP="00344A45">
      <w:pPr>
        <w:spacing w:after="0" w:line="360" w:lineRule="auto"/>
        <w:ind w:firstLine="708"/>
        <w:jc w:val="both"/>
        <w:rPr>
          <w:rFonts w:ascii="Times New Roman" w:hAnsi="Times New Roman" w:cs="Times New Roman"/>
          <w:sz w:val="24"/>
          <w:szCs w:val="24"/>
          <w:lang w:eastAsia="ru-RU"/>
        </w:rPr>
      </w:pPr>
    </w:p>
    <w:p w:rsidR="00376430" w:rsidRDefault="00376430" w:rsidP="00344A45">
      <w:pPr>
        <w:spacing w:after="0" w:line="360" w:lineRule="auto"/>
        <w:ind w:firstLine="708"/>
        <w:jc w:val="both"/>
        <w:rPr>
          <w:rFonts w:ascii="Times New Roman" w:hAnsi="Times New Roman" w:cs="Times New Roman"/>
          <w:sz w:val="24"/>
          <w:szCs w:val="24"/>
          <w:lang w:eastAsia="ru-RU"/>
        </w:rPr>
      </w:pPr>
    </w:p>
    <w:p w:rsidR="00344A45" w:rsidRDefault="00344A45" w:rsidP="00344A45">
      <w:pPr>
        <w:spacing w:after="0" w:line="360" w:lineRule="auto"/>
        <w:ind w:firstLine="708"/>
        <w:jc w:val="both"/>
        <w:rPr>
          <w:rFonts w:ascii="Times New Roman" w:hAnsi="Times New Roman" w:cs="Times New Roman"/>
          <w:sz w:val="24"/>
          <w:szCs w:val="24"/>
          <w:lang w:eastAsia="ru-RU"/>
        </w:rPr>
      </w:pPr>
      <w:r w:rsidRPr="00344A45">
        <w:rPr>
          <w:rFonts w:ascii="Times New Roman" w:hAnsi="Times New Roman" w:cs="Times New Roman"/>
          <w:sz w:val="24"/>
          <w:szCs w:val="24"/>
          <w:lang w:eastAsia="ru-RU"/>
        </w:rPr>
        <w:lastRenderedPageBreak/>
        <w:t xml:space="preserve">Для уменьшения риска при операциях кредитования физических и юридических лиц, банку следует применять метод, основанный на применении технологии интеллектуального анализа данных – </w:t>
      </w:r>
      <w:proofErr w:type="spellStart"/>
      <w:r w:rsidRPr="00344A45">
        <w:rPr>
          <w:rFonts w:ascii="Times New Roman" w:hAnsi="Times New Roman" w:cs="Times New Roman"/>
          <w:sz w:val="24"/>
          <w:szCs w:val="24"/>
          <w:lang w:eastAsia="ru-RU"/>
        </w:rPr>
        <w:t>скоринг</w:t>
      </w:r>
      <w:proofErr w:type="spellEnd"/>
      <w:r w:rsidRPr="00344A45">
        <w:rPr>
          <w:rFonts w:ascii="Times New Roman" w:hAnsi="Times New Roman" w:cs="Times New Roman"/>
          <w:sz w:val="24"/>
          <w:szCs w:val="24"/>
          <w:lang w:eastAsia="ru-RU"/>
        </w:rPr>
        <w:t xml:space="preserve">. Сущность этого метода состоит в том, что каждый фактор, характеризующий заемщика, имеет свою количественную оценку, т.е. баллы. </w:t>
      </w:r>
    </w:p>
    <w:p w:rsidR="00344A45" w:rsidRPr="00344A45" w:rsidRDefault="00344A45" w:rsidP="00344A45">
      <w:pPr>
        <w:spacing w:after="0" w:line="360" w:lineRule="auto"/>
        <w:jc w:val="both"/>
        <w:rPr>
          <w:rFonts w:ascii="Times New Roman" w:hAnsi="Times New Roman" w:cs="Times New Roman"/>
          <w:sz w:val="24"/>
          <w:szCs w:val="24"/>
          <w:lang w:eastAsia="ru-RU"/>
        </w:rPr>
      </w:pPr>
      <w:r w:rsidRPr="00344A45">
        <w:rPr>
          <w:rFonts w:ascii="Times New Roman" w:hAnsi="Times New Roman" w:cs="Times New Roman"/>
          <w:sz w:val="24"/>
          <w:szCs w:val="24"/>
          <w:lang w:eastAsia="ru-RU"/>
        </w:rPr>
        <w:t>Суммируя полученные баллы, можно получить оценку кредитоспособности физического лица. Каждый параметр имеет максимально возможный порог, который выше для важных вопросов и ниже для второстепенных.</w:t>
      </w:r>
    </w:p>
    <w:p w:rsidR="00344A45" w:rsidRPr="00344A45" w:rsidRDefault="00344A45" w:rsidP="00344A45">
      <w:pPr>
        <w:spacing w:after="0" w:line="360" w:lineRule="auto"/>
        <w:ind w:firstLine="708"/>
        <w:jc w:val="both"/>
        <w:rPr>
          <w:rFonts w:ascii="Times New Roman" w:hAnsi="Times New Roman"/>
          <w:sz w:val="24"/>
          <w:lang w:eastAsia="ru-RU"/>
        </w:rPr>
      </w:pPr>
      <w:r w:rsidRPr="00344A45">
        <w:rPr>
          <w:rFonts w:ascii="Times New Roman" w:hAnsi="Times New Roman"/>
          <w:sz w:val="24"/>
          <w:lang w:eastAsia="ru-RU"/>
        </w:rPr>
        <w:t xml:space="preserve">Система </w:t>
      </w:r>
      <w:proofErr w:type="spellStart"/>
      <w:r w:rsidRPr="00344A45">
        <w:rPr>
          <w:rFonts w:ascii="Times New Roman" w:hAnsi="Times New Roman"/>
          <w:sz w:val="24"/>
          <w:lang w:eastAsia="ru-RU"/>
        </w:rPr>
        <w:t>скоринга</w:t>
      </w:r>
      <w:proofErr w:type="spellEnd"/>
      <w:r w:rsidRPr="00344A45">
        <w:rPr>
          <w:rFonts w:ascii="Times New Roman" w:hAnsi="Times New Roman"/>
          <w:sz w:val="24"/>
          <w:lang w:eastAsia="ru-RU"/>
        </w:rPr>
        <w:t xml:space="preserve"> обеспечивает быструю и объективную оценку уровня рисков выдаваемых кредитов и принятие таких решений по ссудам, которые минимизируют кредитные риски портфеля. </w:t>
      </w:r>
    </w:p>
    <w:p w:rsidR="00344A45" w:rsidRPr="00344A45" w:rsidRDefault="00CD1DC3" w:rsidP="00344A45">
      <w:pPr>
        <w:spacing w:after="0" w:line="360" w:lineRule="auto"/>
        <w:ind w:firstLine="708"/>
        <w:jc w:val="both"/>
        <w:rPr>
          <w:rFonts w:ascii="Times New Roman" w:hAnsi="Times New Roman"/>
          <w:sz w:val="24"/>
          <w:lang w:eastAsia="ru-RU"/>
        </w:rPr>
      </w:pPr>
      <w:r>
        <w:rPr>
          <w:rFonts w:ascii="Times New Roman" w:hAnsi="Times New Roman"/>
          <w:sz w:val="24"/>
          <w:lang w:eastAsia="ru-RU"/>
        </w:rPr>
        <w:t>Д</w:t>
      </w:r>
      <w:r w:rsidR="00344A45" w:rsidRPr="00344A45">
        <w:rPr>
          <w:rFonts w:ascii="Times New Roman" w:hAnsi="Times New Roman"/>
          <w:sz w:val="24"/>
          <w:lang w:eastAsia="ru-RU"/>
        </w:rPr>
        <w:t>анная система позволит ПАО «Сбербанк» увеличить объем продаж кредитных продуктов банка путем сокращения сроков проверки кредитной заявки и индивидуальной настройкой параметров кредита под каждого заемщика.</w:t>
      </w:r>
    </w:p>
    <w:p w:rsidR="00261089" w:rsidRPr="00261089" w:rsidRDefault="00261089" w:rsidP="00261089">
      <w:pPr>
        <w:spacing w:after="0" w:line="360" w:lineRule="auto"/>
        <w:ind w:firstLine="708"/>
        <w:jc w:val="both"/>
        <w:rPr>
          <w:rFonts w:ascii="Times New Roman" w:eastAsia="Times New Roman" w:hAnsi="Times New Roman" w:cs="Times New Roman"/>
          <w:color w:val="000000"/>
          <w:sz w:val="24"/>
          <w:szCs w:val="24"/>
          <w:lang w:eastAsia="ru-RU"/>
        </w:rPr>
      </w:pPr>
      <w:r w:rsidRPr="00261089">
        <w:rPr>
          <w:rFonts w:ascii="Times New Roman" w:eastAsia="Times New Roman" w:hAnsi="Times New Roman" w:cs="Times New Roman"/>
          <w:color w:val="000000"/>
          <w:sz w:val="24"/>
          <w:szCs w:val="24"/>
          <w:lang w:eastAsia="ru-RU"/>
        </w:rPr>
        <w:t xml:space="preserve">Таким образом, кредитная политика Сбербанка, как показало исследование, проработана на достаточно хорошем уровне. Наибольшую долю в структуре кредитного портфеля Банка занимают кредиты с рейтингом I, т.е. кредитные операции при которых вероятность финансовых потерь вследствие неисполнения либо ненадлежащего исполнения заемщиком обязательств по ссуде равна нулю. Доля просроченных кредитов в кредитном портфеле Банка снижается, что свидетельствует о том, что Банк проводит хорошую работу с должниками за что и был признан в 2017 году как самый </w:t>
      </w:r>
      <w:proofErr w:type="spellStart"/>
      <w:r w:rsidRPr="00261089">
        <w:rPr>
          <w:rFonts w:ascii="Times New Roman" w:eastAsia="Times New Roman" w:hAnsi="Times New Roman" w:cs="Times New Roman"/>
          <w:color w:val="000000"/>
          <w:sz w:val="24"/>
          <w:szCs w:val="24"/>
          <w:lang w:eastAsia="ru-RU"/>
        </w:rPr>
        <w:t>клиентоориентированный</w:t>
      </w:r>
      <w:proofErr w:type="spellEnd"/>
      <w:r w:rsidRPr="00261089">
        <w:rPr>
          <w:rFonts w:ascii="Times New Roman" w:eastAsia="Times New Roman" w:hAnsi="Times New Roman" w:cs="Times New Roman"/>
          <w:color w:val="000000"/>
          <w:sz w:val="24"/>
          <w:szCs w:val="24"/>
          <w:lang w:eastAsia="ru-RU"/>
        </w:rPr>
        <w:t xml:space="preserve"> банк России.</w:t>
      </w:r>
    </w:p>
    <w:p w:rsidR="00261089" w:rsidRPr="00261089" w:rsidRDefault="00261089" w:rsidP="00261089">
      <w:pPr>
        <w:spacing w:after="0" w:line="360" w:lineRule="auto"/>
        <w:rPr>
          <w:rFonts w:ascii="Times New Roman" w:eastAsia="Times New Roman" w:hAnsi="Times New Roman" w:cs="Times New Roman"/>
          <w:b/>
          <w:bCs/>
          <w:color w:val="000000"/>
          <w:sz w:val="24"/>
          <w:szCs w:val="24"/>
          <w:lang w:eastAsia="ru-RU"/>
        </w:rPr>
      </w:pPr>
    </w:p>
    <w:p w:rsidR="0068324F" w:rsidRDefault="0068324F" w:rsidP="00261089">
      <w:pPr>
        <w:spacing w:after="0" w:line="360" w:lineRule="auto"/>
        <w:rPr>
          <w:rFonts w:ascii="Times New Roman" w:eastAsia="Times New Roman" w:hAnsi="Times New Roman" w:cs="Times New Roman"/>
          <w:b/>
          <w:bCs/>
          <w:color w:val="000000"/>
          <w:sz w:val="24"/>
          <w:szCs w:val="24"/>
          <w:lang w:eastAsia="ru-RU"/>
        </w:rPr>
      </w:pPr>
    </w:p>
    <w:p w:rsidR="00827E37" w:rsidRDefault="0068324F" w:rsidP="00827E37">
      <w:pPr>
        <w:tabs>
          <w:tab w:val="left" w:pos="993"/>
        </w:tabs>
        <w:spacing w:after="0" w:line="360" w:lineRule="auto"/>
        <w:contextualSpacing/>
        <w:rPr>
          <w:rFonts w:ascii="Times New Roman" w:eastAsia="Calibri" w:hAnsi="Times New Roman" w:cs="Times New Roman"/>
          <w:sz w:val="24"/>
          <w:szCs w:val="24"/>
        </w:rPr>
      </w:pPr>
      <w:r w:rsidRPr="0068324F">
        <w:rPr>
          <w:rFonts w:ascii="Times New Roman" w:eastAsia="Times New Roman" w:hAnsi="Times New Roman" w:cs="Times New Roman"/>
          <w:b/>
          <w:bCs/>
          <w:color w:val="000000"/>
          <w:sz w:val="24"/>
          <w:szCs w:val="24"/>
          <w:lang w:eastAsia="ru-RU"/>
        </w:rPr>
        <w:t xml:space="preserve">Список </w:t>
      </w:r>
      <w:r w:rsidR="00827E37">
        <w:rPr>
          <w:rFonts w:ascii="Times New Roman" w:eastAsia="Times New Roman" w:hAnsi="Times New Roman" w:cs="Times New Roman"/>
          <w:b/>
          <w:bCs/>
          <w:color w:val="000000"/>
          <w:sz w:val="24"/>
          <w:szCs w:val="24"/>
          <w:lang w:eastAsia="ru-RU"/>
        </w:rPr>
        <w:t>литературы:</w:t>
      </w:r>
    </w:p>
    <w:p w:rsidR="0068324F" w:rsidRPr="00827E37" w:rsidRDefault="0068324F" w:rsidP="00827E37">
      <w:pPr>
        <w:pStyle w:val="a6"/>
        <w:numPr>
          <w:ilvl w:val="0"/>
          <w:numId w:val="2"/>
        </w:numPr>
        <w:tabs>
          <w:tab w:val="left" w:pos="993"/>
        </w:tabs>
        <w:spacing w:after="0" w:line="360" w:lineRule="auto"/>
        <w:rPr>
          <w:rFonts w:ascii="Times New Roman" w:eastAsia="Calibri" w:hAnsi="Times New Roman" w:cs="Times New Roman"/>
          <w:sz w:val="24"/>
          <w:szCs w:val="24"/>
        </w:rPr>
      </w:pPr>
      <w:r w:rsidRPr="00827E37">
        <w:rPr>
          <w:rFonts w:ascii="Times New Roman" w:eastAsia="Calibri" w:hAnsi="Times New Roman" w:cs="Times New Roman"/>
          <w:sz w:val="24"/>
          <w:szCs w:val="24"/>
        </w:rPr>
        <w:t xml:space="preserve">Банковское дело: Учебник / Под ред. Колесникова В.И., </w:t>
      </w:r>
      <w:proofErr w:type="spellStart"/>
      <w:r w:rsidRPr="00827E37">
        <w:rPr>
          <w:rFonts w:ascii="Times New Roman" w:eastAsia="Calibri" w:hAnsi="Times New Roman" w:cs="Times New Roman"/>
          <w:sz w:val="24"/>
          <w:szCs w:val="24"/>
        </w:rPr>
        <w:t>Кроливецкой</w:t>
      </w:r>
      <w:proofErr w:type="spellEnd"/>
      <w:r w:rsidRPr="00827E37">
        <w:rPr>
          <w:rFonts w:ascii="Times New Roman" w:eastAsia="Calibri" w:hAnsi="Times New Roman" w:cs="Times New Roman"/>
          <w:sz w:val="24"/>
          <w:szCs w:val="24"/>
        </w:rPr>
        <w:t xml:space="preserve"> Л.П. - М.: Финансы и статистика, 2015.- 480 с. </w:t>
      </w:r>
    </w:p>
    <w:p w:rsidR="0068324F" w:rsidRPr="00827E37" w:rsidRDefault="0068324F" w:rsidP="00827E37">
      <w:pPr>
        <w:pStyle w:val="a6"/>
        <w:numPr>
          <w:ilvl w:val="0"/>
          <w:numId w:val="2"/>
        </w:numPr>
        <w:tabs>
          <w:tab w:val="left" w:pos="993"/>
        </w:tabs>
        <w:spacing w:after="0" w:line="360" w:lineRule="auto"/>
        <w:jc w:val="both"/>
        <w:rPr>
          <w:rFonts w:ascii="Times New Roman" w:eastAsia="Calibri" w:hAnsi="Times New Roman" w:cs="Times New Roman"/>
          <w:sz w:val="24"/>
          <w:szCs w:val="24"/>
        </w:rPr>
      </w:pPr>
      <w:proofErr w:type="spellStart"/>
      <w:r w:rsidRPr="00827E37">
        <w:rPr>
          <w:rFonts w:ascii="Times New Roman" w:eastAsia="Calibri" w:hAnsi="Times New Roman" w:cs="Times New Roman"/>
          <w:sz w:val="24"/>
          <w:szCs w:val="24"/>
        </w:rPr>
        <w:t>Глисин</w:t>
      </w:r>
      <w:proofErr w:type="spellEnd"/>
      <w:r w:rsidRPr="00827E37">
        <w:rPr>
          <w:rFonts w:ascii="Times New Roman" w:eastAsia="Calibri" w:hAnsi="Times New Roman" w:cs="Times New Roman"/>
          <w:sz w:val="24"/>
          <w:szCs w:val="24"/>
        </w:rPr>
        <w:t xml:space="preserve"> Ф.Ф. Деловая активность коммерческих банков России // Банковское дело. - 2016. - №4. - С.6-9</w:t>
      </w:r>
    </w:p>
    <w:p w:rsidR="0068324F" w:rsidRPr="00827E37" w:rsidRDefault="0068324F" w:rsidP="00827E37">
      <w:pPr>
        <w:pStyle w:val="a6"/>
        <w:numPr>
          <w:ilvl w:val="0"/>
          <w:numId w:val="2"/>
        </w:numPr>
        <w:tabs>
          <w:tab w:val="left" w:pos="993"/>
        </w:tabs>
        <w:spacing w:after="0" w:line="360" w:lineRule="auto"/>
        <w:jc w:val="both"/>
        <w:rPr>
          <w:rFonts w:ascii="Times New Roman" w:eastAsia="Calibri" w:hAnsi="Times New Roman" w:cs="Times New Roman"/>
          <w:sz w:val="24"/>
          <w:szCs w:val="24"/>
        </w:rPr>
      </w:pPr>
      <w:r w:rsidRPr="00827E37">
        <w:rPr>
          <w:rFonts w:ascii="Times New Roman" w:eastAsia="Calibri" w:hAnsi="Times New Roman" w:cs="Times New Roman"/>
          <w:sz w:val="24"/>
          <w:szCs w:val="24"/>
        </w:rPr>
        <w:t>Годовая бухгалтерская (финансовая) отчетность ПАО «Сбербанк России» за 2015 год</w:t>
      </w:r>
    </w:p>
    <w:p w:rsidR="0068324F" w:rsidRPr="00827E37" w:rsidRDefault="0068324F" w:rsidP="00827E37">
      <w:pPr>
        <w:pStyle w:val="a6"/>
        <w:numPr>
          <w:ilvl w:val="0"/>
          <w:numId w:val="2"/>
        </w:numPr>
        <w:tabs>
          <w:tab w:val="left" w:pos="993"/>
        </w:tabs>
        <w:spacing w:after="0" w:line="360" w:lineRule="auto"/>
        <w:jc w:val="both"/>
        <w:rPr>
          <w:rFonts w:ascii="Times New Roman" w:eastAsia="Calibri" w:hAnsi="Times New Roman" w:cs="Times New Roman"/>
          <w:sz w:val="24"/>
          <w:szCs w:val="24"/>
        </w:rPr>
      </w:pPr>
      <w:r w:rsidRPr="00827E37">
        <w:rPr>
          <w:rFonts w:ascii="Times New Roman" w:eastAsia="Calibri" w:hAnsi="Times New Roman" w:cs="Times New Roman"/>
          <w:sz w:val="24"/>
          <w:szCs w:val="24"/>
        </w:rPr>
        <w:t>Годовая бухгалтерская (финансовая) отчетность ПАО «Сбербанк России» за 2016 год</w:t>
      </w:r>
    </w:p>
    <w:p w:rsidR="0068324F" w:rsidRPr="00827E37" w:rsidRDefault="0068324F" w:rsidP="00827E37">
      <w:pPr>
        <w:pStyle w:val="a6"/>
        <w:numPr>
          <w:ilvl w:val="0"/>
          <w:numId w:val="2"/>
        </w:numPr>
        <w:tabs>
          <w:tab w:val="left" w:pos="993"/>
        </w:tabs>
        <w:spacing w:after="0" w:line="360" w:lineRule="auto"/>
        <w:jc w:val="both"/>
        <w:rPr>
          <w:rFonts w:ascii="Times New Roman" w:eastAsia="Calibri" w:hAnsi="Times New Roman" w:cs="Times New Roman"/>
          <w:sz w:val="24"/>
          <w:szCs w:val="24"/>
        </w:rPr>
      </w:pPr>
      <w:r w:rsidRPr="00827E37">
        <w:rPr>
          <w:rFonts w:ascii="Times New Roman" w:eastAsia="Calibri" w:hAnsi="Times New Roman" w:cs="Times New Roman"/>
          <w:sz w:val="24"/>
          <w:szCs w:val="24"/>
        </w:rPr>
        <w:t>Годовая бухгалтерская (финансовая) отчетность ПАО «Сбербанк России» за 2017 год</w:t>
      </w:r>
    </w:p>
    <w:p w:rsidR="00827E37" w:rsidRPr="00827E37" w:rsidRDefault="00827E37" w:rsidP="00827E37">
      <w:pPr>
        <w:pStyle w:val="a6"/>
        <w:numPr>
          <w:ilvl w:val="0"/>
          <w:numId w:val="2"/>
        </w:numPr>
        <w:spacing w:after="0" w:line="360" w:lineRule="auto"/>
        <w:rPr>
          <w:rFonts w:ascii="Times New Roman" w:eastAsia="Times New Roman" w:hAnsi="Times New Roman" w:cs="Times New Roman"/>
          <w:sz w:val="24"/>
          <w:szCs w:val="24"/>
          <w:lang w:eastAsia="ru-RU"/>
        </w:rPr>
      </w:pPr>
      <w:r w:rsidRPr="00B6072B">
        <w:rPr>
          <w:rFonts w:ascii="Times New Roman" w:eastAsia="Times New Roman" w:hAnsi="Times New Roman" w:cs="Times New Roman"/>
          <w:sz w:val="24"/>
          <w:szCs w:val="24"/>
          <w:lang w:eastAsia="ru-RU"/>
        </w:rPr>
        <w:t>http://www.profbanking.com/news-in-bank/3001-rbk-500.html</w:t>
      </w:r>
      <w:r>
        <w:rPr>
          <w:rFonts w:ascii="Times New Roman" w:eastAsia="Times New Roman" w:hAnsi="Times New Roman" w:cs="Times New Roman"/>
          <w:color w:val="000000"/>
          <w:sz w:val="24"/>
          <w:szCs w:val="24"/>
          <w:lang w:eastAsia="ru-RU"/>
        </w:rPr>
        <w:t>.</w:t>
      </w:r>
      <w:bookmarkStart w:id="0" w:name="_GoBack"/>
      <w:bookmarkEnd w:id="0"/>
    </w:p>
    <w:p w:rsidR="00827E37" w:rsidRPr="00827E37" w:rsidRDefault="00827E37" w:rsidP="00827E37">
      <w:pPr>
        <w:pStyle w:val="a6"/>
        <w:numPr>
          <w:ilvl w:val="0"/>
          <w:numId w:val="2"/>
        </w:numPr>
        <w:spacing w:after="0" w:line="360" w:lineRule="auto"/>
        <w:rPr>
          <w:rFonts w:ascii="Times New Roman" w:eastAsia="Times New Roman" w:hAnsi="Times New Roman" w:cs="Times New Roman"/>
          <w:sz w:val="24"/>
          <w:szCs w:val="24"/>
          <w:lang w:eastAsia="ru-RU"/>
        </w:rPr>
      </w:pPr>
      <w:r w:rsidRPr="00B6072B">
        <w:rPr>
          <w:rFonts w:ascii="Times New Roman" w:eastAsia="Times New Roman" w:hAnsi="Times New Roman" w:cs="Times New Roman"/>
          <w:sz w:val="24"/>
          <w:szCs w:val="24"/>
          <w:lang w:eastAsia="ru-RU"/>
        </w:rPr>
        <w:t>https://www.sravni.ru/banki/rating/kredity-fizicheskikh-lic/</w:t>
      </w:r>
    </w:p>
    <w:p w:rsidR="003C5111" w:rsidRPr="00827E37" w:rsidRDefault="0068324F" w:rsidP="00827E37">
      <w:pPr>
        <w:pStyle w:val="a6"/>
        <w:numPr>
          <w:ilvl w:val="0"/>
          <w:numId w:val="2"/>
        </w:numPr>
        <w:spacing w:after="0" w:line="360" w:lineRule="auto"/>
        <w:rPr>
          <w:rFonts w:ascii="Times New Roman" w:eastAsia="Times New Roman" w:hAnsi="Times New Roman" w:cs="Times New Roman"/>
          <w:sz w:val="24"/>
          <w:szCs w:val="24"/>
          <w:lang w:eastAsia="ru-RU"/>
        </w:rPr>
      </w:pPr>
      <w:r w:rsidRPr="00827E37">
        <w:rPr>
          <w:rFonts w:ascii="Times New Roman" w:eastAsia="Times New Roman" w:hAnsi="Times New Roman" w:cs="Times New Roman"/>
          <w:color w:val="000000"/>
          <w:sz w:val="24"/>
          <w:szCs w:val="24"/>
          <w:lang w:eastAsia="ru-RU"/>
        </w:rPr>
        <w:t>http://www.sberbank.com/ru/investor-relations/reports-and-publications/annualreports.</w:t>
      </w:r>
    </w:p>
    <w:sectPr w:rsidR="003C5111" w:rsidRPr="00827E37" w:rsidSect="00C74BC9">
      <w:footerReference w:type="default" r:id="rId12"/>
      <w:pgSz w:w="11906" w:h="16838"/>
      <w:pgMar w:top="1134" w:right="1134" w:bottom="1134" w:left="1134"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D15" w:rsidRDefault="009B0D15" w:rsidP="00C74BC9">
      <w:pPr>
        <w:spacing w:after="0" w:line="240" w:lineRule="auto"/>
      </w:pPr>
      <w:r>
        <w:separator/>
      </w:r>
    </w:p>
  </w:endnote>
  <w:endnote w:type="continuationSeparator" w:id="0">
    <w:p w:rsidR="009B0D15" w:rsidRDefault="009B0D15" w:rsidP="00C74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9168505"/>
      <w:docPartObj>
        <w:docPartGallery w:val="Page Numbers (Bottom of Page)"/>
        <w:docPartUnique/>
      </w:docPartObj>
    </w:sdtPr>
    <w:sdtEndPr/>
    <w:sdtContent>
      <w:p w:rsidR="00F31363" w:rsidRDefault="00F31363">
        <w:pPr>
          <w:pStyle w:val="aa"/>
          <w:jc w:val="center"/>
        </w:pPr>
        <w:r>
          <w:fldChar w:fldCharType="begin"/>
        </w:r>
        <w:r>
          <w:instrText>PAGE   \* MERGEFORMAT</w:instrText>
        </w:r>
        <w:r>
          <w:fldChar w:fldCharType="separate"/>
        </w:r>
        <w:r w:rsidR="00B6072B">
          <w:rPr>
            <w:noProof/>
          </w:rPr>
          <w:t>11</w:t>
        </w:r>
        <w:r>
          <w:fldChar w:fldCharType="end"/>
        </w:r>
      </w:p>
    </w:sdtContent>
  </w:sdt>
  <w:p w:rsidR="00F31363" w:rsidRDefault="00F3136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D15" w:rsidRDefault="009B0D15" w:rsidP="00C74BC9">
      <w:pPr>
        <w:spacing w:after="0" w:line="240" w:lineRule="auto"/>
      </w:pPr>
      <w:r>
        <w:separator/>
      </w:r>
    </w:p>
  </w:footnote>
  <w:footnote w:type="continuationSeparator" w:id="0">
    <w:p w:rsidR="009B0D15" w:rsidRDefault="009B0D15" w:rsidP="00C74B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01DD0"/>
    <w:multiLevelType w:val="hybridMultilevel"/>
    <w:tmpl w:val="A790BE24"/>
    <w:lvl w:ilvl="0" w:tplc="62188D8C">
      <w:start w:val="1"/>
      <w:numFmt w:val="decimal"/>
      <w:lvlText w:val="%1."/>
      <w:lvlJc w:val="left"/>
      <w:pPr>
        <w:ind w:left="720" w:hanging="360"/>
      </w:pPr>
      <w:rPr>
        <w:rFonts w:eastAsia="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AA5385D"/>
    <w:multiLevelType w:val="hybridMultilevel"/>
    <w:tmpl w:val="F56CE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E6"/>
    <w:rsid w:val="0007575F"/>
    <w:rsid w:val="000A3636"/>
    <w:rsid w:val="000D0715"/>
    <w:rsid w:val="00183F70"/>
    <w:rsid w:val="00261089"/>
    <w:rsid w:val="002B1759"/>
    <w:rsid w:val="00305B2D"/>
    <w:rsid w:val="00344A45"/>
    <w:rsid w:val="00376430"/>
    <w:rsid w:val="003C5111"/>
    <w:rsid w:val="00472BF7"/>
    <w:rsid w:val="00580574"/>
    <w:rsid w:val="0068324F"/>
    <w:rsid w:val="00827E37"/>
    <w:rsid w:val="0088402A"/>
    <w:rsid w:val="009B0D15"/>
    <w:rsid w:val="00B14857"/>
    <w:rsid w:val="00B6072B"/>
    <w:rsid w:val="00BD6663"/>
    <w:rsid w:val="00C74BC9"/>
    <w:rsid w:val="00CB1AE6"/>
    <w:rsid w:val="00CD1DC3"/>
    <w:rsid w:val="00CE7208"/>
    <w:rsid w:val="00D83AFB"/>
    <w:rsid w:val="00F31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10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610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61089"/>
    <w:rPr>
      <w:rFonts w:ascii="Tahoma" w:hAnsi="Tahoma" w:cs="Tahoma"/>
      <w:sz w:val="16"/>
      <w:szCs w:val="16"/>
    </w:rPr>
  </w:style>
  <w:style w:type="paragraph" w:styleId="a6">
    <w:name w:val="List Paragraph"/>
    <w:basedOn w:val="a"/>
    <w:uiPriority w:val="34"/>
    <w:qFormat/>
    <w:rsid w:val="00827E37"/>
    <w:pPr>
      <w:ind w:left="720"/>
      <w:contextualSpacing/>
    </w:pPr>
  </w:style>
  <w:style w:type="character" w:styleId="a7">
    <w:name w:val="Hyperlink"/>
    <w:basedOn w:val="a0"/>
    <w:uiPriority w:val="99"/>
    <w:unhideWhenUsed/>
    <w:rsid w:val="00827E37"/>
    <w:rPr>
      <w:color w:val="0000FF" w:themeColor="hyperlink"/>
      <w:u w:val="single"/>
    </w:rPr>
  </w:style>
  <w:style w:type="paragraph" w:styleId="a8">
    <w:name w:val="header"/>
    <w:basedOn w:val="a"/>
    <w:link w:val="a9"/>
    <w:uiPriority w:val="99"/>
    <w:unhideWhenUsed/>
    <w:rsid w:val="00C74BC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74BC9"/>
  </w:style>
  <w:style w:type="paragraph" w:styleId="aa">
    <w:name w:val="footer"/>
    <w:basedOn w:val="a"/>
    <w:link w:val="ab"/>
    <w:uiPriority w:val="99"/>
    <w:unhideWhenUsed/>
    <w:rsid w:val="00C74BC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74B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10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610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61089"/>
    <w:rPr>
      <w:rFonts w:ascii="Tahoma" w:hAnsi="Tahoma" w:cs="Tahoma"/>
      <w:sz w:val="16"/>
      <w:szCs w:val="16"/>
    </w:rPr>
  </w:style>
  <w:style w:type="paragraph" w:styleId="a6">
    <w:name w:val="List Paragraph"/>
    <w:basedOn w:val="a"/>
    <w:uiPriority w:val="34"/>
    <w:qFormat/>
    <w:rsid w:val="00827E37"/>
    <w:pPr>
      <w:ind w:left="720"/>
      <w:contextualSpacing/>
    </w:pPr>
  </w:style>
  <w:style w:type="character" w:styleId="a7">
    <w:name w:val="Hyperlink"/>
    <w:basedOn w:val="a0"/>
    <w:uiPriority w:val="99"/>
    <w:unhideWhenUsed/>
    <w:rsid w:val="00827E37"/>
    <w:rPr>
      <w:color w:val="0000FF" w:themeColor="hyperlink"/>
      <w:u w:val="single"/>
    </w:rPr>
  </w:style>
  <w:style w:type="paragraph" w:styleId="a8">
    <w:name w:val="header"/>
    <w:basedOn w:val="a"/>
    <w:link w:val="a9"/>
    <w:uiPriority w:val="99"/>
    <w:unhideWhenUsed/>
    <w:rsid w:val="00C74BC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74BC9"/>
  </w:style>
  <w:style w:type="paragraph" w:styleId="aa">
    <w:name w:val="footer"/>
    <w:basedOn w:val="a"/>
    <w:link w:val="ab"/>
    <w:uiPriority w:val="99"/>
    <w:unhideWhenUsed/>
    <w:rsid w:val="00C74BC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74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Lbls>
            <c:dLbl>
              <c:idx val="0"/>
              <c:layout>
                <c:manualLayout>
                  <c:x val="3.2591043307086613E-2"/>
                  <c:y val="-7.2250031246094235E-2"/>
                </c:manualLayout>
              </c:layout>
              <c:showLegendKey val="0"/>
              <c:showVal val="1"/>
              <c:showCatName val="0"/>
              <c:showSerName val="0"/>
              <c:showPercent val="0"/>
              <c:showBubbleSize val="0"/>
            </c:dLbl>
            <c:dLbl>
              <c:idx val="1"/>
              <c:layout>
                <c:manualLayout>
                  <c:x val="9.5790044473607464E-2"/>
                  <c:y val="9.090738657667792E-2"/>
                </c:manualLayout>
              </c:layout>
              <c:showLegendKey val="0"/>
              <c:showVal val="1"/>
              <c:showCatName val="0"/>
              <c:showSerName val="0"/>
              <c:showPercent val="0"/>
              <c:showBubbleSize val="0"/>
            </c:dLbl>
            <c:dLbl>
              <c:idx val="2"/>
              <c:layout>
                <c:manualLayout>
                  <c:x val="-7.0134332166812479E-3"/>
                  <c:y val="-0.1309739407574053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Лист1!$A$2:$A$4</c:f>
              <c:strCache>
                <c:ptCount val="3"/>
                <c:pt idx="0">
                  <c:v>Межбанковские кредиты</c:v>
                </c:pt>
                <c:pt idx="1">
                  <c:v>Кредиты юридическим лицам</c:v>
                </c:pt>
                <c:pt idx="2">
                  <c:v>Кредиты физическим лицам</c:v>
                </c:pt>
              </c:strCache>
            </c:strRef>
          </c:cat>
          <c:val>
            <c:numRef>
              <c:f>Лист1!$B$2:$B$4</c:f>
              <c:numCache>
                <c:formatCode>General</c:formatCode>
                <c:ptCount val="3"/>
                <c:pt idx="0">
                  <c:v>9.24</c:v>
                </c:pt>
                <c:pt idx="1">
                  <c:v>65.63</c:v>
                </c:pt>
                <c:pt idx="2">
                  <c:v>25.13</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Продажи</c:v>
                </c:pt>
              </c:strCache>
            </c:strRef>
          </c:tx>
          <c:explosion val="25"/>
          <c:dLbls>
            <c:dLbl>
              <c:idx val="0"/>
              <c:layout>
                <c:manualLayout>
                  <c:x val="6.0861402741324002E-3"/>
                  <c:y val="7.5986439195100619E-2"/>
                </c:manualLayout>
              </c:layout>
              <c:showLegendKey val="0"/>
              <c:showVal val="1"/>
              <c:showCatName val="0"/>
              <c:showSerName val="0"/>
              <c:showPercent val="0"/>
              <c:showBubbleSize val="0"/>
            </c:dLbl>
            <c:dLbl>
              <c:idx val="1"/>
              <c:layout>
                <c:manualLayout>
                  <c:x val="-9.079724409448809E-3"/>
                  <c:y val="-8.9169478815148112E-2"/>
                </c:manualLayout>
              </c:layout>
              <c:showLegendKey val="0"/>
              <c:showVal val="1"/>
              <c:showCatName val="0"/>
              <c:showSerName val="0"/>
              <c:showPercent val="0"/>
              <c:showBubbleSize val="0"/>
            </c:dLbl>
            <c:dLbl>
              <c:idx val="2"/>
              <c:layout>
                <c:manualLayout>
                  <c:x val="-0.11023239282589678"/>
                  <c:y val="6.4595050618672665E-3"/>
                </c:manualLayout>
              </c:layout>
              <c:showLegendKey val="0"/>
              <c:showVal val="1"/>
              <c:showCatName val="0"/>
              <c:showSerName val="0"/>
              <c:showPercent val="0"/>
              <c:showBubbleSize val="0"/>
            </c:dLbl>
            <c:dLbl>
              <c:idx val="3"/>
              <c:layout>
                <c:manualLayout>
                  <c:x val="0.10919017935258084"/>
                  <c:y val="7.3931696037995251E-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Лист1!$A$2:$A$5</c:f>
              <c:strCache>
                <c:ptCount val="4"/>
                <c:pt idx="0">
                  <c:v>Финансирование текущей деятельности</c:v>
                </c:pt>
                <c:pt idx="1">
                  <c:v>Инвестиционное и проектное финансирование</c:v>
                </c:pt>
                <c:pt idx="2">
                  <c:v>Кредитование в рамках сделок обратного репо</c:v>
                </c:pt>
                <c:pt idx="3">
                  <c:v>Требования по задолженностям</c:v>
                </c:pt>
              </c:strCache>
            </c:strRef>
          </c:cat>
          <c:val>
            <c:numRef>
              <c:f>Лист1!$B$2:$B$5</c:f>
              <c:numCache>
                <c:formatCode>General</c:formatCode>
                <c:ptCount val="4"/>
                <c:pt idx="0">
                  <c:v>71.010000000000005</c:v>
                </c:pt>
                <c:pt idx="1">
                  <c:v>28.81</c:v>
                </c:pt>
                <c:pt idx="2">
                  <c:v>0.11</c:v>
                </c:pt>
                <c:pt idx="3">
                  <c:v>7.0000000000000007E-2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Ссудная задолженность с просроченными сроками погашения, млрд. руб.</c:v>
                </c:pt>
              </c:strCache>
            </c:strRef>
          </c:tx>
          <c:invertIfNegative val="0"/>
          <c:dLbls>
            <c:dLbl>
              <c:idx val="0"/>
              <c:layout>
                <c:manualLayout>
                  <c:x val="6.9444444444444448E-2"/>
                  <c:y val="-0.30158730158730168"/>
                </c:manualLayout>
              </c:layout>
              <c:showLegendKey val="0"/>
              <c:showVal val="1"/>
              <c:showCatName val="0"/>
              <c:showSerName val="0"/>
              <c:showPercent val="0"/>
              <c:showBubbleSize val="0"/>
            </c:dLbl>
            <c:dLbl>
              <c:idx val="1"/>
              <c:layout>
                <c:manualLayout>
                  <c:x val="7.1759259259259259E-2"/>
                  <c:y val="-0.34523809523809523"/>
                </c:manualLayout>
              </c:layout>
              <c:showLegendKey val="0"/>
              <c:showVal val="1"/>
              <c:showCatName val="0"/>
              <c:showSerName val="0"/>
              <c:showPercent val="0"/>
              <c:showBubbleSize val="0"/>
            </c:dLbl>
            <c:dLbl>
              <c:idx val="2"/>
              <c:layout>
                <c:manualLayout>
                  <c:x val="8.5648148148148154E-2"/>
                  <c:y val="-0.25"/>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Лист1!$A$2:$A$4</c:f>
              <c:numCache>
                <c:formatCode>General</c:formatCode>
                <c:ptCount val="3"/>
                <c:pt idx="0">
                  <c:v>2015</c:v>
                </c:pt>
                <c:pt idx="1">
                  <c:v>2016</c:v>
                </c:pt>
                <c:pt idx="2">
                  <c:v>2017</c:v>
                </c:pt>
              </c:numCache>
            </c:numRef>
          </c:cat>
          <c:val>
            <c:numRef>
              <c:f>Лист1!$B$2:$B$4</c:f>
              <c:numCache>
                <c:formatCode>General</c:formatCode>
                <c:ptCount val="3"/>
                <c:pt idx="0">
                  <c:v>700.54</c:v>
                </c:pt>
                <c:pt idx="1">
                  <c:v>871.42</c:v>
                </c:pt>
                <c:pt idx="2">
                  <c:v>626.28</c:v>
                </c:pt>
              </c:numCache>
            </c:numRef>
          </c:val>
        </c:ser>
        <c:dLbls>
          <c:showLegendKey val="0"/>
          <c:showVal val="0"/>
          <c:showCatName val="0"/>
          <c:showSerName val="0"/>
          <c:showPercent val="0"/>
          <c:showBubbleSize val="0"/>
        </c:dLbls>
        <c:gapWidth val="150"/>
        <c:shape val="pyramid"/>
        <c:axId val="168200192"/>
        <c:axId val="76600384"/>
        <c:axId val="0"/>
      </c:bar3DChart>
      <c:catAx>
        <c:axId val="168200192"/>
        <c:scaling>
          <c:orientation val="minMax"/>
        </c:scaling>
        <c:delete val="0"/>
        <c:axPos val="b"/>
        <c:numFmt formatCode="General" sourceLinked="1"/>
        <c:majorTickMark val="out"/>
        <c:minorTickMark val="none"/>
        <c:tickLblPos val="nextTo"/>
        <c:crossAx val="76600384"/>
        <c:crosses val="autoZero"/>
        <c:auto val="1"/>
        <c:lblAlgn val="ctr"/>
        <c:lblOffset val="100"/>
        <c:noMultiLvlLbl val="0"/>
      </c:catAx>
      <c:valAx>
        <c:axId val="76600384"/>
        <c:scaling>
          <c:orientation val="minMax"/>
        </c:scaling>
        <c:delete val="0"/>
        <c:axPos val="l"/>
        <c:majorGridlines/>
        <c:numFmt formatCode="General" sourceLinked="1"/>
        <c:majorTickMark val="out"/>
        <c:minorTickMark val="none"/>
        <c:tickLblPos val="nextTo"/>
        <c:crossAx val="168200192"/>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18915-0206-44B3-AB2B-72E6882A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10</Pages>
  <Words>2694</Words>
  <Characters>15360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Tweak</dc:creator>
  <cp:lastModifiedBy>Tweak</cp:lastModifiedBy>
  <cp:revision>11</cp:revision>
  <cp:lastPrinted>2018-06-17T11:04:00Z</cp:lastPrinted>
  <dcterms:created xsi:type="dcterms:W3CDTF">2018-06-10T09:17:00Z</dcterms:created>
  <dcterms:modified xsi:type="dcterms:W3CDTF">2018-06-17T11:28:00Z</dcterms:modified>
</cp:coreProperties>
</file>