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6D9" w:rsidRDefault="00E436D9" w:rsidP="00E436D9">
      <w:pPr>
        <w:jc w:val="center"/>
        <w:rPr>
          <w:b/>
          <w:sz w:val="24"/>
          <w:szCs w:val="22"/>
        </w:rPr>
      </w:pPr>
      <w:bookmarkStart w:id="0" w:name="_GoBack"/>
      <w:bookmarkEnd w:id="0"/>
      <w:r w:rsidRPr="00171D45">
        <w:rPr>
          <w:b/>
          <w:sz w:val="24"/>
          <w:szCs w:val="22"/>
        </w:rPr>
        <w:t>Иностранные инвестиции в России</w:t>
      </w:r>
    </w:p>
    <w:p w:rsidR="00E436D9" w:rsidRPr="00171D45" w:rsidRDefault="00E436D9" w:rsidP="00E436D9">
      <w:pPr>
        <w:jc w:val="center"/>
        <w:rPr>
          <w:b/>
          <w:sz w:val="24"/>
          <w:szCs w:val="22"/>
        </w:rPr>
      </w:pPr>
    </w:p>
    <w:p w:rsidR="00E436D9" w:rsidRDefault="00E436D9" w:rsidP="00E436D9">
      <w:pPr>
        <w:rPr>
          <w:sz w:val="22"/>
          <w:szCs w:val="22"/>
        </w:rPr>
      </w:pPr>
      <w:r>
        <w:rPr>
          <w:sz w:val="22"/>
          <w:szCs w:val="22"/>
        </w:rPr>
        <w:t xml:space="preserve">Аннотация: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статье рассмотрена динамика иностранных инвестиций из РФ, предложены рекомендации по расширению иностранных инвестиций.</w:t>
      </w:r>
    </w:p>
    <w:p w:rsidR="00E436D9" w:rsidRPr="00DC095E" w:rsidRDefault="00E436D9" w:rsidP="00E436D9">
      <w:pPr>
        <w:rPr>
          <w:sz w:val="22"/>
          <w:szCs w:val="22"/>
        </w:rPr>
      </w:pPr>
      <w:r>
        <w:rPr>
          <w:sz w:val="22"/>
          <w:szCs w:val="22"/>
        </w:rPr>
        <w:t>Ключевые слова: прямые иностранные инвестиции, экономика государства, отрицательные факторы, финансовые активы, офшоры.</w:t>
      </w:r>
    </w:p>
    <w:p w:rsidR="00E436D9" w:rsidRDefault="00E436D9" w:rsidP="00E436D9">
      <w:pPr>
        <w:rPr>
          <w:sz w:val="22"/>
          <w:szCs w:val="22"/>
        </w:rPr>
      </w:pP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В последние годы, в связи с расширением </w:t>
      </w:r>
      <w:proofErr w:type="spellStart"/>
      <w:r w:rsidRPr="00DC095E">
        <w:rPr>
          <w:sz w:val="22"/>
          <w:szCs w:val="22"/>
        </w:rPr>
        <w:t>санкционного</w:t>
      </w:r>
      <w:proofErr w:type="spellEnd"/>
      <w:r w:rsidRPr="00DC095E">
        <w:rPr>
          <w:sz w:val="22"/>
          <w:szCs w:val="22"/>
        </w:rPr>
        <w:t xml:space="preserve"> списка, актуализируется проблема привлечения иностранных инвестиций в Россию. На протяжении десятилетий правительство РФ говорит о привлечении инвестиций. Считается, что иностранный капитал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это драйвер, способный содействовать модернизации, обогащению опыта и повышению занятости населения. Так ли это? В статье постараемся разобраться в пользе инвестиций для российской экономики, оценим достижения и преграды на пути улучшения инвестиционного имиджа страны.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Значение иностранного капитала настолько велико, что страны готовы гарантировать инвесторам определенные преференции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экономические и законодательные. Это тем более важно, что инвестиции стимулируют внешние связи, а в страну с ними приходит новый опыт управления и менеджмента.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В какой форме инвестиции могут поступать в экономику государства?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Портфельные. Средства вкладываются сразу по нескольким направлениям, формирующим общий пакет. Это минимизирует риски инвестора. Примером служит приобретение акций ряда компаний, занятых в разных областях бизнеса.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Реальные (прямые). Это непосредственное вливание финансовых средств в конкретную компанию или проект. Как правило, речь идет о покупке активов предприятия и контроле за ним.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Очевидно, что роль прямых инвестиций особенно велика: вложение капитала как приток свежей крови действует на экономику. Теперь обратимся к российскому опыту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какие виды инвестиций превалируют и какова их роль в развитии страны.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Для РФ особо значим вопрос обновления производственных мощностей. Большинство из них досталось в наследство от советской эпохи, и спустя десятилетия предприятиям необходима модернизация. У текущих собственников собственных средств на перезапуск производства не хватает. Кроме того, ряд компаний находятся в плачевном состоянии после кризисов последних лет. Потому российскую сторону интересуют все уровни финансовых вложений, включая: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Начальные инвестиции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венчурные проекты, запуск новых компаний и предприятий;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Реинвестиции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повторное вложение в бизнес полученной из него прибыли;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Инвестиции на расширение бизнеса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освоение новых и смежных областей в дополнение к достигнутым рубежам;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Инвестиции на частичное изменение бизнеса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модернизацию, реорганизацию и диверсификацию имеющихся компаний.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lastRenderedPageBreak/>
        <w:t>В таблице ниже представлена статистика инвестиций в России в 2018 году. Для сравнения даны показатели за минувшие годы: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117"/>
        <w:gridCol w:w="890"/>
        <w:gridCol w:w="890"/>
        <w:gridCol w:w="890"/>
        <w:gridCol w:w="890"/>
        <w:gridCol w:w="890"/>
        <w:gridCol w:w="890"/>
        <w:gridCol w:w="888"/>
      </w:tblGrid>
      <w:tr w:rsidR="00E436D9" w:rsidRPr="00DC095E" w:rsidTr="008712B6">
        <w:tc>
          <w:tcPr>
            <w:tcW w:w="1668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2011</w:t>
            </w: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2012</w:t>
            </w: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2013</w:t>
            </w: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2014</w:t>
            </w: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2015</w:t>
            </w: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2016</w:t>
            </w:r>
          </w:p>
        </w:tc>
        <w:tc>
          <w:tcPr>
            <w:tcW w:w="475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2017</w:t>
            </w:r>
          </w:p>
        </w:tc>
      </w:tr>
      <w:tr w:rsidR="00E436D9" w:rsidRPr="00DC095E" w:rsidTr="008712B6">
        <w:tc>
          <w:tcPr>
            <w:tcW w:w="1668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Входящие инвестиции*</w:t>
            </w: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110,3</w:t>
            </w: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125,9</w:t>
            </w: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134,5</w:t>
            </w: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139,0</w:t>
            </w: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138,9</w:t>
            </w:r>
          </w:p>
        </w:tc>
        <w:tc>
          <w:tcPr>
            <w:tcW w:w="476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147,5</w:t>
            </w:r>
          </w:p>
        </w:tc>
        <w:tc>
          <w:tcPr>
            <w:tcW w:w="475" w:type="pct"/>
            <w:hideMark/>
          </w:tcPr>
          <w:p w:rsidR="00E436D9" w:rsidRPr="00DC095E" w:rsidRDefault="00E436D9" w:rsidP="008712B6">
            <w:pPr>
              <w:pStyle w:val="a3"/>
              <w:rPr>
                <w:sz w:val="22"/>
                <w:szCs w:val="22"/>
              </w:rPr>
            </w:pPr>
            <w:r w:rsidRPr="00DC095E">
              <w:rPr>
                <w:sz w:val="22"/>
                <w:szCs w:val="22"/>
              </w:rPr>
              <w:t>159,7</w:t>
            </w:r>
          </w:p>
        </w:tc>
      </w:tr>
    </w:tbl>
    <w:p w:rsidR="00E436D9" w:rsidRPr="00DC095E" w:rsidRDefault="00E436D9" w:rsidP="00E436D9">
      <w:pPr>
        <w:spacing w:line="240" w:lineRule="auto"/>
        <w:rPr>
          <w:sz w:val="22"/>
          <w:szCs w:val="22"/>
        </w:rPr>
      </w:pPr>
      <w:r w:rsidRPr="00DC095E">
        <w:rPr>
          <w:sz w:val="22"/>
          <w:szCs w:val="22"/>
        </w:rPr>
        <w:t>*Объем инвестиций в основной капитал РФ указан в триллионах российских рублей.</w:t>
      </w:r>
    </w:p>
    <w:p w:rsidR="00E436D9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Иностранные инвесторы все меньше хотят вкладывать в российскую экономику. Об этом говорят данные Центробанка, который зафиксировал сокращение притока прямых иностранных инвестиций (ПИИ). Не спешат инвестировать в России и отечественные предприниматели. Объем российских вложений за рубежом увеличился за прошлый год почти на 73% и превысил суммарные иностранные инвестиции в Россию. Чистый отток инвестиций из России составил около 11 млрд долл. в год.</w:t>
      </w:r>
    </w:p>
    <w:p w:rsidR="00E436D9" w:rsidRDefault="00E436D9" w:rsidP="00E436D9">
      <w:pPr>
        <w:rPr>
          <w:sz w:val="22"/>
          <w:szCs w:val="22"/>
        </w:rPr>
      </w:pPr>
      <w:r w:rsidRPr="00AA4B1F">
        <w:rPr>
          <w:sz w:val="22"/>
          <w:szCs w:val="22"/>
        </w:rPr>
        <w:t>Анализ структуры притока ПИИ в Россию по инструментам показывает, что с 2014 года российские компании постепенно сокращали свои долги перед прямыми инвесторами. Происходившее при этом реинвестирование прибылей и новые вложения в капитал приводили к тому, что общий приток ПИИ оставался положительным. Во втором квартале из-за опасений, связанных с санкциями и с валютным курсом, приток новых инвестиций в капитал остановился. Иностранные инвесторы также предпочли репатриировать прибыль, вместо того чтобы реинвестировать ее в России. Аналогичная ситуация, вероятно, продолжилась и в третьем квартале. В результате мы получили рекордный отток инвестиций. Таким образом, отрицательная статистика по ПИИ была скорее бухгалтерской. Физически инвесторы вряд ли ушли из России. Они просто стали менее активно вкладываться в российскую экономику.</w:t>
      </w:r>
    </w:p>
    <w:p w:rsidR="00E436D9" w:rsidRPr="00AA4B1F" w:rsidRDefault="00E436D9" w:rsidP="00E436D9">
      <w:pPr>
        <w:rPr>
          <w:sz w:val="22"/>
          <w:szCs w:val="22"/>
        </w:rPr>
      </w:pPr>
    </w:p>
    <w:p w:rsidR="00E436D9" w:rsidRPr="00AA4B1F" w:rsidRDefault="00E436D9" w:rsidP="00E436D9">
      <w:pPr>
        <w:rPr>
          <w:sz w:val="22"/>
          <w:szCs w:val="22"/>
        </w:rPr>
      </w:pPr>
      <w:r w:rsidRPr="00AA4B1F">
        <w:rPr>
          <w:noProof/>
          <w:sz w:val="22"/>
          <w:szCs w:val="22"/>
        </w:rPr>
        <w:drawing>
          <wp:inline distT="0" distB="0" distL="0" distR="0" wp14:anchorId="63DC61B4" wp14:editId="189D12A1">
            <wp:extent cx="5549633" cy="3231931"/>
            <wp:effectExtent l="0" t="0" r="0" b="6985"/>
            <wp:docPr id="2" name="Рисунок 2" descr="http://www.forbes.ru/files/grafik_2.png__1539332760__20748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forbes.ru/files/grafik_2.png__1539332760__20748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86"/>
                    <a:stretch/>
                  </pic:blipFill>
                  <pic:spPr bwMode="auto">
                    <a:xfrm>
                      <a:off x="0" y="0"/>
                      <a:ext cx="5562558" cy="3239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36D9" w:rsidRPr="00AA4B1F" w:rsidRDefault="00E436D9" w:rsidP="00E436D9">
      <w:pPr>
        <w:rPr>
          <w:sz w:val="22"/>
          <w:szCs w:val="22"/>
        </w:rPr>
      </w:pPr>
      <w:r w:rsidRPr="00AA4B1F">
        <w:rPr>
          <w:b/>
          <w:bCs/>
          <w:sz w:val="22"/>
          <w:szCs w:val="22"/>
        </w:rPr>
        <w:t xml:space="preserve">График </w:t>
      </w:r>
      <w:r>
        <w:rPr>
          <w:b/>
          <w:bCs/>
          <w:sz w:val="22"/>
          <w:szCs w:val="22"/>
        </w:rPr>
        <w:t>1</w:t>
      </w:r>
      <w:r w:rsidRPr="00AA4B1F">
        <w:rPr>
          <w:b/>
          <w:bCs/>
          <w:sz w:val="22"/>
          <w:szCs w:val="22"/>
        </w:rPr>
        <w:t>. Структура входящих ПИИ по инструментам, млрд. долл.</w:t>
      </w:r>
    </w:p>
    <w:p w:rsidR="00E436D9" w:rsidRDefault="00E436D9" w:rsidP="00E436D9">
      <w:pPr>
        <w:rPr>
          <w:sz w:val="22"/>
          <w:szCs w:val="22"/>
        </w:rPr>
      </w:pPr>
    </w:p>
    <w:p w:rsidR="00E436D9" w:rsidRPr="00AA4B1F" w:rsidRDefault="00E436D9" w:rsidP="00E436D9">
      <w:pPr>
        <w:rPr>
          <w:sz w:val="22"/>
          <w:szCs w:val="22"/>
        </w:rPr>
      </w:pPr>
      <w:r w:rsidRPr="00AA4B1F">
        <w:rPr>
          <w:sz w:val="22"/>
          <w:szCs w:val="22"/>
        </w:rPr>
        <w:lastRenderedPageBreak/>
        <w:t xml:space="preserve">Существуют разные оценки того, насколько важным источником являются иностранные игроки в структуре совокупных инвестиций в основной капитал в России. Например, Росстат оценивает долю этого источника финансирования лишь в 0,8%, ЮНКТАД (Конференция ООН по торговле и развитию) </w:t>
      </w:r>
      <w:r>
        <w:rPr>
          <w:sz w:val="22"/>
          <w:szCs w:val="22"/>
        </w:rPr>
        <w:t>–</w:t>
      </w:r>
      <w:r w:rsidRPr="00AA4B1F">
        <w:rPr>
          <w:sz w:val="22"/>
          <w:szCs w:val="22"/>
        </w:rPr>
        <w:t xml:space="preserve"> почти в 10%. Статистика довольно противоречива, но очевидно, что не стоит воспринимать ПИИ лишь как один из каналов поступления средств в экономику. Вместе с прямыми иностранными инвестициями в страну приходят новейшие технологии, внедряются новые, более качественные практики ведения бизнеса, корпоративного управления, эффективности.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Согласно данным ЦБ, чистый приток ПИИ в РФ в 2017 году снизился на 14,3% и составил 27,9 млрд долл. по сравнению с 32,5 млрд долл. в 2016 году.  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В том числе чистый приток ПИИ в новые акции составил 9,7 млрд долл., что почти в два раза меньше, чем в 2016 году – 18,5 млрд долл.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Кроме того, чистый приток прямых иностранных инвестиций путем реинвестирования доходов в 2017 году составил 15,8 млрд долл., снизившись по отношению к 2016 году на 8,2%. Через долговые инструменты ПИИ увеличились в 2017 году на 2,4 млрд долл. против снижения в 2016 году на 3,2 млрд долл.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По видам экономической деятельности основная масса вложений пришлась на добычу полезных ископаемых. Сюда иностранцы вложили около 7,9 млрд долл. 7,4 млрд долл. ПИИ нерезиденты РФ инвестировали в финансовый сектор. В развитие обрабатывающих производств в РФ было вложено около 2,8 млрд долл., а в строительство инвестировано 2 млрд долл.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При этом инвестиции в РФ в первую очередь шли из пресловутых «тихих офшорных гаваней». Так, Багамы в 2017 году вложили в российскую экономику около 6,3 млрд долл., Кипр – 7,8 млрд. Около 3,4 млрд долл. инвестиций в прошлом году поступили из Люксембурга и 24 млрд – из Сингапура.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Заметим, о настороженных инвестиционных ожиданиях иностранного бизнеса свидетельствуют и результаты опросов. К примеру, во вторник Ассоциация европейского бизнеса (АЕБ) обнародовала данные исследования, проведенного совместно с компанией </w:t>
      </w:r>
      <w:proofErr w:type="spellStart"/>
      <w:r w:rsidRPr="00DC095E">
        <w:rPr>
          <w:sz w:val="22"/>
          <w:szCs w:val="22"/>
        </w:rPr>
        <w:t>GfK</w:t>
      </w:r>
      <w:proofErr w:type="spellEnd"/>
      <w:r w:rsidRPr="00DC095E">
        <w:rPr>
          <w:sz w:val="22"/>
          <w:szCs w:val="22"/>
        </w:rPr>
        <w:t xml:space="preserve"> </w:t>
      </w:r>
      <w:proofErr w:type="spellStart"/>
      <w:r w:rsidRPr="00DC095E">
        <w:rPr>
          <w:sz w:val="22"/>
          <w:szCs w:val="22"/>
        </w:rPr>
        <w:t>Rus</w:t>
      </w:r>
      <w:proofErr w:type="spellEnd"/>
      <w:r w:rsidRPr="00DC095E">
        <w:rPr>
          <w:sz w:val="22"/>
          <w:szCs w:val="22"/>
        </w:rPr>
        <w:t xml:space="preserve">. В рамках замера были опрошены представители 76 европейских компаний. Исследователи, в частности, отмечают рост числа тех, кто ожидает снижения инвестиций в России в целом в связи с негативными внешними факторами. Если в прошлом году доля таких пессимистов составляла 11%, то сегодня уже 36%. Однако большинство компаний ожидают, что инвестиции в отраслях их деятельности сохранятся без изменений. «Большинство европейских компаний были довольны как результатами по итогам 2017 года, так и началом первого квартала 2018-го. Однако слабый рост экономики России вносит эффект неопределенности. Одними из самых дестабилизирующих факторов стали </w:t>
      </w:r>
      <w:proofErr w:type="spellStart"/>
      <w:r w:rsidRPr="00DC095E">
        <w:rPr>
          <w:sz w:val="22"/>
          <w:szCs w:val="22"/>
        </w:rPr>
        <w:t>санкционные</w:t>
      </w:r>
      <w:proofErr w:type="spellEnd"/>
      <w:r w:rsidRPr="00DC095E">
        <w:rPr>
          <w:sz w:val="22"/>
          <w:szCs w:val="22"/>
        </w:rPr>
        <w:t xml:space="preserve"> риски, отравляющие в целом позитивный бизнес-климат для европейских компаний в России».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В то время как инвестиции иностранцев в Россию снижаются, вложения россиян в зарубежные экономики растут. По данным ведомства Эльвиры </w:t>
      </w:r>
      <w:proofErr w:type="spellStart"/>
      <w:r w:rsidRPr="00DC095E">
        <w:rPr>
          <w:sz w:val="22"/>
          <w:szCs w:val="22"/>
        </w:rPr>
        <w:t>Набиуллиной</w:t>
      </w:r>
      <w:proofErr w:type="spellEnd"/>
      <w:r w:rsidRPr="00DC095E">
        <w:rPr>
          <w:sz w:val="22"/>
          <w:szCs w:val="22"/>
        </w:rPr>
        <w:t xml:space="preserve">, инвестиции из РФ за </w:t>
      </w:r>
      <w:r w:rsidRPr="00DC095E">
        <w:rPr>
          <w:sz w:val="22"/>
          <w:szCs w:val="22"/>
        </w:rPr>
        <w:lastRenderedPageBreak/>
        <w:t>границу в 2017 году выросли на 73% – до 38,6 млрд долл. Для сравнения, в 2016 году чистые вложения составили 22,3 млрд, а в 2015-м – 22,1 млрд долл.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В основном этот рост обеспечили инвестиции в новые акции, следует из данных регулятора. Через них прямые инвестиции резидентов РФ за рубежом увеличились на 22,5 млрд долл., что в 2,6 раза больше, чем в 2016 году (8,7 млрд после 8,4 млрд долл. в 2015 году).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В </w:t>
      </w:r>
      <w:proofErr w:type="spellStart"/>
      <w:r w:rsidRPr="00DC095E">
        <w:rPr>
          <w:sz w:val="22"/>
          <w:szCs w:val="22"/>
        </w:rPr>
        <w:t>страновом</w:t>
      </w:r>
      <w:proofErr w:type="spellEnd"/>
      <w:r w:rsidRPr="00DC095E">
        <w:rPr>
          <w:sz w:val="22"/>
          <w:szCs w:val="22"/>
        </w:rPr>
        <w:t xml:space="preserve"> разрезе вновь лидирует Кипр. В экономику островного государства россияне вложили в прошлом году рекордные 20 млрд долл. И год от года эта цифра только растет. К примеру, в 2016 году россияне инвестировали 9,8 млрд долл., в 2015-м – 4,2 млрд.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На фоне Кипра скромнее смотрятся показатели Австрии, куда россияне вложили 6,7 млрд долл., Сингапура с показателем в 6,1 млрд и Чехии с 2,3 млрд долл. российских инвестиций. 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Отметим, ранее в Организации экономического сотрудничества и развития (ОЭСР) приводили несколько другие данные по притоку и оттоку инвестиций в РФ. Согласно их отчету, объем прямых иностранных инвестиций в Россию в минувшем году опустился на 32% – до 25 млрд долл. В то время российские инвестиции за рубежом подскочили на 34%, составив 36 млрд долл.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Впрочем, замечают в ОЭСР, Россия в данном случае идет в русле мировых трендов. Так, мировые потоки ПИИ в 2017 году сократились на 18% – до 1,411 трлн долл. «Это составляет 1,8% мирового ВВП и сопоставимо с показателями 2012 и 2014 годов, в то время как в 2016 году он равнялся 2,3% ВВП и в 2015 году – 2,5% ВВП», – отмечается в докладе организации.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Приток инвестиций в страны ОЭСР также сократился по итогам прошлого года на 37% (до 760 млрд), в основном за счет Великобритании и США.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Как показывает статистика, приток капитала в российскую экономику увеличивается, несмотря на негативный эффект от санкций. Аномальный всплеск на несколько процентных пунктов был отмечен в 2017 году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тогда рост инвестиций превысил ожидания экспертов. Улучшение связали с реализацией крупных проектов (строительства Крымского моста и чемпионата мира по футболу). В минувшем году быстрее всего росли инвестиции в: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Пищевую промышленность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Индустрию и производство химических продуктов;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Добычу полезных ископаемых;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Сельское хозяйство, охоту и рыболовство.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Улучшение инвестиционного климата зафиксировали и в EY (</w:t>
      </w:r>
      <w:proofErr w:type="spellStart"/>
      <w:r w:rsidRPr="00DC095E">
        <w:rPr>
          <w:sz w:val="22"/>
          <w:szCs w:val="22"/>
        </w:rPr>
        <w:t>Ernst</w:t>
      </w:r>
      <w:proofErr w:type="spellEnd"/>
      <w:r w:rsidRPr="00DC095E">
        <w:rPr>
          <w:sz w:val="22"/>
          <w:szCs w:val="22"/>
        </w:rPr>
        <w:t xml:space="preserve"> &amp; </w:t>
      </w:r>
      <w:proofErr w:type="spellStart"/>
      <w:r w:rsidRPr="00DC095E">
        <w:rPr>
          <w:sz w:val="22"/>
          <w:szCs w:val="22"/>
        </w:rPr>
        <w:t>Young</w:t>
      </w:r>
      <w:proofErr w:type="spellEnd"/>
      <w:r w:rsidRPr="00DC095E">
        <w:rPr>
          <w:sz w:val="22"/>
          <w:szCs w:val="22"/>
        </w:rPr>
        <w:t xml:space="preserve">)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крупнейшей консалтинго-аудиторской компании. В рейтинге самых привлекательных для инвесторов стран Россия впервые заняла высокую строчку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седьмое место в топе, оставив позади Бельгию. Авторы рейтинга учитывали количество проектов с участием иностранного капитала, а также число рабочих мест, появившихся благодаря инвестициям. Впрочем, успехи РФ в последние годы не отменяет ряда системных проблем. О них пойдет речь ниже.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Ключевую роль в привлечении средств из-за рубежа играет инвестиционная привлекательность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то, как страну оценивают потенциальные инвесторы. Что влияет на их выбор?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Потенциал территории;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lastRenderedPageBreak/>
        <w:t>Развитость законодательной базы;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Уровень коррупции;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Экономическая ситуация;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>Кадровый потенциал.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И если с человеческим ресурсом и природным богатством у РФ проблем нет, то нестабильность законодательства и кризисные тенденции в экономике отталкивают иностранный капитал. По мнению экспертов, инвесторы в России защищены лишь де-юре. Де-факто всегда сохраняется риск, что власти откажут им в протекции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сменят акцизы, проведут пересчет формул или отменяет действующие преференции.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Смежная к законодательству проблема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налогообложение в РФ. Так, из года в год в стране повышается налоговая нагрузка на заграничный капитал. Это особенно касается тех инвесторов, которые ведут деятельность в российских регионах: они не получают хоть сколько-нибудь значимых послаблений вроде налоговых каникул.</w:t>
      </w:r>
    </w:p>
    <w:p w:rsidR="00E436D9" w:rsidRPr="00DC095E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Еще более тревожный тренд для инвесторов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общая нестабильность законодательства (в том числе и налогового). Обращает на себя внимание небольшой интервал между внесением новых поправок в Налоговый Кодекс и их реализацией. Столь же быстро от принятых мер отказываются. Вектор реформ очевиден: если инвестор в одном режиме запустил проект, то он хотел бы в этих же условиях его реализовать. Таким образом, изменения законодательства вкупе со снижением налога на прибыль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эти меры чаще всего предлагают рассмотреть правительству.</w:t>
      </w:r>
    </w:p>
    <w:p w:rsidR="00E436D9" w:rsidRDefault="00E436D9" w:rsidP="00E436D9">
      <w:pPr>
        <w:rPr>
          <w:sz w:val="22"/>
          <w:szCs w:val="22"/>
        </w:rPr>
      </w:pPr>
      <w:r w:rsidRPr="00DC095E">
        <w:rPr>
          <w:sz w:val="22"/>
          <w:szCs w:val="22"/>
        </w:rPr>
        <w:t xml:space="preserve">И последний момент, важный для реалий РФ,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 xml:space="preserve"> инвестиции оправдывают себя лишь при грамотном вложении. Нерациональное привлечение средств и их использование на устаревших производствах ведет к обратному результату: эффективность снижается, средства труда вроде зданий и оборудования разваливаются, конкурентоспособность падает. Печальный итог такого менеджмента </w:t>
      </w:r>
      <w:r>
        <w:rPr>
          <w:sz w:val="22"/>
          <w:szCs w:val="22"/>
        </w:rPr>
        <w:t>–</w:t>
      </w:r>
      <w:r w:rsidRPr="00DC095E">
        <w:rPr>
          <w:sz w:val="22"/>
          <w:szCs w:val="22"/>
        </w:rPr>
        <w:t> </w:t>
      </w:r>
      <w:r w:rsidRPr="00DC095E">
        <w:rPr>
          <w:rFonts w:eastAsiaTheme="majorEastAsia"/>
          <w:sz w:val="22"/>
          <w:szCs w:val="22"/>
        </w:rPr>
        <w:t>банкротство</w:t>
      </w:r>
      <w:r w:rsidRPr="00DC095E">
        <w:rPr>
          <w:sz w:val="22"/>
          <w:szCs w:val="22"/>
        </w:rPr>
        <w:t> предприятия. Чтобы этого не произошло, привлечение инвестиций должно начинаться со стратегии: обоснования их целесообразности, анализа сочетания с собственным ресурсом.</w:t>
      </w:r>
    </w:p>
    <w:p w:rsidR="00E436D9" w:rsidRPr="00D17E35" w:rsidRDefault="00E436D9" w:rsidP="00E436D9">
      <w:pPr>
        <w:rPr>
          <w:sz w:val="22"/>
          <w:szCs w:val="22"/>
        </w:rPr>
      </w:pPr>
      <w:r w:rsidRPr="00D17E35">
        <w:rPr>
          <w:sz w:val="22"/>
          <w:szCs w:val="22"/>
        </w:rPr>
        <w:t>Приток иностранных инвестиций сдерживается многими факторами, но самым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главным является общее состояние экономики. На иностранные инвестиции влияет высокая неопределенность перспектив роста, геополитические конфликты, при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этом рост процентных ставок по кредитам, административное давление, слабость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институциональной защиты ставят под угрозу безопасность иностранных вложений.</w:t>
      </w:r>
    </w:p>
    <w:p w:rsidR="00E436D9" w:rsidRPr="00D17E35" w:rsidRDefault="00E436D9" w:rsidP="00E436D9">
      <w:pPr>
        <w:rPr>
          <w:sz w:val="22"/>
          <w:szCs w:val="22"/>
        </w:rPr>
      </w:pPr>
      <w:r w:rsidRPr="00D17E35">
        <w:rPr>
          <w:sz w:val="22"/>
          <w:szCs w:val="22"/>
        </w:rPr>
        <w:t>Снижение доходов населения сказывается на отсутствии интереса инвесторов к вложениям на внутреннем рынке страны. Кроме того, после введения санкций произошло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ухудшение восприятия страны в мире, что отталкивает иностранных инвесторов и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 xml:space="preserve">позволяет расценивать российскую экономику как </w:t>
      </w:r>
      <w:proofErr w:type="spellStart"/>
      <w:r w:rsidRPr="00D17E35">
        <w:rPr>
          <w:sz w:val="22"/>
          <w:szCs w:val="22"/>
        </w:rPr>
        <w:t>высокорисковую</w:t>
      </w:r>
      <w:proofErr w:type="spellEnd"/>
      <w:r w:rsidRPr="00D17E35">
        <w:rPr>
          <w:sz w:val="22"/>
          <w:szCs w:val="22"/>
        </w:rPr>
        <w:t xml:space="preserve"> область инвестиций.</w:t>
      </w:r>
    </w:p>
    <w:p w:rsidR="00E436D9" w:rsidRPr="00D17E35" w:rsidRDefault="00E436D9" w:rsidP="00E436D9">
      <w:pPr>
        <w:rPr>
          <w:sz w:val="22"/>
          <w:szCs w:val="22"/>
        </w:rPr>
      </w:pPr>
      <w:r w:rsidRPr="00D17E35">
        <w:rPr>
          <w:sz w:val="22"/>
          <w:szCs w:val="22"/>
        </w:rPr>
        <w:t>Поэтому для повышения инвестиционной привлекательности России необходимо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улучшить общее экономическое положение страны, что крайне сложно, учитывая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 xml:space="preserve">обострение геополитической ситуации в мире. В настоящее время макроэкономические показатели изменяются </w:t>
      </w:r>
      <w:r w:rsidRPr="00D17E35">
        <w:rPr>
          <w:sz w:val="22"/>
          <w:szCs w:val="22"/>
        </w:rPr>
        <w:lastRenderedPageBreak/>
        <w:t>в лучшую сторону, так ВВП в 2017 году вырос по сравнению с 2016 годом, но пока не вышел на докризисный уровень. Стратегически важным аспектом является не только увеличение данного показателя в целом, но и рост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доли высокотехнологичных и научно-интенсивных секторов. Для достижения данной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цели необходимо увеличивать государственные расходы на проведение исследований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и разработку технологий, поскольку частный сектор пока не готов вкладываться в эту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сферу без налаженного производства в сложившейся среде с конкурентными преимуществами, обеспечивающими прирост прибыли. В настоящее время осуществляется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финансирование информационной инфраструктуры во всех отраслях экономики,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 xml:space="preserve">поддержка </w:t>
      </w:r>
      <w:proofErr w:type="spellStart"/>
      <w:r w:rsidRPr="00D17E35">
        <w:rPr>
          <w:sz w:val="22"/>
          <w:szCs w:val="22"/>
        </w:rPr>
        <w:t>стартапов</w:t>
      </w:r>
      <w:proofErr w:type="spellEnd"/>
      <w:r w:rsidRPr="00D17E35">
        <w:rPr>
          <w:sz w:val="22"/>
          <w:szCs w:val="22"/>
        </w:rPr>
        <w:t xml:space="preserve"> и инновационных технологий.</w:t>
      </w:r>
    </w:p>
    <w:p w:rsidR="00E436D9" w:rsidRPr="00D17E35" w:rsidRDefault="00E436D9" w:rsidP="00E436D9">
      <w:pPr>
        <w:rPr>
          <w:sz w:val="22"/>
          <w:szCs w:val="22"/>
        </w:rPr>
      </w:pPr>
      <w:r w:rsidRPr="00D17E35">
        <w:rPr>
          <w:sz w:val="22"/>
          <w:szCs w:val="22"/>
        </w:rPr>
        <w:t>Важное значение для инвестиционной привлекательности имеет также поддержание низкого и устойчивого уровня инфляции (после кризисных явлений 2014–2015 гг.,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по данным Всемирного банка, индекс потребительских цен в России в 2017 году составил 4,2 [2], что безусловно является положител</w:t>
      </w:r>
      <w:r>
        <w:rPr>
          <w:sz w:val="22"/>
          <w:szCs w:val="22"/>
        </w:rPr>
        <w:t>ьным фактором), обеспечение гиб</w:t>
      </w:r>
      <w:r w:rsidRPr="00D17E35">
        <w:rPr>
          <w:sz w:val="22"/>
          <w:szCs w:val="22"/>
        </w:rPr>
        <w:t>кого курса национальной валюты, реализация эффективной бюджетной и долговой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политики.</w:t>
      </w:r>
    </w:p>
    <w:p w:rsidR="00E436D9" w:rsidRPr="00DC095E" w:rsidRDefault="00E436D9" w:rsidP="00E436D9">
      <w:pPr>
        <w:rPr>
          <w:sz w:val="22"/>
          <w:szCs w:val="22"/>
        </w:rPr>
      </w:pPr>
      <w:r w:rsidRPr="00D17E35">
        <w:rPr>
          <w:sz w:val="22"/>
          <w:szCs w:val="22"/>
        </w:rPr>
        <w:t>Приоритетными направлениями политики РФ, направленной на рост экономической устойчивости, также являются создание новых высокопроизводительных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>рабочих мест и увеличение производительности труда и занятости в целом. Для осуществления данной инициативы необходимо финансирование государства в области</w:t>
      </w:r>
      <w:r>
        <w:rPr>
          <w:sz w:val="22"/>
          <w:szCs w:val="22"/>
        </w:rPr>
        <w:t xml:space="preserve"> </w:t>
      </w:r>
      <w:r w:rsidRPr="00D17E35">
        <w:rPr>
          <w:sz w:val="22"/>
          <w:szCs w:val="22"/>
        </w:rPr>
        <w:t xml:space="preserve">образовательных программ, приборостроения, здравоохранения, цифровой экономики, поддержка малого и среднего предпринимательства и т. </w:t>
      </w:r>
      <w:proofErr w:type="gramStart"/>
      <w:r w:rsidRPr="00D17E35">
        <w:rPr>
          <w:sz w:val="22"/>
          <w:szCs w:val="22"/>
        </w:rPr>
        <w:t>д .</w:t>
      </w:r>
      <w:proofErr w:type="gramEnd"/>
    </w:p>
    <w:p w:rsidR="00E436D9" w:rsidRPr="00DC095E" w:rsidRDefault="00E436D9" w:rsidP="00E436D9">
      <w:pPr>
        <w:rPr>
          <w:sz w:val="22"/>
          <w:szCs w:val="22"/>
        </w:rPr>
      </w:pPr>
      <w:r>
        <w:rPr>
          <w:sz w:val="22"/>
          <w:szCs w:val="22"/>
        </w:rPr>
        <w:t>Библиографический список</w:t>
      </w:r>
    </w:p>
    <w:p w:rsidR="00E436D9" w:rsidRPr="00DC095E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proofErr w:type="spellStart"/>
      <w:r w:rsidRPr="00DC095E">
        <w:rPr>
          <w:sz w:val="22"/>
        </w:rPr>
        <w:t>Данильчук</w:t>
      </w:r>
      <w:proofErr w:type="spellEnd"/>
      <w:r w:rsidRPr="00DC095E">
        <w:rPr>
          <w:sz w:val="22"/>
        </w:rPr>
        <w:t xml:space="preserve"> В.В. Инвестиции в России: кто и откуда? // Общественные и экономические науки. Студенческий научный форум: </w:t>
      </w:r>
      <w:proofErr w:type="spellStart"/>
      <w:r w:rsidRPr="00DC095E">
        <w:rPr>
          <w:sz w:val="22"/>
        </w:rPr>
        <w:t>электр</w:t>
      </w:r>
      <w:proofErr w:type="spellEnd"/>
      <w:r w:rsidRPr="00DC095E">
        <w:rPr>
          <w:sz w:val="22"/>
        </w:rPr>
        <w:t xml:space="preserve">. сб. ст. по мат. III </w:t>
      </w:r>
      <w:proofErr w:type="spellStart"/>
      <w:r w:rsidRPr="00DC095E">
        <w:rPr>
          <w:sz w:val="22"/>
        </w:rPr>
        <w:t>междунар</w:t>
      </w:r>
      <w:proofErr w:type="spellEnd"/>
      <w:r w:rsidRPr="00DC095E">
        <w:rPr>
          <w:sz w:val="22"/>
        </w:rPr>
        <w:t>. студ. науч.-</w:t>
      </w:r>
      <w:proofErr w:type="spellStart"/>
      <w:r w:rsidRPr="00DC095E">
        <w:rPr>
          <w:sz w:val="22"/>
        </w:rPr>
        <w:t>практ</w:t>
      </w:r>
      <w:proofErr w:type="spellEnd"/>
      <w:r w:rsidRPr="00DC095E">
        <w:rPr>
          <w:sz w:val="22"/>
        </w:rPr>
        <w:t xml:space="preserve">. </w:t>
      </w:r>
      <w:proofErr w:type="spellStart"/>
      <w:r w:rsidRPr="00DC095E">
        <w:rPr>
          <w:sz w:val="22"/>
        </w:rPr>
        <w:t>конф</w:t>
      </w:r>
      <w:proofErr w:type="spellEnd"/>
      <w:r w:rsidRPr="00DC095E">
        <w:rPr>
          <w:sz w:val="22"/>
        </w:rPr>
        <w:t>. № 3(3). URL: https://nauchforum.ru/archive/SNF_social/3(3).pdf (дата обращения: 14.10.2018)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proofErr w:type="spellStart"/>
      <w:r w:rsidRPr="00D90307">
        <w:rPr>
          <w:sz w:val="22"/>
        </w:rPr>
        <w:t>Дробот</w:t>
      </w:r>
      <w:proofErr w:type="spellEnd"/>
      <w:r w:rsidRPr="00D90307">
        <w:rPr>
          <w:sz w:val="22"/>
        </w:rPr>
        <w:t xml:space="preserve"> Е.В. Влияние </w:t>
      </w:r>
      <w:proofErr w:type="spellStart"/>
      <w:r w:rsidRPr="00D90307">
        <w:rPr>
          <w:sz w:val="22"/>
        </w:rPr>
        <w:t>санкционных</w:t>
      </w:r>
      <w:proofErr w:type="spellEnd"/>
      <w:r w:rsidRPr="00D90307">
        <w:rPr>
          <w:sz w:val="22"/>
        </w:rPr>
        <w:t xml:space="preserve"> войн на развитие внешнеторговых отношений России и Финляндии // Российское предпринимательство, 2017. – № 5. – </w:t>
      </w:r>
      <w:proofErr w:type="spellStart"/>
      <w:r w:rsidRPr="00D90307">
        <w:rPr>
          <w:sz w:val="22"/>
        </w:rPr>
        <w:t>doi</w:t>
      </w:r>
      <w:proofErr w:type="spellEnd"/>
      <w:r w:rsidRPr="00D90307">
        <w:rPr>
          <w:sz w:val="22"/>
        </w:rPr>
        <w:t>: 10.18334/rp.18.5.37618.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proofErr w:type="spellStart"/>
      <w:r w:rsidRPr="00D90307">
        <w:rPr>
          <w:sz w:val="22"/>
        </w:rPr>
        <w:t>Дробот</w:t>
      </w:r>
      <w:proofErr w:type="spellEnd"/>
      <w:r w:rsidRPr="00D90307">
        <w:rPr>
          <w:sz w:val="22"/>
        </w:rPr>
        <w:t xml:space="preserve"> Е.В., Абросимова А.С., Савицкая К.С. Влияние санкций на формирование Евразийского экономического союза // Экономические отношения, 2017. – № 1. – </w:t>
      </w:r>
      <w:proofErr w:type="spellStart"/>
      <w:r w:rsidRPr="00D90307">
        <w:rPr>
          <w:sz w:val="22"/>
        </w:rPr>
        <w:t>doi</w:t>
      </w:r>
      <w:proofErr w:type="spellEnd"/>
      <w:r w:rsidRPr="00D90307">
        <w:rPr>
          <w:sz w:val="22"/>
        </w:rPr>
        <w:t>: 10.18334/eo.7.1.37391.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proofErr w:type="spellStart"/>
      <w:r w:rsidRPr="00D90307">
        <w:rPr>
          <w:sz w:val="22"/>
        </w:rPr>
        <w:t>Дробот</w:t>
      </w:r>
      <w:proofErr w:type="spellEnd"/>
      <w:r w:rsidRPr="00D90307">
        <w:rPr>
          <w:sz w:val="22"/>
        </w:rPr>
        <w:t xml:space="preserve"> Е.В., </w:t>
      </w:r>
      <w:proofErr w:type="spellStart"/>
      <w:r w:rsidRPr="00D90307">
        <w:rPr>
          <w:sz w:val="22"/>
        </w:rPr>
        <w:t>Батарин</w:t>
      </w:r>
      <w:proofErr w:type="spellEnd"/>
      <w:r w:rsidRPr="00D90307">
        <w:rPr>
          <w:sz w:val="22"/>
        </w:rPr>
        <w:t xml:space="preserve"> И.В., </w:t>
      </w:r>
      <w:proofErr w:type="spellStart"/>
      <w:r w:rsidRPr="00D90307">
        <w:rPr>
          <w:sz w:val="22"/>
        </w:rPr>
        <w:t>Пекки</w:t>
      </w:r>
      <w:proofErr w:type="spellEnd"/>
      <w:r w:rsidRPr="00D90307">
        <w:rPr>
          <w:sz w:val="22"/>
        </w:rPr>
        <w:t xml:space="preserve"> В.Д. Анализ условий внешней торговли России и стран Запада в условиях </w:t>
      </w:r>
      <w:proofErr w:type="spellStart"/>
      <w:r w:rsidRPr="00D90307">
        <w:rPr>
          <w:sz w:val="22"/>
        </w:rPr>
        <w:t>санкционных</w:t>
      </w:r>
      <w:proofErr w:type="spellEnd"/>
      <w:r w:rsidRPr="00D90307">
        <w:rPr>
          <w:sz w:val="22"/>
        </w:rPr>
        <w:t xml:space="preserve"> войн // Экономические отношения, 2017. – № 1. – </w:t>
      </w:r>
      <w:proofErr w:type="spellStart"/>
      <w:r w:rsidRPr="00D90307">
        <w:rPr>
          <w:sz w:val="22"/>
        </w:rPr>
        <w:t>doi</w:t>
      </w:r>
      <w:proofErr w:type="spellEnd"/>
      <w:r w:rsidRPr="00D90307">
        <w:rPr>
          <w:sz w:val="22"/>
        </w:rPr>
        <w:t>: 10.18334/eo.7.1.37392.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proofErr w:type="spellStart"/>
      <w:r w:rsidRPr="00D90307">
        <w:rPr>
          <w:sz w:val="22"/>
        </w:rPr>
        <w:t>Дробот</w:t>
      </w:r>
      <w:proofErr w:type="spellEnd"/>
      <w:r w:rsidRPr="00D90307">
        <w:rPr>
          <w:sz w:val="22"/>
        </w:rPr>
        <w:t xml:space="preserve"> Е.В., Макаров И.Н., Иванова А.А. Особенности государственного управления развитием стратегических отраслей в условиях экономических санкций: институциональный и системный аспект // Российское предпринимательство, 2017. – № 19. – </w:t>
      </w:r>
      <w:proofErr w:type="spellStart"/>
      <w:r w:rsidRPr="00D90307">
        <w:rPr>
          <w:sz w:val="22"/>
        </w:rPr>
        <w:t>doi</w:t>
      </w:r>
      <w:proofErr w:type="spellEnd"/>
      <w:r w:rsidRPr="00D90307">
        <w:rPr>
          <w:sz w:val="22"/>
        </w:rPr>
        <w:t>: 10.18334/rp.18.19.38358.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proofErr w:type="spellStart"/>
      <w:r w:rsidRPr="00D90307">
        <w:rPr>
          <w:sz w:val="22"/>
        </w:rPr>
        <w:lastRenderedPageBreak/>
        <w:t>Дробот</w:t>
      </w:r>
      <w:proofErr w:type="spellEnd"/>
      <w:r w:rsidRPr="00D90307">
        <w:rPr>
          <w:sz w:val="22"/>
        </w:rPr>
        <w:t xml:space="preserve"> Е.В., Маслова В.Ю. Исследование особенностей внешнеторговой деятельности Ленинградской области в условиях санкций // Российское предпринимательство, 2017. – № 14. – </w:t>
      </w:r>
      <w:proofErr w:type="spellStart"/>
      <w:r w:rsidRPr="00D90307">
        <w:rPr>
          <w:sz w:val="22"/>
        </w:rPr>
        <w:t>doi</w:t>
      </w:r>
      <w:proofErr w:type="spellEnd"/>
      <w:r w:rsidRPr="00D90307">
        <w:rPr>
          <w:sz w:val="22"/>
        </w:rPr>
        <w:t>: 10.18334/rp.18.14.38163.</w:t>
      </w:r>
    </w:p>
    <w:p w:rsidR="00E436D9" w:rsidRPr="00DC095E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r w:rsidRPr="00DC095E">
        <w:rPr>
          <w:sz w:val="22"/>
        </w:rPr>
        <w:t xml:space="preserve">Завьялова Т.Д., Жданова О.А. Динамика прямых инвестиций в РФ // Студенческий: электрон. </w:t>
      </w:r>
      <w:proofErr w:type="spellStart"/>
      <w:r w:rsidRPr="00DC095E">
        <w:rPr>
          <w:sz w:val="22"/>
        </w:rPr>
        <w:t>научн</w:t>
      </w:r>
      <w:proofErr w:type="spellEnd"/>
      <w:r w:rsidRPr="00DC095E">
        <w:rPr>
          <w:sz w:val="22"/>
        </w:rPr>
        <w:t>. журн. 2017. № 17(17). URL: https://sibac.info/journal/student/17/85596 (дата обращения: 14.10.2018).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proofErr w:type="spellStart"/>
      <w:r w:rsidRPr="00D90307">
        <w:rPr>
          <w:sz w:val="22"/>
        </w:rPr>
        <w:t>Загашвили</w:t>
      </w:r>
      <w:proofErr w:type="spellEnd"/>
      <w:r w:rsidRPr="00D90307">
        <w:rPr>
          <w:sz w:val="22"/>
        </w:rPr>
        <w:t xml:space="preserve"> В.С. Западные санкции и российская экономика // Международные отношения, 2015. – № 11.</w:t>
      </w:r>
    </w:p>
    <w:p w:rsidR="00E436D9" w:rsidRPr="00DC095E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r w:rsidRPr="00DC095E">
        <w:rPr>
          <w:sz w:val="22"/>
        </w:rPr>
        <w:t xml:space="preserve">Инвестиции в России. 2017: </w:t>
      </w:r>
      <w:proofErr w:type="spellStart"/>
      <w:r w:rsidRPr="00DC095E">
        <w:rPr>
          <w:sz w:val="22"/>
        </w:rPr>
        <w:t>Стат.сб</w:t>
      </w:r>
      <w:proofErr w:type="spellEnd"/>
      <w:r w:rsidRPr="00DC095E">
        <w:rPr>
          <w:sz w:val="22"/>
        </w:rPr>
        <w:t>./ Росстат. - М., 2017. – 188 с.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r w:rsidRPr="00D90307">
        <w:rPr>
          <w:sz w:val="22"/>
        </w:rPr>
        <w:t xml:space="preserve">Кадыров Т.А. Влияние иностранных инвестиций на национальные компании в российской экономике // Российское предпринимательство, 2014. – № 13(259). – 2198 </w:t>
      </w:r>
      <w:r w:rsidRPr="00D90307">
        <w:rPr>
          <w:sz w:val="22"/>
          <w:lang w:val="en-US"/>
        </w:rPr>
        <w:t>Russian</w:t>
      </w:r>
      <w:r w:rsidRPr="00D90307">
        <w:rPr>
          <w:sz w:val="22"/>
        </w:rPr>
        <w:t xml:space="preserve"> </w:t>
      </w:r>
      <w:proofErr w:type="spellStart"/>
      <w:r w:rsidRPr="00D90307">
        <w:rPr>
          <w:sz w:val="22"/>
          <w:lang w:val="en-US"/>
        </w:rPr>
        <w:t>JouRnal</w:t>
      </w:r>
      <w:proofErr w:type="spellEnd"/>
      <w:r w:rsidRPr="00D90307">
        <w:rPr>
          <w:sz w:val="22"/>
        </w:rPr>
        <w:t xml:space="preserve"> </w:t>
      </w:r>
      <w:r w:rsidRPr="00D90307">
        <w:rPr>
          <w:sz w:val="22"/>
          <w:lang w:val="en-US"/>
        </w:rPr>
        <w:t>of</w:t>
      </w:r>
      <w:r w:rsidRPr="00D90307">
        <w:rPr>
          <w:sz w:val="22"/>
        </w:rPr>
        <w:t xml:space="preserve"> </w:t>
      </w:r>
      <w:proofErr w:type="spellStart"/>
      <w:r w:rsidRPr="00D90307">
        <w:rPr>
          <w:sz w:val="22"/>
          <w:lang w:val="en-US"/>
        </w:rPr>
        <w:t>EntREpREnEuRship</w:t>
      </w:r>
      <w:proofErr w:type="spellEnd"/>
      <w:r w:rsidRPr="00D90307">
        <w:rPr>
          <w:sz w:val="22"/>
        </w:rPr>
        <w:t xml:space="preserve"> #8’2018 (</w:t>
      </w:r>
      <w:r w:rsidRPr="00D90307">
        <w:rPr>
          <w:sz w:val="22"/>
          <w:lang w:val="en-US"/>
        </w:rPr>
        <w:t>August</w:t>
      </w:r>
      <w:r w:rsidRPr="00D90307">
        <w:rPr>
          <w:sz w:val="22"/>
        </w:rPr>
        <w:t xml:space="preserve">) </w:t>
      </w:r>
      <w:proofErr w:type="spellStart"/>
      <w:r w:rsidRPr="00D90307">
        <w:rPr>
          <w:sz w:val="22"/>
          <w:lang w:val="en-US"/>
        </w:rPr>
        <w:t>url</w:t>
      </w:r>
      <w:proofErr w:type="spellEnd"/>
      <w:r w:rsidRPr="00D90307">
        <w:rPr>
          <w:sz w:val="22"/>
        </w:rPr>
        <w:t xml:space="preserve">: </w:t>
      </w:r>
      <w:r w:rsidRPr="00D90307">
        <w:rPr>
          <w:sz w:val="22"/>
          <w:lang w:val="en-US"/>
        </w:rPr>
        <w:t>http</w:t>
      </w:r>
      <w:r w:rsidRPr="00D90307">
        <w:rPr>
          <w:sz w:val="22"/>
        </w:rPr>
        <w:t>://</w:t>
      </w:r>
      <w:proofErr w:type="spellStart"/>
      <w:r w:rsidRPr="00D90307">
        <w:rPr>
          <w:sz w:val="22"/>
          <w:lang w:val="en-US"/>
        </w:rPr>
        <w:t>bgscience</w:t>
      </w:r>
      <w:proofErr w:type="spellEnd"/>
      <w:r w:rsidRPr="00D90307">
        <w:rPr>
          <w:sz w:val="22"/>
        </w:rPr>
        <w:t>.</w:t>
      </w:r>
      <w:proofErr w:type="spellStart"/>
      <w:r w:rsidRPr="00D90307">
        <w:rPr>
          <w:sz w:val="22"/>
          <w:lang w:val="en-US"/>
        </w:rPr>
        <w:t>ru</w:t>
      </w:r>
      <w:proofErr w:type="spellEnd"/>
      <w:r w:rsidRPr="00D90307">
        <w:rPr>
          <w:sz w:val="22"/>
        </w:rPr>
        <w:t>/</w:t>
      </w:r>
      <w:r w:rsidRPr="00D90307">
        <w:rPr>
          <w:sz w:val="22"/>
          <w:lang w:val="en-US"/>
        </w:rPr>
        <w:t>lib</w:t>
      </w:r>
      <w:r w:rsidRPr="00D90307">
        <w:rPr>
          <w:sz w:val="22"/>
        </w:rPr>
        <w:t>/8580.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r w:rsidRPr="00D90307">
        <w:rPr>
          <w:sz w:val="22"/>
        </w:rPr>
        <w:t xml:space="preserve">Каримова Г.А. Теоретические аспекты прямых иностранных инвестиций в условиях стабильного роста переходной экономики // Креативная экономика, 2015. – № 4. – </w:t>
      </w:r>
      <w:proofErr w:type="spellStart"/>
      <w:r w:rsidRPr="00D90307">
        <w:rPr>
          <w:sz w:val="22"/>
        </w:rPr>
        <w:t>doi</w:t>
      </w:r>
      <w:proofErr w:type="spellEnd"/>
      <w:r w:rsidRPr="00D90307">
        <w:rPr>
          <w:sz w:val="22"/>
        </w:rPr>
        <w:t>: 10.18334/ce.9.4.208.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  <w:lang w:val="en-US"/>
        </w:rPr>
      </w:pPr>
      <w:r w:rsidRPr="00D90307">
        <w:rPr>
          <w:sz w:val="22"/>
        </w:rPr>
        <w:t xml:space="preserve">Официальный сайт Банка России. [Электронный ресурс]. </w:t>
      </w:r>
      <w:r w:rsidRPr="00D90307">
        <w:rPr>
          <w:sz w:val="22"/>
          <w:lang w:val="en-US"/>
        </w:rPr>
        <w:t xml:space="preserve">URL: </w:t>
      </w:r>
      <w:hyperlink r:id="rId7" w:history="1">
        <w:r w:rsidRPr="00D90307">
          <w:rPr>
            <w:rStyle w:val="a5"/>
            <w:sz w:val="22"/>
            <w:lang w:val="en-US"/>
          </w:rPr>
          <w:t>http://www.cbr.ru/</w:t>
        </w:r>
      </w:hyperlink>
      <w:r w:rsidRPr="00D90307">
        <w:rPr>
          <w:sz w:val="22"/>
          <w:lang w:val="en-US"/>
        </w:rPr>
        <w:t xml:space="preserve"> statistics/?</w:t>
      </w:r>
      <w:proofErr w:type="spellStart"/>
      <w:r w:rsidRPr="00D90307">
        <w:rPr>
          <w:sz w:val="22"/>
          <w:lang w:val="en-US"/>
        </w:rPr>
        <w:t>PrtId</w:t>
      </w:r>
      <w:proofErr w:type="spellEnd"/>
      <w:r w:rsidRPr="00D90307">
        <w:rPr>
          <w:sz w:val="22"/>
          <w:lang w:val="en-US"/>
        </w:rPr>
        <w:t>=</w:t>
      </w:r>
      <w:proofErr w:type="spellStart"/>
      <w:r w:rsidRPr="00D90307">
        <w:rPr>
          <w:sz w:val="22"/>
          <w:lang w:val="en-US"/>
        </w:rPr>
        <w:t>svs</w:t>
      </w:r>
      <w:proofErr w:type="spellEnd"/>
      <w:r w:rsidRPr="00D90307">
        <w:rPr>
          <w:sz w:val="22"/>
          <w:lang w:val="en-US"/>
        </w:rPr>
        <w:t>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  <w:lang w:val="en-US"/>
        </w:rPr>
      </w:pPr>
      <w:r w:rsidRPr="00D90307">
        <w:rPr>
          <w:sz w:val="22"/>
        </w:rPr>
        <w:t xml:space="preserve">Официальный сайт Всемирного банка. [Электронный ресурс]. </w:t>
      </w:r>
      <w:r w:rsidRPr="00D90307">
        <w:rPr>
          <w:sz w:val="22"/>
          <w:lang w:val="en-US"/>
        </w:rPr>
        <w:t xml:space="preserve">URL: </w:t>
      </w:r>
      <w:hyperlink r:id="rId8" w:history="1">
        <w:r w:rsidRPr="00D90307">
          <w:rPr>
            <w:rStyle w:val="a5"/>
            <w:sz w:val="22"/>
            <w:lang w:val="en-US"/>
          </w:rPr>
          <w:t>https://data</w:t>
        </w:r>
      </w:hyperlink>
      <w:r w:rsidRPr="00D90307">
        <w:rPr>
          <w:sz w:val="22"/>
          <w:lang w:val="en-US"/>
        </w:rPr>
        <w:t>. worldbank.org/indicator/</w:t>
      </w:r>
      <w:proofErr w:type="spellStart"/>
      <w:r w:rsidRPr="00D90307">
        <w:rPr>
          <w:sz w:val="22"/>
          <w:lang w:val="en-US"/>
        </w:rPr>
        <w:t>FP.CPI.TOTL.ZG?locations</w:t>
      </w:r>
      <w:proofErr w:type="spellEnd"/>
      <w:r w:rsidRPr="00D90307">
        <w:rPr>
          <w:sz w:val="22"/>
          <w:lang w:val="en-US"/>
        </w:rPr>
        <w:t>=</w:t>
      </w:r>
      <w:proofErr w:type="spellStart"/>
      <w:r w:rsidRPr="00D90307">
        <w:rPr>
          <w:sz w:val="22"/>
          <w:lang w:val="en-US"/>
        </w:rPr>
        <w:t>AL&amp;view</w:t>
      </w:r>
      <w:proofErr w:type="spellEnd"/>
      <w:r w:rsidRPr="00D90307">
        <w:rPr>
          <w:sz w:val="22"/>
          <w:lang w:val="en-US"/>
        </w:rPr>
        <w:t>=chart.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  <w:lang w:val="en-US"/>
        </w:rPr>
      </w:pPr>
      <w:r w:rsidRPr="00D90307">
        <w:rPr>
          <w:sz w:val="22"/>
        </w:rPr>
        <w:t xml:space="preserve">Официальный сайт ОЭСР. [Электронный ресурс]. </w:t>
      </w:r>
      <w:r w:rsidRPr="00D90307">
        <w:rPr>
          <w:sz w:val="22"/>
          <w:lang w:val="en-US"/>
        </w:rPr>
        <w:t>URL: https://www.oecdru.org.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r w:rsidRPr="00D90307">
        <w:rPr>
          <w:sz w:val="22"/>
        </w:rPr>
        <w:t>Официальный сайт Российского инвестиционного агентства. [Электронный ресурс]. URL: https://www.investment-in-russia.com/work/index.</w:t>
      </w:r>
    </w:p>
    <w:p w:rsidR="00E436D9" w:rsidRPr="00E436D9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r w:rsidRPr="00D90307">
        <w:rPr>
          <w:sz w:val="22"/>
        </w:rPr>
        <w:t xml:space="preserve">Официальный сайт Федеральной таможенной службы. [Электронный ресурс]. </w:t>
      </w:r>
      <w:r w:rsidRPr="00D90307">
        <w:rPr>
          <w:sz w:val="22"/>
          <w:lang w:val="en-US"/>
        </w:rPr>
        <w:t>URL</w:t>
      </w:r>
      <w:r w:rsidRPr="00E436D9">
        <w:rPr>
          <w:sz w:val="22"/>
        </w:rPr>
        <w:t xml:space="preserve">: </w:t>
      </w:r>
      <w:r w:rsidRPr="00D90307">
        <w:rPr>
          <w:sz w:val="22"/>
          <w:lang w:val="en-US"/>
        </w:rPr>
        <w:t>http</w:t>
      </w:r>
      <w:r w:rsidRPr="00E436D9">
        <w:rPr>
          <w:sz w:val="22"/>
        </w:rPr>
        <w:t>://</w:t>
      </w:r>
      <w:r w:rsidRPr="00D90307">
        <w:rPr>
          <w:sz w:val="22"/>
          <w:lang w:val="en-US"/>
        </w:rPr>
        <w:t>www</w:t>
      </w:r>
      <w:r w:rsidRPr="00E436D9">
        <w:rPr>
          <w:sz w:val="22"/>
        </w:rPr>
        <w:t>.</w:t>
      </w:r>
      <w:r w:rsidRPr="00D90307">
        <w:rPr>
          <w:sz w:val="22"/>
          <w:lang w:val="en-US"/>
        </w:rPr>
        <w:t>customs</w:t>
      </w:r>
      <w:r w:rsidRPr="00E436D9">
        <w:rPr>
          <w:sz w:val="22"/>
        </w:rPr>
        <w:t>.</w:t>
      </w:r>
      <w:proofErr w:type="spellStart"/>
      <w:r w:rsidRPr="00D90307">
        <w:rPr>
          <w:sz w:val="22"/>
          <w:lang w:val="en-US"/>
        </w:rPr>
        <w:t>ru</w:t>
      </w:r>
      <w:proofErr w:type="spellEnd"/>
      <w:r w:rsidRPr="00E436D9">
        <w:rPr>
          <w:sz w:val="22"/>
        </w:rPr>
        <w:t>/</w:t>
      </w:r>
      <w:r w:rsidRPr="00D90307">
        <w:rPr>
          <w:sz w:val="22"/>
          <w:lang w:val="en-US"/>
        </w:rPr>
        <w:t>index</w:t>
      </w:r>
      <w:r w:rsidRPr="00E436D9">
        <w:rPr>
          <w:sz w:val="22"/>
        </w:rPr>
        <w:t>.</w:t>
      </w:r>
      <w:proofErr w:type="spellStart"/>
      <w:r w:rsidRPr="00D90307">
        <w:rPr>
          <w:sz w:val="22"/>
          <w:lang w:val="en-US"/>
        </w:rPr>
        <w:t>php</w:t>
      </w:r>
      <w:proofErr w:type="spellEnd"/>
      <w:r w:rsidRPr="00E436D9">
        <w:rPr>
          <w:sz w:val="22"/>
        </w:rPr>
        <w:t>?</w:t>
      </w:r>
      <w:r w:rsidRPr="00D90307">
        <w:rPr>
          <w:sz w:val="22"/>
          <w:lang w:val="en-US"/>
        </w:rPr>
        <w:t>option</w:t>
      </w:r>
      <w:r w:rsidRPr="00E436D9">
        <w:rPr>
          <w:sz w:val="22"/>
        </w:rPr>
        <w:t>=</w:t>
      </w:r>
      <w:r w:rsidRPr="00D90307">
        <w:rPr>
          <w:sz w:val="22"/>
          <w:lang w:val="en-US"/>
        </w:rPr>
        <w:t>com</w:t>
      </w:r>
      <w:r w:rsidRPr="00E436D9">
        <w:rPr>
          <w:sz w:val="22"/>
        </w:rPr>
        <w:t>_</w:t>
      </w:r>
      <w:r w:rsidRPr="00D90307">
        <w:rPr>
          <w:sz w:val="22"/>
          <w:lang w:val="en-US"/>
        </w:rPr>
        <w:t>content</w:t>
      </w:r>
      <w:r w:rsidRPr="00E436D9">
        <w:rPr>
          <w:sz w:val="22"/>
        </w:rPr>
        <w:t>&amp;</w:t>
      </w:r>
      <w:r w:rsidRPr="00D90307">
        <w:rPr>
          <w:sz w:val="22"/>
          <w:lang w:val="en-US"/>
        </w:rPr>
        <w:t>view</w:t>
      </w:r>
      <w:r w:rsidRPr="00E436D9">
        <w:rPr>
          <w:sz w:val="22"/>
        </w:rPr>
        <w:t>=</w:t>
      </w:r>
      <w:r w:rsidRPr="00D90307">
        <w:rPr>
          <w:sz w:val="22"/>
          <w:lang w:val="en-US"/>
        </w:rPr>
        <w:t>article</w:t>
      </w:r>
      <w:r w:rsidRPr="00E436D9">
        <w:rPr>
          <w:sz w:val="22"/>
        </w:rPr>
        <w:t>&amp;</w:t>
      </w:r>
      <w:r w:rsidRPr="00D90307">
        <w:rPr>
          <w:sz w:val="22"/>
          <w:lang w:val="en-US"/>
        </w:rPr>
        <w:t>id</w:t>
      </w:r>
      <w:r w:rsidRPr="00E436D9">
        <w:rPr>
          <w:sz w:val="22"/>
        </w:rPr>
        <w:t>=26274:2016.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r w:rsidRPr="00D90307">
        <w:rPr>
          <w:sz w:val="22"/>
        </w:rPr>
        <w:t xml:space="preserve">Скрынникова Г.В., Постанова М.С. Прямые иностранные инвестиции в России: тенденции и проблемы привлечения. </w:t>
      </w:r>
      <w:proofErr w:type="spellStart"/>
      <w:r w:rsidRPr="00D90307">
        <w:rPr>
          <w:sz w:val="22"/>
        </w:rPr>
        <w:t>Науковедение</w:t>
      </w:r>
      <w:proofErr w:type="spellEnd"/>
      <w:r w:rsidRPr="00D90307">
        <w:rPr>
          <w:sz w:val="22"/>
        </w:rPr>
        <w:t>. [Электронный ресурс]. URL: http://naukovedenie.ru/PDF/106EVN415.pdf.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proofErr w:type="spellStart"/>
      <w:r w:rsidRPr="00D90307">
        <w:rPr>
          <w:sz w:val="22"/>
        </w:rPr>
        <w:t>Тетцоев</w:t>
      </w:r>
      <w:proofErr w:type="spellEnd"/>
      <w:r w:rsidRPr="00D90307">
        <w:rPr>
          <w:sz w:val="22"/>
        </w:rPr>
        <w:t xml:space="preserve"> З.Г. Специфика прямых иностранных инвестиций в автомобильную промышленность развивающихся стран // Российское предпринимательство,2016. – № 6. – </w:t>
      </w:r>
      <w:proofErr w:type="spellStart"/>
      <w:r w:rsidRPr="00D90307">
        <w:rPr>
          <w:sz w:val="22"/>
        </w:rPr>
        <w:t>doi</w:t>
      </w:r>
      <w:proofErr w:type="spellEnd"/>
      <w:r w:rsidRPr="00D90307">
        <w:rPr>
          <w:sz w:val="22"/>
        </w:rPr>
        <w:t>: 10.18334/rp.17.6.35051.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r w:rsidRPr="00D90307">
        <w:rPr>
          <w:sz w:val="22"/>
        </w:rPr>
        <w:t xml:space="preserve">Щеглова В.Ю., Горбунова А.О. Влияние санкций на продовольственную безопасность России// Экономические отношения, 2018. – № 3. – </w:t>
      </w:r>
      <w:proofErr w:type="spellStart"/>
      <w:r w:rsidRPr="00D90307">
        <w:rPr>
          <w:sz w:val="22"/>
        </w:rPr>
        <w:t>doi</w:t>
      </w:r>
      <w:proofErr w:type="spellEnd"/>
      <w:r w:rsidRPr="00D90307">
        <w:rPr>
          <w:sz w:val="22"/>
        </w:rPr>
        <w:t>: 10.18334/eo.8.3.39248.</w:t>
      </w:r>
    </w:p>
    <w:p w:rsidR="00E436D9" w:rsidRPr="00D90307" w:rsidRDefault="00E436D9" w:rsidP="00E436D9">
      <w:pPr>
        <w:pStyle w:val="a4"/>
        <w:numPr>
          <w:ilvl w:val="0"/>
          <w:numId w:val="1"/>
        </w:numPr>
        <w:ind w:left="0" w:firstLine="709"/>
        <w:rPr>
          <w:sz w:val="22"/>
        </w:rPr>
      </w:pPr>
      <w:r w:rsidRPr="00D90307">
        <w:rPr>
          <w:sz w:val="22"/>
        </w:rPr>
        <w:t xml:space="preserve">Эксперты ОНФ в Москве: Для создания высокопроизводительных рабочих </w:t>
      </w:r>
      <w:proofErr w:type="spellStart"/>
      <w:r w:rsidRPr="00D90307">
        <w:rPr>
          <w:sz w:val="22"/>
        </w:rPr>
        <w:t>местнеобходима</w:t>
      </w:r>
      <w:proofErr w:type="spellEnd"/>
      <w:r w:rsidRPr="00D90307">
        <w:rPr>
          <w:sz w:val="22"/>
        </w:rPr>
        <w:t xml:space="preserve"> поддержка инновационных предприятий. ОНФ. [Электронный ресурс]. URL: https://onf.ru/2017/10/31/eksperty-onf-v-moskve-dlya-sozdaniyavysokoproizvoditelnyh-rabochih-mest-neobhodima.</w:t>
      </w:r>
    </w:p>
    <w:p w:rsidR="00076498" w:rsidRDefault="00076498"/>
    <w:sectPr w:rsidR="00076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56D4B"/>
    <w:multiLevelType w:val="hybridMultilevel"/>
    <w:tmpl w:val="25767698"/>
    <w:lvl w:ilvl="0" w:tplc="86ECB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67E"/>
    <w:rsid w:val="00076498"/>
    <w:rsid w:val="006D637C"/>
    <w:rsid w:val="0079667E"/>
    <w:rsid w:val="00E4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EDB23-0588-4F6D-B6FE-8CC4A28C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E436D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E436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4">
    <w:name w:val="List Paragraph"/>
    <w:basedOn w:val="a"/>
    <w:uiPriority w:val="34"/>
    <w:qFormat/>
    <w:rsid w:val="00E436D9"/>
    <w:pPr>
      <w:contextualSpacing/>
    </w:pPr>
    <w:rPr>
      <w:rFonts w:eastAsiaTheme="minorHAnsi" w:cstheme="minorBidi"/>
      <w:szCs w:val="22"/>
      <w:lang w:eastAsia="en-US"/>
    </w:rPr>
  </w:style>
  <w:style w:type="character" w:styleId="a5">
    <w:name w:val="Hyperlink"/>
    <w:basedOn w:val="a0"/>
    <w:uiPriority w:val="99"/>
    <w:unhideWhenUsed/>
    <w:rsid w:val="00E436D9"/>
    <w:rPr>
      <w:color w:val="0000FF"/>
      <w:u w:val="single"/>
    </w:rPr>
  </w:style>
  <w:style w:type="table" w:styleId="a6">
    <w:name w:val="Table Grid"/>
    <w:basedOn w:val="a1"/>
    <w:uiPriority w:val="39"/>
    <w:rsid w:val="00E436D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b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forbes.ru/files/grafik_2.png__1539332760__20748.p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2685</Words>
  <Characters>15305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sapfir</dc:creator>
  <cp:keywords/>
  <dc:description/>
  <cp:lastModifiedBy>Belotserkovskiy Egor Dmitrievich</cp:lastModifiedBy>
  <cp:revision>2</cp:revision>
  <dcterms:created xsi:type="dcterms:W3CDTF">2018-11-06T09:39:00Z</dcterms:created>
  <dcterms:modified xsi:type="dcterms:W3CDTF">2018-11-06T09:39:00Z</dcterms:modified>
</cp:coreProperties>
</file>