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905" w:rsidRDefault="00153905" w:rsidP="00153905">
      <w:pPr>
        <w:jc w:val="center"/>
        <w:rPr>
          <w:rFonts w:ascii="Times New Roman" w:hAnsi="Times New Roman" w:cs="Times New Roman"/>
          <w:b/>
          <w:sz w:val="32"/>
          <w:szCs w:val="32"/>
        </w:rPr>
      </w:pPr>
      <w:r>
        <w:rPr>
          <w:rFonts w:ascii="Times New Roman" w:hAnsi="Times New Roman" w:cs="Times New Roman"/>
          <w:b/>
          <w:sz w:val="32"/>
          <w:szCs w:val="32"/>
        </w:rPr>
        <w:t>С</w:t>
      </w:r>
      <w:r w:rsidRPr="00153905">
        <w:rPr>
          <w:rFonts w:ascii="Times New Roman" w:hAnsi="Times New Roman" w:cs="Times New Roman"/>
          <w:b/>
          <w:sz w:val="32"/>
          <w:szCs w:val="32"/>
        </w:rPr>
        <w:t>истемы мотивации трудовой деятельности</w:t>
      </w:r>
    </w:p>
    <w:p w:rsidR="00153905" w:rsidRPr="003E0786" w:rsidRDefault="00153905" w:rsidP="00153905">
      <w:pPr>
        <w:spacing w:line="360" w:lineRule="auto"/>
        <w:ind w:firstLine="709"/>
        <w:jc w:val="center"/>
        <w:rPr>
          <w:rFonts w:ascii="Times New Roman" w:eastAsia="Calibri" w:hAnsi="Times New Roman" w:cs="Times New Roman"/>
          <w:b/>
          <w:sz w:val="28"/>
          <w:szCs w:val="28"/>
          <w:shd w:val="clear" w:color="auto" w:fill="FFFFFF"/>
        </w:rPr>
      </w:pPr>
      <w:r w:rsidRPr="003E0786">
        <w:rPr>
          <w:rFonts w:ascii="Times New Roman" w:hAnsi="Times New Roman" w:cs="Times New Roman"/>
          <w:b/>
          <w:sz w:val="28"/>
          <w:szCs w:val="28"/>
        </w:rPr>
        <w:t>Круглова К.А., Левина М.Н.,</w:t>
      </w:r>
      <w:r w:rsidRPr="003E0786">
        <w:rPr>
          <w:rFonts w:ascii="Times New Roman" w:eastAsia="Calibri" w:hAnsi="Times New Roman" w:cs="Times New Roman"/>
          <w:b/>
          <w:sz w:val="28"/>
          <w:szCs w:val="28"/>
          <w:shd w:val="clear" w:color="auto" w:fill="FFFFFF"/>
        </w:rPr>
        <w:t xml:space="preserve"> студентки 2 </w:t>
      </w:r>
      <w:r>
        <w:rPr>
          <w:rFonts w:ascii="Times New Roman" w:eastAsia="Calibri" w:hAnsi="Times New Roman" w:cs="Times New Roman"/>
          <w:b/>
          <w:sz w:val="28"/>
          <w:szCs w:val="28"/>
          <w:shd w:val="clear" w:color="auto" w:fill="FFFFFF"/>
        </w:rPr>
        <w:t xml:space="preserve"> курса р</w:t>
      </w:r>
      <w:r w:rsidRPr="003E0786">
        <w:rPr>
          <w:rFonts w:ascii="Times New Roman" w:eastAsia="Calibri" w:hAnsi="Times New Roman" w:cs="Times New Roman"/>
          <w:b/>
          <w:sz w:val="28"/>
          <w:szCs w:val="28"/>
          <w:shd w:val="clear" w:color="auto" w:fill="FFFFFF"/>
        </w:rPr>
        <w:t>адиотехнического факультета</w:t>
      </w:r>
    </w:p>
    <w:p w:rsidR="00153905" w:rsidRPr="00153905" w:rsidRDefault="00153905" w:rsidP="00153905">
      <w:pPr>
        <w:spacing w:line="360" w:lineRule="auto"/>
        <w:ind w:firstLine="709"/>
        <w:jc w:val="center"/>
        <w:rPr>
          <w:rFonts w:ascii="Times New Roman" w:eastAsia="Calibri" w:hAnsi="Times New Roman" w:cs="Times New Roman"/>
          <w:b/>
          <w:sz w:val="28"/>
          <w:szCs w:val="28"/>
          <w:shd w:val="clear" w:color="auto" w:fill="FFFFFF"/>
        </w:rPr>
      </w:pPr>
      <w:r w:rsidRPr="003E0786">
        <w:rPr>
          <w:rFonts w:ascii="Times New Roman" w:hAnsi="Times New Roman" w:cs="Times New Roman"/>
          <w:b/>
          <w:sz w:val="28"/>
          <w:szCs w:val="28"/>
        </w:rPr>
        <w:t>ФГБОУ ВПО</w:t>
      </w:r>
      <w:r>
        <w:rPr>
          <w:rFonts w:ascii="Times New Roman" w:eastAsia="Calibri" w:hAnsi="Times New Roman" w:cs="Times New Roman"/>
          <w:b/>
          <w:sz w:val="28"/>
          <w:szCs w:val="28"/>
          <w:shd w:val="clear" w:color="auto" w:fill="FFFFFF"/>
        </w:rPr>
        <w:t xml:space="preserve"> «</w:t>
      </w:r>
      <w:r w:rsidRPr="003E0786">
        <w:rPr>
          <w:rFonts w:ascii="Times New Roman" w:eastAsia="Calibri" w:hAnsi="Times New Roman" w:cs="Times New Roman"/>
          <w:b/>
          <w:sz w:val="28"/>
          <w:szCs w:val="28"/>
          <w:shd w:val="clear" w:color="auto" w:fill="FFFFFF"/>
        </w:rPr>
        <w:t>Ульяновский государственный технический университет</w:t>
      </w:r>
      <w:bookmarkStart w:id="0" w:name="_GoBack"/>
      <w:bookmarkEnd w:id="0"/>
      <w:r>
        <w:rPr>
          <w:rFonts w:ascii="Times New Roman" w:eastAsia="Calibri" w:hAnsi="Times New Roman" w:cs="Times New Roman"/>
          <w:b/>
          <w:sz w:val="28"/>
          <w:szCs w:val="28"/>
          <w:shd w:val="clear" w:color="auto" w:fill="FFFFFF"/>
        </w:rPr>
        <w:t>»</w:t>
      </w:r>
    </w:p>
    <w:p w:rsidR="00EE2FB9" w:rsidRPr="00EE2FB9" w:rsidRDefault="00EE2FB9" w:rsidP="00EE2FB9">
      <w:pPr>
        <w:shd w:val="clear" w:color="auto" w:fill="FFFFFF"/>
        <w:spacing w:after="0"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b/>
          <w:bCs/>
          <w:sz w:val="28"/>
          <w:szCs w:val="28"/>
          <w:lang w:eastAsia="ru-RU"/>
        </w:rPr>
        <w:t>Аннотация.</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t xml:space="preserve">Статья посвящена вопросам </w:t>
      </w:r>
      <w:proofErr w:type="gramStart"/>
      <w:r w:rsidRPr="00EE2FB9">
        <w:rPr>
          <w:rFonts w:ascii="Times New Roman" w:eastAsia="Times New Roman" w:hAnsi="Times New Roman" w:cs="Times New Roman"/>
          <w:sz w:val="28"/>
          <w:szCs w:val="28"/>
          <w:lang w:eastAsia="ru-RU"/>
        </w:rPr>
        <w:t>исследования системы мотивации трудовой деятельности персонала разных категорий</w:t>
      </w:r>
      <w:proofErr w:type="gramEnd"/>
      <w:r w:rsidRPr="00EE2FB9">
        <w:rPr>
          <w:rFonts w:ascii="Times New Roman" w:eastAsia="Times New Roman" w:hAnsi="Times New Roman" w:cs="Times New Roman"/>
          <w:sz w:val="28"/>
          <w:szCs w:val="28"/>
          <w:lang w:eastAsia="ru-RU"/>
        </w:rPr>
        <w:t xml:space="preserve"> на примере конкретной организации. В статье дается определение трудовой мотивации, рассматриваются существующие мотивационные типы работников. Представлены результаты исследования мотивации персонала в Муниципальном Автономном Учреждении «Кино-досуговый центр «Родина»», проведенного с помощью методики построения мотивационного профиля личности В.И. Герчикова. На основании полученных результатов разработаны рекомендации по совершенствованию политики управления системой мотивации в организации.</w:t>
      </w:r>
    </w:p>
    <w:p w:rsidR="00EE2FB9" w:rsidRPr="00EE2FB9" w:rsidRDefault="00153905" w:rsidP="00153905">
      <w:pPr>
        <w:shd w:val="clear" w:color="auto" w:fill="FFFFFF"/>
        <w:spacing w:line="360" w:lineRule="auto"/>
        <w:ind w:firstLine="709"/>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b/>
          <w:bCs/>
          <w:sz w:val="28"/>
          <w:szCs w:val="28"/>
          <w:lang w:eastAsia="ru-RU"/>
        </w:rPr>
        <w:t xml:space="preserve">Ключевые </w:t>
      </w:r>
      <w:r w:rsidR="00EE2FB9" w:rsidRPr="00EE2FB9">
        <w:rPr>
          <w:rFonts w:ascii="Times New Roman" w:eastAsia="Times New Roman" w:hAnsi="Times New Roman" w:cs="Times New Roman"/>
          <w:b/>
          <w:bCs/>
          <w:sz w:val="28"/>
          <w:szCs w:val="28"/>
          <w:lang w:eastAsia="ru-RU"/>
        </w:rPr>
        <w:t>слова:</w:t>
      </w:r>
      <w:r w:rsidR="00EE2FB9" w:rsidRPr="00153905">
        <w:rPr>
          <w:rFonts w:ascii="Times New Roman" w:eastAsia="Times New Roman" w:hAnsi="Times New Roman" w:cs="Times New Roman"/>
          <w:sz w:val="28"/>
          <w:szCs w:val="28"/>
          <w:lang w:eastAsia="ru-RU"/>
        </w:rPr>
        <w:t> </w:t>
      </w:r>
      <w:hyperlink r:id="rId4" w:history="1">
        <w:r w:rsidR="00EE2FB9" w:rsidRPr="00153905">
          <w:rPr>
            <w:rFonts w:ascii="Times New Roman" w:eastAsia="Times New Roman" w:hAnsi="Times New Roman" w:cs="Times New Roman"/>
            <w:sz w:val="28"/>
            <w:szCs w:val="28"/>
            <w:u w:val="single"/>
            <w:lang w:eastAsia="ru-RU"/>
          </w:rPr>
          <w:t>мотивация</w:t>
        </w:r>
      </w:hyperlink>
      <w:r w:rsidR="00EE2FB9" w:rsidRPr="00EE2FB9">
        <w:rPr>
          <w:rFonts w:ascii="Times New Roman" w:eastAsia="Times New Roman" w:hAnsi="Times New Roman" w:cs="Times New Roman"/>
          <w:sz w:val="28"/>
          <w:szCs w:val="28"/>
          <w:lang w:eastAsia="ru-RU"/>
        </w:rPr>
        <w:t>,</w:t>
      </w:r>
      <w:r w:rsidR="00EE2FB9" w:rsidRPr="00153905">
        <w:rPr>
          <w:rFonts w:ascii="Times New Roman" w:eastAsia="Times New Roman" w:hAnsi="Times New Roman" w:cs="Times New Roman"/>
          <w:sz w:val="28"/>
          <w:szCs w:val="28"/>
          <w:lang w:eastAsia="ru-RU"/>
        </w:rPr>
        <w:t> </w:t>
      </w:r>
      <w:hyperlink r:id="rId5" w:history="1">
        <w:r w:rsidR="00EE2FB9" w:rsidRPr="00153905">
          <w:rPr>
            <w:rFonts w:ascii="Times New Roman" w:eastAsia="Times New Roman" w:hAnsi="Times New Roman" w:cs="Times New Roman"/>
            <w:sz w:val="28"/>
            <w:szCs w:val="28"/>
            <w:u w:val="single"/>
            <w:lang w:eastAsia="ru-RU"/>
          </w:rPr>
          <w:t>мотив</w:t>
        </w:r>
      </w:hyperlink>
      <w:r w:rsidR="00EE2FB9" w:rsidRPr="00EE2FB9">
        <w:rPr>
          <w:rFonts w:ascii="Times New Roman" w:eastAsia="Times New Roman" w:hAnsi="Times New Roman" w:cs="Times New Roman"/>
          <w:sz w:val="28"/>
          <w:szCs w:val="28"/>
          <w:lang w:eastAsia="ru-RU"/>
        </w:rPr>
        <w:t>,</w:t>
      </w:r>
      <w:r w:rsidR="00EE2FB9" w:rsidRPr="00153905">
        <w:rPr>
          <w:rFonts w:ascii="Times New Roman" w:eastAsia="Times New Roman" w:hAnsi="Times New Roman" w:cs="Times New Roman"/>
          <w:sz w:val="28"/>
          <w:szCs w:val="28"/>
          <w:lang w:eastAsia="ru-RU"/>
        </w:rPr>
        <w:t> </w:t>
      </w:r>
      <w:hyperlink r:id="rId6" w:history="1">
        <w:r w:rsidR="00EE2FB9" w:rsidRPr="00153905">
          <w:rPr>
            <w:rFonts w:ascii="Times New Roman" w:eastAsia="Times New Roman" w:hAnsi="Times New Roman" w:cs="Times New Roman"/>
            <w:sz w:val="28"/>
            <w:szCs w:val="28"/>
            <w:u w:val="single"/>
            <w:lang w:eastAsia="ru-RU"/>
          </w:rPr>
          <w:t>стимулирование</w:t>
        </w:r>
      </w:hyperlink>
      <w:r w:rsidR="00EE2FB9" w:rsidRPr="00EE2FB9">
        <w:rPr>
          <w:rFonts w:ascii="Times New Roman" w:eastAsia="Times New Roman" w:hAnsi="Times New Roman" w:cs="Times New Roman"/>
          <w:sz w:val="28"/>
          <w:szCs w:val="28"/>
          <w:lang w:eastAsia="ru-RU"/>
        </w:rPr>
        <w:t>,</w:t>
      </w:r>
      <w:r w:rsidR="00EE2FB9" w:rsidRPr="00153905">
        <w:rPr>
          <w:rFonts w:ascii="Times New Roman" w:eastAsia="Times New Roman" w:hAnsi="Times New Roman" w:cs="Times New Roman"/>
          <w:sz w:val="28"/>
          <w:szCs w:val="28"/>
          <w:lang w:eastAsia="ru-RU"/>
        </w:rPr>
        <w:t> </w:t>
      </w:r>
      <w:hyperlink r:id="rId7" w:history="1">
        <w:r w:rsidR="00EE2FB9" w:rsidRPr="00153905">
          <w:rPr>
            <w:rFonts w:ascii="Times New Roman" w:eastAsia="Times New Roman" w:hAnsi="Times New Roman" w:cs="Times New Roman"/>
            <w:sz w:val="28"/>
            <w:szCs w:val="28"/>
            <w:u w:val="single"/>
            <w:lang w:eastAsia="ru-RU"/>
          </w:rPr>
          <w:t>стимул</w:t>
        </w:r>
      </w:hyperlink>
      <w:r w:rsidR="00EE2FB9" w:rsidRPr="00EE2FB9">
        <w:rPr>
          <w:rFonts w:ascii="Times New Roman" w:eastAsia="Times New Roman" w:hAnsi="Times New Roman" w:cs="Times New Roman"/>
          <w:sz w:val="28"/>
          <w:szCs w:val="28"/>
          <w:lang w:eastAsia="ru-RU"/>
        </w:rPr>
        <w:t>,</w:t>
      </w:r>
      <w:r w:rsidR="00EE2FB9" w:rsidRPr="00153905">
        <w:rPr>
          <w:rFonts w:ascii="Times New Roman" w:eastAsia="Times New Roman" w:hAnsi="Times New Roman" w:cs="Times New Roman"/>
          <w:sz w:val="28"/>
          <w:szCs w:val="28"/>
          <w:lang w:eastAsia="ru-RU"/>
        </w:rPr>
        <w:t> </w:t>
      </w:r>
      <w:hyperlink r:id="rId8" w:history="1">
        <w:r w:rsidR="00EE2FB9" w:rsidRPr="00153905">
          <w:rPr>
            <w:rFonts w:ascii="Times New Roman" w:eastAsia="Times New Roman" w:hAnsi="Times New Roman" w:cs="Times New Roman"/>
            <w:sz w:val="28"/>
            <w:szCs w:val="28"/>
            <w:u w:val="single"/>
            <w:lang w:eastAsia="ru-RU"/>
          </w:rPr>
          <w:t>мотивационный тип</w:t>
        </w:r>
      </w:hyperlink>
      <w:r w:rsidR="00EE2FB9" w:rsidRPr="00EE2FB9">
        <w:rPr>
          <w:rFonts w:ascii="Times New Roman" w:eastAsia="Times New Roman" w:hAnsi="Times New Roman" w:cs="Times New Roman"/>
          <w:sz w:val="28"/>
          <w:szCs w:val="28"/>
          <w:lang w:eastAsia="ru-RU"/>
        </w:rPr>
        <w:t>,</w:t>
      </w:r>
      <w:r w:rsidR="00EE2FB9" w:rsidRPr="00153905">
        <w:rPr>
          <w:rFonts w:ascii="Times New Roman" w:eastAsia="Times New Roman" w:hAnsi="Times New Roman" w:cs="Times New Roman"/>
          <w:sz w:val="28"/>
          <w:szCs w:val="28"/>
          <w:lang w:eastAsia="ru-RU"/>
        </w:rPr>
        <w:t> </w:t>
      </w:r>
      <w:hyperlink r:id="rId9" w:history="1">
        <w:r w:rsidR="00EE2FB9" w:rsidRPr="00153905">
          <w:rPr>
            <w:rFonts w:ascii="Times New Roman" w:eastAsia="Times New Roman" w:hAnsi="Times New Roman" w:cs="Times New Roman"/>
            <w:sz w:val="28"/>
            <w:szCs w:val="28"/>
            <w:u w:val="single"/>
            <w:lang w:eastAsia="ru-RU"/>
          </w:rPr>
          <w:t>модель мотивации в.и. герчикова</w:t>
        </w:r>
      </w:hyperlink>
      <w:proofErr w:type="gramEnd"/>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В связи с переходом экономики государства к рыночной модели хозяйствования, расширением многообразия форм собственности проблема создания предприятиями необходимых условий для высокопроизводительного труда становится особо актуальной. При этом одним из решающих факторов повышения эффективности экономической деятельности является рациональное использование трудовых ресурсов с применением мотивационного механизма воздействия на трудовую деятельность персонала, с учетом специфики социальных, экономических и психологических условий функционирования организаций в современном обществе.</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Целью данной работы является анализ </w:t>
      </w:r>
      <w:proofErr w:type="gramStart"/>
      <w:r w:rsidRPr="00EE2FB9">
        <w:rPr>
          <w:rFonts w:ascii="Times New Roman" w:eastAsia="Times New Roman" w:hAnsi="Times New Roman" w:cs="Times New Roman"/>
          <w:sz w:val="28"/>
          <w:szCs w:val="28"/>
          <w:lang w:eastAsia="ru-RU"/>
        </w:rPr>
        <w:t>системы мотивации трудовой деятельности персонала разных категорий</w:t>
      </w:r>
      <w:proofErr w:type="gramEnd"/>
      <w:r w:rsidRPr="00EE2FB9">
        <w:rPr>
          <w:rFonts w:ascii="Times New Roman" w:eastAsia="Times New Roman" w:hAnsi="Times New Roman" w:cs="Times New Roman"/>
          <w:sz w:val="28"/>
          <w:szCs w:val="28"/>
          <w:lang w:eastAsia="ru-RU"/>
        </w:rPr>
        <w:t xml:space="preserve"> в конкретной организации на основе </w:t>
      </w:r>
      <w:r w:rsidRPr="00EE2FB9">
        <w:rPr>
          <w:rFonts w:ascii="Times New Roman" w:eastAsia="Times New Roman" w:hAnsi="Times New Roman" w:cs="Times New Roman"/>
          <w:sz w:val="28"/>
          <w:szCs w:val="28"/>
          <w:lang w:eastAsia="ru-RU"/>
        </w:rPr>
        <w:lastRenderedPageBreak/>
        <w:t>полученных теоретических знаний и разработка рекомендаций по ее совершенствованию.</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Автором статьи было проведено эмпирическое исследование на базе Муниципального Автономного Учреждения «Кино-досуговый центр «Родина»». Общая выборка составила 25 человек, среди которых 9 респондентов – мужчины, 16 – женщины. Испытуемые имеют различный опыт работы от 3 месяцев до 6 лет и принадлежат разной возрастной категории. Средний возраст респондентов варьируется от 23 до 45 лет. В исследовании процесса мотивации на базе Муниципального Автономного Учреждения «Кино-досуговый центр «Родина»» была использована методика В.И. Герчикова.</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На сегодняшний день не существует четкого и общепризнанного определения понятия мотивации. Разные авторы дают определение мотивации исходя из своей точки зрения. В данной работе за основу мы приняли следующее определение А.Я. Кибанова: мотивация труда - это внутренний процесс, происходящий под воздействием потребностей </w:t>
      </w:r>
      <w:proofErr w:type="gramStart"/>
      <w:r w:rsidRPr="00EE2FB9">
        <w:rPr>
          <w:rFonts w:ascii="Times New Roman" w:eastAsia="Times New Roman" w:hAnsi="Times New Roman" w:cs="Times New Roman"/>
          <w:sz w:val="28"/>
          <w:szCs w:val="28"/>
          <w:lang w:eastAsia="ru-RU"/>
        </w:rPr>
        <w:t>в</w:t>
      </w:r>
      <w:proofErr w:type="gramEnd"/>
      <w:r w:rsidRPr="00EE2FB9">
        <w:rPr>
          <w:rFonts w:ascii="Times New Roman" w:eastAsia="Times New Roman" w:hAnsi="Times New Roman" w:cs="Times New Roman"/>
          <w:sz w:val="28"/>
          <w:szCs w:val="28"/>
          <w:lang w:eastAsia="ru-RU"/>
        </w:rPr>
        <w:t xml:space="preserve"> благах и выражающийся в формировании мотива поведения личности с целью активизации трудовой деятельности на основе общественного разделения труда и развития частной собственности [2, с. 21].</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По мнению В.И. Герчикова существует два класса мотивационных типов работников: избегательной мотивации (работник стремится избежать нежелательных для себя последствий трудового поведения) и достижительной мотивации (работник старается достичь определенных результатов в трудовой деятельности). Всего автор выделяет пять мотивационных типов [6, с. 83].</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1. Инструментальный. Мотивация работника ориентирована на цену труда – величину заработка и других благ, получаемых им в качестве вознаграждения за трудовую деятельность. Данный работник индифферентен к форме собственности, работодателю и иным поощрениям. Работа для него не является значимой ценностью и рассматривается только в качестве источника заработка. Отличает развитое социальное достоинство – возможность обеспечить своей </w:t>
      </w:r>
      <w:r w:rsidRPr="00EE2FB9">
        <w:rPr>
          <w:rFonts w:ascii="Times New Roman" w:eastAsia="Times New Roman" w:hAnsi="Times New Roman" w:cs="Times New Roman"/>
          <w:sz w:val="28"/>
          <w:szCs w:val="28"/>
          <w:lang w:eastAsia="ru-RU"/>
        </w:rPr>
        <w:lastRenderedPageBreak/>
        <w:t>семье тот жизненный стандарт, который он/она считает для себя достойным. [8, с 11], [9, с. 218].</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2. Профессиональный. Работник такого типа считает важнейшим условием деятельности реализацию собственных профессиональных способностей, знаний и возможностей. Данного работника отличает самостоятельность в работе, особенно в определении способов ее выполнения и развитое профессиональное достоинство [1, с. 330].</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3. Патриотический. Мотивация работника ориентирована на участие в реализации общего для организации дела и общественное признание их участия в общих достижениях. Для данного работника свойственна убежденность в собственной нужности организации и готовность </w:t>
      </w:r>
      <w:proofErr w:type="gramStart"/>
      <w:r w:rsidRPr="00EE2FB9">
        <w:rPr>
          <w:rFonts w:ascii="Times New Roman" w:eastAsia="Times New Roman" w:hAnsi="Times New Roman" w:cs="Times New Roman"/>
          <w:sz w:val="28"/>
          <w:szCs w:val="28"/>
          <w:lang w:eastAsia="ru-RU"/>
        </w:rPr>
        <w:t>принять</w:t>
      </w:r>
      <w:proofErr w:type="gramEnd"/>
      <w:r w:rsidRPr="00EE2FB9">
        <w:rPr>
          <w:rFonts w:ascii="Times New Roman" w:eastAsia="Times New Roman" w:hAnsi="Times New Roman" w:cs="Times New Roman"/>
          <w:sz w:val="28"/>
          <w:szCs w:val="28"/>
          <w:lang w:eastAsia="ru-RU"/>
        </w:rPr>
        <w:t xml:space="preserve"> на себя дополнительную ответственность за результаты общего дела [9, с. 218].</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4. Хозяйственный. Мотивация такого типа основана на достижении и приумножении богатства, собственности. Потребности таких работников практически не ограниченны. Это класс предпринимателей, то есть людей, которые идут на риск ради того, чтобы увеличить собственное богатство, при этом принося реальную пользу обществу путем создания новых продуктов и услуг, а также предоставления дополнительных рабочих мест [7, с. 51].</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5. </w:t>
      </w:r>
      <w:proofErr w:type="gramStart"/>
      <w:r w:rsidRPr="00EE2FB9">
        <w:rPr>
          <w:rFonts w:ascii="Times New Roman" w:eastAsia="Times New Roman" w:hAnsi="Times New Roman" w:cs="Times New Roman"/>
          <w:sz w:val="28"/>
          <w:szCs w:val="28"/>
          <w:lang w:eastAsia="ru-RU"/>
        </w:rPr>
        <w:t>Люмпенизированный</w:t>
      </w:r>
      <w:proofErr w:type="gramEnd"/>
      <w:r w:rsidRPr="00EE2FB9">
        <w:rPr>
          <w:rFonts w:ascii="Times New Roman" w:eastAsia="Times New Roman" w:hAnsi="Times New Roman" w:cs="Times New Roman"/>
          <w:sz w:val="28"/>
          <w:szCs w:val="28"/>
          <w:lang w:eastAsia="ru-RU"/>
        </w:rPr>
        <w:t xml:space="preserve"> – с мотивацией избегания. Работник данного типа обладает очень слабой мотивацией к эффективной работе, выступает за уравнительное распределение материальных благ и отличается стремлением минимизировать собственные трудовые усилия на уровне, который допустим со стороны непосредственного руководителя [8, с. 12], [9, с. 218].</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Таким образом, методика В.И. Герчикова измеряет не просто степень выраженности актуальных потребностей, подверженных влиянию текущей трудовой ситуации, но </w:t>
      </w:r>
      <w:proofErr w:type="gramStart"/>
      <w:r w:rsidRPr="00EE2FB9">
        <w:rPr>
          <w:rFonts w:ascii="Times New Roman" w:eastAsia="Times New Roman" w:hAnsi="Times New Roman" w:cs="Times New Roman"/>
          <w:sz w:val="28"/>
          <w:szCs w:val="28"/>
          <w:lang w:eastAsia="ru-RU"/>
        </w:rPr>
        <w:t>достаточно комплексные</w:t>
      </w:r>
      <w:proofErr w:type="gramEnd"/>
      <w:r w:rsidRPr="00EE2FB9">
        <w:rPr>
          <w:rFonts w:ascii="Times New Roman" w:eastAsia="Times New Roman" w:hAnsi="Times New Roman" w:cs="Times New Roman"/>
          <w:sz w:val="28"/>
          <w:szCs w:val="28"/>
          <w:lang w:eastAsia="ru-RU"/>
        </w:rPr>
        <w:t xml:space="preserve"> конструкты, отражающие устойчивое отношение человека к трудовой деятельности как к средству реализации жизненных целей [3, с. 80 -91].</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lastRenderedPageBreak/>
        <w:t>В результате проведенного исследования были получены следующие данные по всей выборке, которые представлены в таблице 1. </w:t>
      </w:r>
    </w:p>
    <w:p w:rsidR="00EE2FB9" w:rsidRPr="00EE2FB9" w:rsidRDefault="00EE2FB9" w:rsidP="00EE2FB9">
      <w:pPr>
        <w:shd w:val="clear" w:color="auto" w:fill="FFFFFF"/>
        <w:spacing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Таблица 1 – Результаты исследования по методике В.И. Герчикова (по всей выборке)</w:t>
      </w:r>
    </w:p>
    <w:tbl>
      <w:tblPr>
        <w:tblW w:w="11953" w:type="dxa"/>
        <w:jc w:val="center"/>
        <w:tblInd w:w="-2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92"/>
        <w:gridCol w:w="4081"/>
        <w:gridCol w:w="3360"/>
        <w:gridCol w:w="3520"/>
      </w:tblGrid>
      <w:tr w:rsidR="00EE2FB9" w:rsidRPr="00EE2FB9" w:rsidTr="00153905">
        <w:trPr>
          <w:jc w:val="center"/>
        </w:trPr>
        <w:tc>
          <w:tcPr>
            <w:tcW w:w="992"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w:t>
            </w:r>
          </w:p>
        </w:tc>
        <w:tc>
          <w:tcPr>
            <w:tcW w:w="4081"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 xml:space="preserve">Типы </w:t>
            </w:r>
            <w:proofErr w:type="gramStart"/>
            <w:r w:rsidRPr="00153905">
              <w:rPr>
                <w:rFonts w:ascii="Times New Roman" w:eastAsia="Times New Roman" w:hAnsi="Times New Roman" w:cs="Times New Roman"/>
                <w:b/>
                <w:bCs/>
                <w:sz w:val="28"/>
                <w:szCs w:val="28"/>
                <w:lang w:eastAsia="ru-RU"/>
              </w:rPr>
              <w:t>трудовой</w:t>
            </w:r>
            <w:proofErr w:type="gramEnd"/>
          </w:p>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Мотивации</w:t>
            </w:r>
          </w:p>
        </w:tc>
        <w:tc>
          <w:tcPr>
            <w:tcW w:w="688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Результаты</w:t>
            </w:r>
          </w:p>
        </w:tc>
      </w:tr>
      <w:tr w:rsidR="00EE2FB9" w:rsidRPr="00EE2FB9" w:rsidTr="00153905">
        <w:trPr>
          <w:jc w:val="center"/>
        </w:trPr>
        <w:tc>
          <w:tcPr>
            <w:tcW w:w="992"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0" w:line="360" w:lineRule="auto"/>
              <w:ind w:firstLine="709"/>
              <w:rPr>
                <w:rFonts w:ascii="Times New Roman" w:eastAsia="Times New Roman" w:hAnsi="Times New Roman" w:cs="Times New Roman"/>
                <w:sz w:val="28"/>
                <w:szCs w:val="28"/>
                <w:lang w:eastAsia="ru-RU"/>
              </w:rPr>
            </w:pPr>
          </w:p>
        </w:tc>
        <w:tc>
          <w:tcPr>
            <w:tcW w:w="4081"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0" w:line="360" w:lineRule="auto"/>
              <w:ind w:firstLine="709"/>
              <w:rPr>
                <w:rFonts w:ascii="Times New Roman" w:eastAsia="Times New Roman" w:hAnsi="Times New Roman" w:cs="Times New Roman"/>
                <w:sz w:val="28"/>
                <w:szCs w:val="28"/>
                <w:lang w:eastAsia="ru-RU"/>
              </w:rPr>
            </w:pP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Среднее значение</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153905">
              <w:rPr>
                <w:rFonts w:ascii="Times New Roman" w:eastAsia="Times New Roman" w:hAnsi="Times New Roman" w:cs="Times New Roman"/>
                <w:b/>
                <w:bCs/>
                <w:sz w:val="28"/>
                <w:szCs w:val="28"/>
                <w:lang w:eastAsia="ru-RU"/>
              </w:rPr>
              <w:t>Стандартное квадратическое отклонение</w:t>
            </w:r>
          </w:p>
        </w:tc>
      </w:tr>
      <w:tr w:rsidR="00EE2FB9" w:rsidRPr="00EE2FB9" w:rsidTr="00153905">
        <w:trPr>
          <w:jc w:val="center"/>
        </w:trPr>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1</w:t>
            </w:r>
          </w:p>
        </w:tc>
        <w:tc>
          <w:tcPr>
            <w:tcW w:w="40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Профессиональный</w:t>
            </w: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29,00</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7,04</w:t>
            </w:r>
          </w:p>
        </w:tc>
      </w:tr>
      <w:tr w:rsidR="00EE2FB9" w:rsidRPr="00EE2FB9" w:rsidTr="00153905">
        <w:trPr>
          <w:jc w:val="center"/>
        </w:trPr>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2</w:t>
            </w:r>
          </w:p>
        </w:tc>
        <w:tc>
          <w:tcPr>
            <w:tcW w:w="40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Инструментальный</w:t>
            </w: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27,73</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8,90</w:t>
            </w:r>
          </w:p>
        </w:tc>
      </w:tr>
      <w:tr w:rsidR="00EE2FB9" w:rsidRPr="00EE2FB9" w:rsidTr="00153905">
        <w:trPr>
          <w:jc w:val="center"/>
        </w:trPr>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3</w:t>
            </w:r>
          </w:p>
        </w:tc>
        <w:tc>
          <w:tcPr>
            <w:tcW w:w="40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Хозяйственный</w:t>
            </w: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16,34</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7,16</w:t>
            </w:r>
          </w:p>
        </w:tc>
      </w:tr>
      <w:tr w:rsidR="00EE2FB9" w:rsidRPr="00EE2FB9" w:rsidTr="00153905">
        <w:trPr>
          <w:jc w:val="center"/>
        </w:trPr>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4</w:t>
            </w:r>
          </w:p>
        </w:tc>
        <w:tc>
          <w:tcPr>
            <w:tcW w:w="40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Патриотический</w:t>
            </w: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14,99</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8,47</w:t>
            </w:r>
          </w:p>
        </w:tc>
      </w:tr>
      <w:tr w:rsidR="00EE2FB9" w:rsidRPr="00EE2FB9" w:rsidTr="00153905">
        <w:trPr>
          <w:jc w:val="center"/>
        </w:trPr>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5</w:t>
            </w:r>
          </w:p>
        </w:tc>
        <w:tc>
          <w:tcPr>
            <w:tcW w:w="408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Люмпенизированный</w:t>
            </w:r>
          </w:p>
        </w:tc>
        <w:tc>
          <w:tcPr>
            <w:tcW w:w="33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11,92</w:t>
            </w:r>
          </w:p>
        </w:tc>
        <w:tc>
          <w:tcPr>
            <w:tcW w:w="35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5,81</w:t>
            </w:r>
          </w:p>
        </w:tc>
      </w:tr>
    </w:tbl>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На основе полученных результатов можно сделать вывод, что преобладающими типами трудовой мотивации для сотрудников данной организации являются профессиональный и инструментальный типы, т.е. для части работников важнейшим условием деятельности является реализация своих профессиональных способностей, знаний и возможностей. Мотивация другой половины ориентирована на цену труда – размер заработной платы и иных благ, получаемых ими в качестве вознаграждения за трудовую деятельность. Эти работники индифферентны к форме собственности, работодателю и другим поощрениям. В меньшей степени присутствуют такие типы трудовой мотивации, как хозяйственный, патриотический и люмпенизированный.</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Для более детального анализа было проведено сравнение результатов по категориям должностей. В первую категорию вошли специалисты/служащие, со </w:t>
      </w:r>
      <w:r w:rsidRPr="00EE2FB9">
        <w:rPr>
          <w:rFonts w:ascii="Times New Roman" w:eastAsia="Times New Roman" w:hAnsi="Times New Roman" w:cs="Times New Roman"/>
          <w:sz w:val="28"/>
          <w:szCs w:val="28"/>
          <w:lang w:eastAsia="ru-RU"/>
        </w:rPr>
        <w:lastRenderedPageBreak/>
        <w:t>средне-специальным, высшим образованием, не на руководящей должности, а во вторую категорию - руководители различного уровня.</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Принимая решение сравнивать специалистов и руководителей, мы сомневались в правомерности такого сравнения с позиций статистики, так как специалистов значительно больше. Однако для исследования общей тенденции все же провели сравнение. В итоге нами были получены следующие результаты исследования по методике В.И. Герчикова по категориям должностей (таблица 2). </w:t>
      </w:r>
    </w:p>
    <w:p w:rsidR="00EE2FB9" w:rsidRPr="00EE2FB9" w:rsidRDefault="00EE2FB9" w:rsidP="00EE2FB9">
      <w:pPr>
        <w:shd w:val="clear" w:color="auto" w:fill="FFFFFF"/>
        <w:spacing w:line="360" w:lineRule="auto"/>
        <w:ind w:firstLine="709"/>
        <w:jc w:val="center"/>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Таблица 2 – Сравнение результатов исследования по методике В.И. Герчикова по категориям должностей</w:t>
      </w:r>
    </w:p>
    <w:tbl>
      <w:tblPr>
        <w:tblW w:w="0" w:type="auto"/>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001"/>
        <w:gridCol w:w="1908"/>
        <w:gridCol w:w="1204"/>
        <w:gridCol w:w="2036"/>
        <w:gridCol w:w="1186"/>
        <w:gridCol w:w="2036"/>
      </w:tblGrid>
      <w:tr w:rsidR="00EE2FB9" w:rsidRPr="00EE2FB9" w:rsidTr="00153905">
        <w:trPr>
          <w:jc w:val="center"/>
        </w:trPr>
        <w:tc>
          <w:tcPr>
            <w:tcW w:w="1001"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w:t>
            </w:r>
          </w:p>
        </w:tc>
        <w:tc>
          <w:tcPr>
            <w:tcW w:w="1908"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Типы трудовой мотивации</w:t>
            </w:r>
          </w:p>
        </w:tc>
        <w:tc>
          <w:tcPr>
            <w:tcW w:w="3240"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Результаты категории I  (специалисты/служащие, со средне-специальным, высшим образованием, не на руководящей должности)</w:t>
            </w:r>
          </w:p>
        </w:tc>
        <w:tc>
          <w:tcPr>
            <w:tcW w:w="3222"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Результаты категории II (руководители различного уровня)</w:t>
            </w:r>
          </w:p>
        </w:tc>
      </w:tr>
      <w:tr w:rsidR="00EE2FB9" w:rsidRPr="00EE2FB9" w:rsidTr="00153905">
        <w:trPr>
          <w:jc w:val="center"/>
        </w:trPr>
        <w:tc>
          <w:tcPr>
            <w:tcW w:w="1001"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0" w:line="360" w:lineRule="auto"/>
              <w:ind w:firstLine="709"/>
              <w:rPr>
                <w:rFonts w:ascii="Times New Roman" w:eastAsia="Times New Roman" w:hAnsi="Times New Roman" w:cs="Times New Roman"/>
                <w:sz w:val="20"/>
                <w:szCs w:val="20"/>
                <w:lang w:eastAsia="ru-RU"/>
              </w:rPr>
            </w:pPr>
          </w:p>
        </w:tc>
        <w:tc>
          <w:tcPr>
            <w:tcW w:w="1908"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0" w:line="360" w:lineRule="auto"/>
              <w:ind w:firstLine="709"/>
              <w:rPr>
                <w:rFonts w:ascii="Times New Roman" w:eastAsia="Times New Roman" w:hAnsi="Times New Roman" w:cs="Times New Roman"/>
                <w:sz w:val="20"/>
                <w:szCs w:val="20"/>
                <w:lang w:eastAsia="ru-RU"/>
              </w:rPr>
            </w:pP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Среднее значение</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Стандартное квадратическое отклонение</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Среднее значение</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153905">
              <w:rPr>
                <w:rFonts w:ascii="Times New Roman" w:eastAsia="Times New Roman" w:hAnsi="Times New Roman" w:cs="Times New Roman"/>
                <w:b/>
                <w:bCs/>
                <w:sz w:val="20"/>
                <w:szCs w:val="20"/>
                <w:lang w:eastAsia="ru-RU"/>
              </w:rPr>
              <w:t>Стандартное квадратическое отклонение</w:t>
            </w:r>
          </w:p>
        </w:tc>
      </w:tr>
      <w:tr w:rsidR="00EE2FB9" w:rsidRPr="00EE2FB9" w:rsidTr="00153905">
        <w:trPr>
          <w:jc w:val="center"/>
        </w:trPr>
        <w:tc>
          <w:tcPr>
            <w:tcW w:w="100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w:t>
            </w:r>
          </w:p>
        </w:tc>
        <w:tc>
          <w:tcPr>
            <w:tcW w:w="19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Инструментальный</w:t>
            </w: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30,69</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9,18</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24,52</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7,70</w:t>
            </w:r>
          </w:p>
        </w:tc>
      </w:tr>
      <w:tr w:rsidR="00EE2FB9" w:rsidRPr="00EE2FB9" w:rsidTr="00153905">
        <w:trPr>
          <w:jc w:val="center"/>
        </w:trPr>
        <w:tc>
          <w:tcPr>
            <w:tcW w:w="100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2</w:t>
            </w:r>
          </w:p>
        </w:tc>
        <w:tc>
          <w:tcPr>
            <w:tcW w:w="19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Профессиональный</w:t>
            </w: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29,07</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7,03</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28,91</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7,35</w:t>
            </w:r>
          </w:p>
        </w:tc>
      </w:tr>
      <w:tr w:rsidR="00EE2FB9" w:rsidRPr="00EE2FB9" w:rsidTr="00153905">
        <w:trPr>
          <w:jc w:val="center"/>
        </w:trPr>
        <w:tc>
          <w:tcPr>
            <w:tcW w:w="100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3</w:t>
            </w:r>
          </w:p>
        </w:tc>
        <w:tc>
          <w:tcPr>
            <w:tcW w:w="19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Хозяйственный</w:t>
            </w: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16,94</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8,11</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15,69</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6,28</w:t>
            </w:r>
          </w:p>
        </w:tc>
      </w:tr>
      <w:tr w:rsidR="00EE2FB9" w:rsidRPr="00EE2FB9" w:rsidTr="00153905">
        <w:trPr>
          <w:jc w:val="center"/>
        </w:trPr>
        <w:tc>
          <w:tcPr>
            <w:tcW w:w="100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4</w:t>
            </w:r>
          </w:p>
        </w:tc>
        <w:tc>
          <w:tcPr>
            <w:tcW w:w="19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Патриотический</w:t>
            </w: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12,35</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9,01</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17,85</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7,12</w:t>
            </w:r>
          </w:p>
        </w:tc>
      </w:tr>
      <w:tr w:rsidR="00EE2FB9" w:rsidRPr="00EE2FB9" w:rsidTr="00153905">
        <w:trPr>
          <w:jc w:val="center"/>
        </w:trPr>
        <w:tc>
          <w:tcPr>
            <w:tcW w:w="100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5</w:t>
            </w:r>
          </w:p>
        </w:tc>
        <w:tc>
          <w:tcPr>
            <w:tcW w:w="19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Люмпенизированный</w:t>
            </w:r>
          </w:p>
        </w:tc>
        <w:tc>
          <w:tcPr>
            <w:tcW w:w="120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10,90</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5,04</w:t>
            </w:r>
          </w:p>
        </w:tc>
        <w:tc>
          <w:tcPr>
            <w:tcW w:w="118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13,03</w:t>
            </w:r>
          </w:p>
        </w:tc>
        <w:tc>
          <w:tcPr>
            <w:tcW w:w="20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E2FB9" w:rsidRPr="00EE2FB9" w:rsidRDefault="00EE2FB9" w:rsidP="00EE2FB9">
            <w:pPr>
              <w:spacing w:after="178" w:line="360" w:lineRule="auto"/>
              <w:ind w:firstLine="709"/>
              <w:jc w:val="center"/>
              <w:rPr>
                <w:rFonts w:ascii="Times New Roman" w:eastAsia="Times New Roman" w:hAnsi="Times New Roman" w:cs="Times New Roman"/>
                <w:sz w:val="20"/>
                <w:szCs w:val="20"/>
                <w:lang w:eastAsia="ru-RU"/>
              </w:rPr>
            </w:pPr>
            <w:r w:rsidRPr="00EE2FB9">
              <w:rPr>
                <w:rFonts w:ascii="Times New Roman" w:eastAsia="Times New Roman" w:hAnsi="Times New Roman" w:cs="Times New Roman"/>
                <w:sz w:val="20"/>
                <w:szCs w:val="20"/>
                <w:lang w:eastAsia="ru-RU"/>
              </w:rPr>
              <w:t>6,59</w:t>
            </w:r>
          </w:p>
        </w:tc>
      </w:tr>
    </w:tbl>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Согласно полученным результатам мы выяснили, что инструментальный тип мотивации преобладает в основном у служащих, т.е. для них работа не </w:t>
      </w:r>
      <w:r w:rsidRPr="00EE2FB9">
        <w:rPr>
          <w:rFonts w:ascii="Times New Roman" w:eastAsia="Times New Roman" w:hAnsi="Times New Roman" w:cs="Times New Roman"/>
          <w:sz w:val="28"/>
          <w:szCs w:val="28"/>
          <w:lang w:eastAsia="ru-RU"/>
        </w:rPr>
        <w:lastRenderedPageBreak/>
        <w:t>является особо значимой ценностью и рассматривается исключительно как источник дохода. У руководителей доминирующим является профессиональный тип, который включает в себя потребности, связанные с самореализацией через содержание труда и характер работы. Этих сотрудников отличает ориентация на профессиональное совершенствование и развитое профессиональное достоинство.</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proofErr w:type="gramStart"/>
      <w:r w:rsidRPr="00EE2FB9">
        <w:rPr>
          <w:rFonts w:ascii="Times New Roman" w:eastAsia="Times New Roman" w:hAnsi="Times New Roman" w:cs="Times New Roman"/>
          <w:sz w:val="28"/>
          <w:szCs w:val="28"/>
          <w:lang w:eastAsia="ru-RU"/>
        </w:rPr>
        <w:t>Хозяйственный тип мотивации, в большей мере, представленный среди служащих, реализует стремление личности к максимальной самостоятельности в труде и включает готовность добровольно взвалить на себя всю полноту ответственности (в том числе и за работу других людей), неприятие контроля и нацеленность на результат труда, а не только на сам процесс и внешние по отношению к нему вознаграждения.</w:t>
      </w:r>
      <w:proofErr w:type="gramEnd"/>
      <w:r w:rsidRPr="00EE2FB9">
        <w:rPr>
          <w:rFonts w:ascii="Times New Roman" w:eastAsia="Times New Roman" w:hAnsi="Times New Roman" w:cs="Times New Roman"/>
          <w:sz w:val="28"/>
          <w:szCs w:val="28"/>
          <w:lang w:eastAsia="ru-RU"/>
        </w:rPr>
        <w:t xml:space="preserve"> У руководителей, напротив, преобладает патриотический тип, который отражает все коллективистские ориентации, в том числе работу в команде, взаимодействие с коллегами и отношения с руководством, участие в общем деле и т.д.</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Целью статьи являлся анализ </w:t>
      </w:r>
      <w:proofErr w:type="gramStart"/>
      <w:r w:rsidRPr="00EE2FB9">
        <w:rPr>
          <w:rFonts w:ascii="Times New Roman" w:eastAsia="Times New Roman" w:hAnsi="Times New Roman" w:cs="Times New Roman"/>
          <w:sz w:val="28"/>
          <w:szCs w:val="28"/>
          <w:lang w:eastAsia="ru-RU"/>
        </w:rPr>
        <w:t>системы мотивации трудовой деятельности персонала разных категорий</w:t>
      </w:r>
      <w:proofErr w:type="gramEnd"/>
      <w:r w:rsidRPr="00EE2FB9">
        <w:rPr>
          <w:rFonts w:ascii="Times New Roman" w:eastAsia="Times New Roman" w:hAnsi="Times New Roman" w:cs="Times New Roman"/>
          <w:sz w:val="28"/>
          <w:szCs w:val="28"/>
          <w:lang w:eastAsia="ru-RU"/>
        </w:rPr>
        <w:t xml:space="preserve"> в конкретной организации на основе полученных теоретических знаний и разработка рекомендаций по ее совершенствованию. На основе этого целесообразно дать следующие практические рекомендации руководству Муниципального Автономного Учреждения «Кино-досуговый центр «Родина»» для повышения эффективности процесса трудовой мотивации персонала.</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 xml:space="preserve">Поскольку мотивационная структура служащих и руководителей имеет различия, система стимулирования также должна быть дифференцирована. Для служащих, имеющих ярко выраженный инструментальный тип, целесообразно использование денежных и приравненных к ним натуральных форм стимулирования, являющихся универсальным средством платежа. К работникам </w:t>
      </w:r>
      <w:proofErr w:type="gramStart"/>
      <w:r w:rsidRPr="00EE2FB9">
        <w:rPr>
          <w:rFonts w:ascii="Times New Roman" w:eastAsia="Times New Roman" w:hAnsi="Times New Roman" w:cs="Times New Roman"/>
          <w:sz w:val="28"/>
          <w:szCs w:val="28"/>
          <w:lang w:eastAsia="ru-RU"/>
        </w:rPr>
        <w:t>с</w:t>
      </w:r>
      <w:proofErr w:type="gramEnd"/>
      <w:r w:rsidRPr="00EE2FB9">
        <w:rPr>
          <w:rFonts w:ascii="Times New Roman" w:eastAsia="Times New Roman" w:hAnsi="Times New Roman" w:cs="Times New Roman"/>
          <w:sz w:val="28"/>
          <w:szCs w:val="28"/>
          <w:lang w:eastAsia="ru-RU"/>
        </w:rPr>
        <w:t xml:space="preserve"> данным типом мотивации не применимо использование моральных и социальных форм стимулирования, которые, в свою очередь, способны внести изменения в установленную систему трудовых отношений.</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lastRenderedPageBreak/>
        <w:t>Для руководителей в качестве инструментов мотивации рационально применение организационных форм стимулирования, обеспечивающих благоприятные условия для профессионального роста на рабочем месте и вне его; развитие деловой карьеры с учетом индивидуальных особенностей; признание профессиональных заслуг и достижений; денежное вознаграждение в соответствии с результатами работы и уровнем квалификации. Не применимы патернализм и любые формы наказания, свидетельствующие об отсутствии у руководства доверия к квалификации и ответственности работника.</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Необходимо оптимизировать систему мотивации под существующий мотивационный профиль организации в целях обеспечения максимально конструктивного поведения персонала.</w:t>
      </w:r>
    </w:p>
    <w:p w:rsidR="00EE2FB9" w:rsidRPr="00EE2FB9" w:rsidRDefault="00EE2FB9" w:rsidP="00EE2FB9">
      <w:pPr>
        <w:shd w:val="clear" w:color="auto" w:fill="FFFFFF"/>
        <w:spacing w:after="178"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Следует помнить, что каждая категория сотрудников требует к себе особого подхода в плане мотивации и стимулирования. В этой связи стоит обратить внимание на предложенные способы мотивации к конкретному мотивационному типу и стараться применять их на практике по отношению к соответствующей категории персонала.</w:t>
      </w:r>
    </w:p>
    <w:p w:rsidR="00EE2FB9" w:rsidRPr="00EE2FB9" w:rsidRDefault="00EE2FB9" w:rsidP="00EE2FB9">
      <w:pPr>
        <w:shd w:val="clear" w:color="auto" w:fill="FFFFFF"/>
        <w:spacing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Разработанные мероприятия мотивационного воздействия, включающие в себя перечень материальных и нематериальных способов мотивации, а также их комбинации должны привести к более успешному функционированию предприятия. Также они будут способствовать мобилизации имеющегося в организации кадрового потенциала, получению максимальной отдачи от использования трудовых ресурсов, созданию необходимой заинтересованности работников в росте индивидуальных результатов и повышению уровня их компетентности.</w:t>
      </w:r>
    </w:p>
    <w:p w:rsidR="00EE2FB9" w:rsidRPr="00EE2FB9" w:rsidRDefault="00EE2FB9" w:rsidP="00EE2FB9">
      <w:pPr>
        <w:shd w:val="clear" w:color="auto" w:fill="FFFFFF"/>
        <w:spacing w:after="0" w:line="360" w:lineRule="auto"/>
        <w:ind w:firstLine="709"/>
        <w:rPr>
          <w:rFonts w:ascii="Times New Roman" w:eastAsia="Times New Roman" w:hAnsi="Times New Roman" w:cs="Times New Roman"/>
          <w:b/>
          <w:bCs/>
          <w:sz w:val="28"/>
          <w:szCs w:val="28"/>
          <w:lang w:eastAsia="ru-RU"/>
        </w:rPr>
      </w:pPr>
      <w:r w:rsidRPr="00EE2FB9">
        <w:rPr>
          <w:rFonts w:ascii="Times New Roman" w:eastAsia="Times New Roman" w:hAnsi="Times New Roman" w:cs="Times New Roman"/>
          <w:b/>
          <w:bCs/>
          <w:sz w:val="28"/>
          <w:szCs w:val="28"/>
          <w:lang w:eastAsia="ru-RU"/>
        </w:rPr>
        <w:t>Список литературы</w:t>
      </w:r>
    </w:p>
    <w:p w:rsidR="00EE2FB9" w:rsidRPr="00EE2FB9" w:rsidRDefault="00EE2FB9" w:rsidP="00EE2FB9">
      <w:pPr>
        <w:shd w:val="clear" w:color="auto" w:fill="FFFFFF"/>
        <w:spacing w:line="360" w:lineRule="auto"/>
        <w:ind w:firstLine="709"/>
        <w:rPr>
          <w:rFonts w:ascii="Times New Roman" w:eastAsia="Times New Roman" w:hAnsi="Times New Roman" w:cs="Times New Roman"/>
          <w:sz w:val="28"/>
          <w:szCs w:val="28"/>
          <w:lang w:eastAsia="ru-RU"/>
        </w:rPr>
      </w:pPr>
      <w:r w:rsidRPr="00EE2FB9">
        <w:rPr>
          <w:rFonts w:ascii="Times New Roman" w:eastAsia="Times New Roman" w:hAnsi="Times New Roman" w:cs="Times New Roman"/>
          <w:sz w:val="28"/>
          <w:szCs w:val="28"/>
          <w:lang w:eastAsia="ru-RU"/>
        </w:rPr>
        <w:t>1. Журавлев, П.В. Технология управления персоналом. Настольная книга менеджера / П.В. Журавлев, С.А. Карташов, Н.К. Маусов, Ю.Г. Одегов. – М.: Экзамен, 2000. - 575 с.</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lastRenderedPageBreak/>
        <w:br/>
        <w:t>2. Кибанов, А.Я. Мотивация трудовой деятельности. Учебное пособие / А.Я. Кибанов, Н.А. Баткаева, Г.П. Гагаринская. - Самара: СГТУ, 2001</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 xml:space="preserve">3. Коробкина, М.А. К вопросу о технологиях в кадровом менеджменте. Управление человеческими ресурсами: теория, практика, перспективы: сборник научных трудов / М.А. Коробкина / Под редакцией С.И. Сотниковой // Новосибирск: Новосибирский государственный университет экономики у управления. – 2015. </w:t>
      </w:r>
      <w:r w:rsidRPr="00EE2FB9">
        <w:rPr>
          <w:rFonts w:ascii="Cambria Math" w:eastAsia="Times New Roman" w:hAnsi="Cambria Math" w:cs="Times New Roman"/>
          <w:sz w:val="28"/>
          <w:szCs w:val="28"/>
          <w:lang w:eastAsia="ru-RU"/>
        </w:rPr>
        <w:t>‒</w:t>
      </w:r>
      <w:r w:rsidRPr="00EE2FB9">
        <w:rPr>
          <w:rFonts w:ascii="Times New Roman" w:eastAsia="Times New Roman" w:hAnsi="Times New Roman" w:cs="Times New Roman"/>
          <w:sz w:val="28"/>
          <w:szCs w:val="28"/>
          <w:lang w:eastAsia="ru-RU"/>
        </w:rPr>
        <w:t xml:space="preserve"> С. 80-91</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4. Коробкина, М.А. Внедрение технологий кадрового менеджмента в практику современных организаций. Экономика и общество: проблемы и перспективы модернизации России. Посвящается 95-летию Финансового университета при Правительстве Российской Федерации. М.А. Коробкина / Под общ</w:t>
      </w:r>
      <w:proofErr w:type="gramStart"/>
      <w:r w:rsidRPr="00EE2FB9">
        <w:rPr>
          <w:rFonts w:ascii="Times New Roman" w:eastAsia="Times New Roman" w:hAnsi="Times New Roman" w:cs="Times New Roman"/>
          <w:sz w:val="28"/>
          <w:szCs w:val="28"/>
          <w:lang w:eastAsia="ru-RU"/>
        </w:rPr>
        <w:t>.</w:t>
      </w:r>
      <w:proofErr w:type="gramEnd"/>
      <w:r w:rsidRPr="00EE2FB9">
        <w:rPr>
          <w:rFonts w:ascii="Times New Roman" w:eastAsia="Times New Roman" w:hAnsi="Times New Roman" w:cs="Times New Roman"/>
          <w:sz w:val="28"/>
          <w:szCs w:val="28"/>
          <w:lang w:eastAsia="ru-RU"/>
        </w:rPr>
        <w:t xml:space="preserve"> </w:t>
      </w:r>
      <w:proofErr w:type="gramStart"/>
      <w:r w:rsidRPr="00EE2FB9">
        <w:rPr>
          <w:rFonts w:ascii="Times New Roman" w:eastAsia="Times New Roman" w:hAnsi="Times New Roman" w:cs="Times New Roman"/>
          <w:sz w:val="28"/>
          <w:szCs w:val="28"/>
          <w:lang w:eastAsia="ru-RU"/>
        </w:rPr>
        <w:t>р</w:t>
      </w:r>
      <w:proofErr w:type="gramEnd"/>
      <w:r w:rsidRPr="00EE2FB9">
        <w:rPr>
          <w:rFonts w:ascii="Times New Roman" w:eastAsia="Times New Roman" w:hAnsi="Times New Roman" w:cs="Times New Roman"/>
          <w:sz w:val="28"/>
          <w:szCs w:val="28"/>
          <w:lang w:eastAsia="ru-RU"/>
        </w:rPr>
        <w:t>ед. В.В. Бондаренко, В.А. Дресвянникова, О.В. Лосевой // Пенза: ПГУ. - 2013. - С. 233-242</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5. Коробкина, М. А., Копытова Ю. Е. Исследование типов мотивации сотрудников в организации / М.А. Коробкина, Ю.Е. Копытова // Концепт. – 2015. – Развитие человеческого капитала в России: теоретические подходы и современные практики. – ART 95604. – URL: http://e-koncept.ru/2015/95604.htm. – ISSN 2304-120X.</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6. Маликова, Р.А. Специфика мотивации персонала для разных категорий сотрудников на примере страховой компании / Р.А. Маликова // Science Time. – 2014. - № 1 (1). - С. 79–88</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7. Чепурко, Г.В. Мотивация работников на предприятии / Г.В. Чепурко, А.А. Пелипенко // KANT. – 2013. - № 1 (7). – С. 49-52</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lastRenderedPageBreak/>
        <w:t>8. Шапиро, С.А. Мотивация / С.А. Шапиро. - ГроссМедиа, 2008. -150 с.</w:t>
      </w:r>
      <w:r w:rsidRPr="00153905">
        <w:rPr>
          <w:rFonts w:ascii="Times New Roman" w:eastAsia="Times New Roman" w:hAnsi="Times New Roman" w:cs="Times New Roman"/>
          <w:sz w:val="28"/>
          <w:szCs w:val="28"/>
          <w:lang w:eastAsia="ru-RU"/>
        </w:rPr>
        <w:t> </w:t>
      </w:r>
      <w:r w:rsidRPr="00EE2FB9">
        <w:rPr>
          <w:rFonts w:ascii="Times New Roman" w:eastAsia="Times New Roman" w:hAnsi="Times New Roman" w:cs="Times New Roman"/>
          <w:sz w:val="28"/>
          <w:szCs w:val="28"/>
          <w:lang w:eastAsia="ru-RU"/>
        </w:rPr>
        <w:br/>
      </w:r>
      <w:r w:rsidRPr="00EE2FB9">
        <w:rPr>
          <w:rFonts w:ascii="Times New Roman" w:eastAsia="Times New Roman" w:hAnsi="Times New Roman" w:cs="Times New Roman"/>
          <w:sz w:val="28"/>
          <w:szCs w:val="28"/>
          <w:lang w:eastAsia="ru-RU"/>
        </w:rPr>
        <w:br/>
        <w:t>9. Щербина, В.В. Управление человеческими ресурсами: менеджмент и консультирование / Под ред. В</w:t>
      </w:r>
      <w:r w:rsidRPr="00EE2FB9">
        <w:rPr>
          <w:rFonts w:ascii="Times New Roman" w:eastAsia="Times New Roman" w:hAnsi="Times New Roman" w:cs="Times New Roman"/>
          <w:sz w:val="28"/>
          <w:szCs w:val="28"/>
          <w:lang w:val="en-US" w:eastAsia="ru-RU"/>
        </w:rPr>
        <w:t>.</w:t>
      </w:r>
      <w:r w:rsidRPr="00EE2FB9">
        <w:rPr>
          <w:rFonts w:ascii="Times New Roman" w:eastAsia="Times New Roman" w:hAnsi="Times New Roman" w:cs="Times New Roman"/>
          <w:sz w:val="28"/>
          <w:szCs w:val="28"/>
          <w:lang w:eastAsia="ru-RU"/>
        </w:rPr>
        <w:t>В</w:t>
      </w:r>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Щербины</w:t>
      </w:r>
      <w:r w:rsidRPr="00EE2FB9">
        <w:rPr>
          <w:rFonts w:ascii="Times New Roman" w:eastAsia="Times New Roman" w:hAnsi="Times New Roman" w:cs="Times New Roman"/>
          <w:sz w:val="28"/>
          <w:szCs w:val="28"/>
          <w:lang w:val="en-US" w:eastAsia="ru-RU"/>
        </w:rPr>
        <w:t xml:space="preserve">. - </w:t>
      </w:r>
      <w:r w:rsidRPr="00EE2FB9">
        <w:rPr>
          <w:rFonts w:ascii="Times New Roman" w:eastAsia="Times New Roman" w:hAnsi="Times New Roman" w:cs="Times New Roman"/>
          <w:sz w:val="28"/>
          <w:szCs w:val="28"/>
          <w:lang w:eastAsia="ru-RU"/>
        </w:rPr>
        <w:t>М</w:t>
      </w:r>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Независимый</w:t>
      </w:r>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институт</w:t>
      </w:r>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гражданского</w:t>
      </w:r>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общества</w:t>
      </w:r>
      <w:r w:rsidRPr="00EE2FB9">
        <w:rPr>
          <w:rFonts w:ascii="Times New Roman" w:eastAsia="Times New Roman" w:hAnsi="Times New Roman" w:cs="Times New Roman"/>
          <w:sz w:val="28"/>
          <w:szCs w:val="28"/>
          <w:lang w:val="en-US" w:eastAsia="ru-RU"/>
        </w:rPr>
        <w:t xml:space="preserve">, 2004. - 520 </w:t>
      </w:r>
      <w:r w:rsidRPr="00EE2FB9">
        <w:rPr>
          <w:rFonts w:ascii="Times New Roman" w:eastAsia="Times New Roman" w:hAnsi="Times New Roman" w:cs="Times New Roman"/>
          <w:sz w:val="28"/>
          <w:szCs w:val="28"/>
          <w:lang w:eastAsia="ru-RU"/>
        </w:rPr>
        <w:t>с</w:t>
      </w:r>
      <w:r w:rsidRPr="00EE2FB9">
        <w:rPr>
          <w:rFonts w:ascii="Times New Roman" w:eastAsia="Times New Roman" w:hAnsi="Times New Roman" w:cs="Times New Roman"/>
          <w:sz w:val="28"/>
          <w:szCs w:val="28"/>
          <w:lang w:val="en-US" w:eastAsia="ru-RU"/>
        </w:rPr>
        <w:t>.</w:t>
      </w:r>
      <w:r w:rsidRPr="00153905">
        <w:rPr>
          <w:rFonts w:ascii="Times New Roman" w:eastAsia="Times New Roman" w:hAnsi="Times New Roman" w:cs="Times New Roman"/>
          <w:sz w:val="28"/>
          <w:szCs w:val="28"/>
          <w:lang w:val="en-US" w:eastAsia="ru-RU"/>
        </w:rPr>
        <w:t> </w:t>
      </w:r>
      <w:r w:rsidRPr="00EE2FB9">
        <w:rPr>
          <w:rFonts w:ascii="Times New Roman" w:eastAsia="Times New Roman" w:hAnsi="Times New Roman" w:cs="Times New Roman"/>
          <w:sz w:val="28"/>
          <w:szCs w:val="28"/>
          <w:lang w:val="en-US" w:eastAsia="ru-RU"/>
        </w:rPr>
        <w:br/>
      </w:r>
      <w:r w:rsidRPr="00EE2FB9">
        <w:rPr>
          <w:rFonts w:ascii="Times New Roman" w:eastAsia="Times New Roman" w:hAnsi="Times New Roman" w:cs="Times New Roman"/>
          <w:sz w:val="28"/>
          <w:szCs w:val="28"/>
          <w:lang w:val="en-US" w:eastAsia="ru-RU"/>
        </w:rPr>
        <w:br/>
        <w:t xml:space="preserve">10. </w:t>
      </w:r>
      <w:proofErr w:type="spellStart"/>
      <w:proofErr w:type="gramStart"/>
      <w:r w:rsidRPr="00EE2FB9">
        <w:rPr>
          <w:rFonts w:ascii="Times New Roman" w:eastAsia="Times New Roman" w:hAnsi="Times New Roman" w:cs="Times New Roman"/>
          <w:sz w:val="28"/>
          <w:szCs w:val="28"/>
          <w:lang w:val="en-US" w:eastAsia="ru-RU"/>
        </w:rPr>
        <w:t>Korobkina</w:t>
      </w:r>
      <w:proofErr w:type="spellEnd"/>
      <w:r w:rsidRPr="00EE2FB9">
        <w:rPr>
          <w:rFonts w:ascii="Times New Roman" w:eastAsia="Times New Roman" w:hAnsi="Times New Roman" w:cs="Times New Roman"/>
          <w:sz w:val="28"/>
          <w:szCs w:val="28"/>
          <w:lang w:val="en-US" w:eastAsia="ru-RU"/>
        </w:rPr>
        <w:t xml:space="preserve"> M. Technological approach to development training of business managers in Southern Russia.</w:t>
      </w:r>
      <w:proofErr w:type="gramEnd"/>
      <w:r w:rsidRPr="00EE2FB9">
        <w:rPr>
          <w:rFonts w:ascii="Times New Roman" w:eastAsia="Times New Roman" w:hAnsi="Times New Roman" w:cs="Times New Roman"/>
          <w:sz w:val="28"/>
          <w:szCs w:val="28"/>
          <w:lang w:val="en-US" w:eastAsia="ru-RU"/>
        </w:rPr>
        <w:t xml:space="preserve"> </w:t>
      </w:r>
      <w:r w:rsidRPr="00EE2FB9">
        <w:rPr>
          <w:rFonts w:ascii="Times New Roman" w:eastAsia="Times New Roman" w:hAnsi="Times New Roman" w:cs="Times New Roman"/>
          <w:sz w:val="28"/>
          <w:szCs w:val="28"/>
          <w:lang w:eastAsia="ru-RU"/>
        </w:rPr>
        <w:t>Czech Journal of Social Sciences, Business and Economics. - 2014. - № 2 (2). - PP. 48-55.</w:t>
      </w:r>
      <w:r w:rsidRPr="00153905">
        <w:rPr>
          <w:rFonts w:ascii="Times New Roman" w:eastAsia="Times New Roman" w:hAnsi="Times New Roman" w:cs="Times New Roman"/>
          <w:sz w:val="28"/>
          <w:szCs w:val="28"/>
          <w:lang w:eastAsia="ru-RU"/>
        </w:rPr>
        <w:t> </w:t>
      </w:r>
    </w:p>
    <w:p w:rsidR="004A724B" w:rsidRPr="00153905" w:rsidRDefault="004A724B" w:rsidP="00EE2FB9">
      <w:pPr>
        <w:spacing w:line="360" w:lineRule="auto"/>
        <w:ind w:firstLine="709"/>
        <w:rPr>
          <w:rFonts w:ascii="Times New Roman" w:hAnsi="Times New Roman" w:cs="Times New Roman"/>
          <w:sz w:val="28"/>
          <w:szCs w:val="28"/>
        </w:rPr>
      </w:pPr>
    </w:p>
    <w:sectPr w:rsidR="004A724B" w:rsidRPr="00153905" w:rsidSect="00153905">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EE2FB9"/>
    <w:rsid w:val="00153905"/>
    <w:rsid w:val="004A724B"/>
    <w:rsid w:val="00EE2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24B"/>
  </w:style>
  <w:style w:type="paragraph" w:styleId="1">
    <w:name w:val="heading 1"/>
    <w:basedOn w:val="a"/>
    <w:link w:val="10"/>
    <w:uiPriority w:val="9"/>
    <w:qFormat/>
    <w:rsid w:val="001539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E2FB9"/>
  </w:style>
  <w:style w:type="character" w:styleId="a3">
    <w:name w:val="Hyperlink"/>
    <w:basedOn w:val="a0"/>
    <w:uiPriority w:val="99"/>
    <w:semiHidden/>
    <w:unhideWhenUsed/>
    <w:rsid w:val="00EE2FB9"/>
    <w:rPr>
      <w:color w:val="0000FF"/>
      <w:u w:val="single"/>
    </w:rPr>
  </w:style>
  <w:style w:type="paragraph" w:styleId="a4">
    <w:name w:val="Normal (Web)"/>
    <w:basedOn w:val="a"/>
    <w:uiPriority w:val="99"/>
    <w:unhideWhenUsed/>
    <w:rsid w:val="00EE2F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E2FB9"/>
    <w:rPr>
      <w:b/>
      <w:bCs/>
    </w:rPr>
  </w:style>
  <w:style w:type="character" w:customStyle="1" w:styleId="10">
    <w:name w:val="Заголовок 1 Знак"/>
    <w:basedOn w:val="a0"/>
    <w:link w:val="1"/>
    <w:uiPriority w:val="9"/>
    <w:rsid w:val="00153905"/>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63519863">
      <w:bodyDiv w:val="1"/>
      <w:marLeft w:val="0"/>
      <w:marRight w:val="0"/>
      <w:marTop w:val="0"/>
      <w:marBottom w:val="0"/>
      <w:divBdr>
        <w:top w:val="none" w:sz="0" w:space="0" w:color="auto"/>
        <w:left w:val="none" w:sz="0" w:space="0" w:color="auto"/>
        <w:bottom w:val="none" w:sz="0" w:space="0" w:color="auto"/>
        <w:right w:val="none" w:sz="0" w:space="0" w:color="auto"/>
      </w:divBdr>
    </w:div>
    <w:div w:id="1862205870">
      <w:bodyDiv w:val="1"/>
      <w:marLeft w:val="0"/>
      <w:marRight w:val="0"/>
      <w:marTop w:val="0"/>
      <w:marBottom w:val="0"/>
      <w:divBdr>
        <w:top w:val="none" w:sz="0" w:space="0" w:color="auto"/>
        <w:left w:val="none" w:sz="0" w:space="0" w:color="auto"/>
        <w:bottom w:val="none" w:sz="0" w:space="0" w:color="auto"/>
        <w:right w:val="none" w:sz="0" w:space="0" w:color="auto"/>
      </w:divBdr>
      <w:divsChild>
        <w:div w:id="552817386">
          <w:marLeft w:val="0"/>
          <w:marRight w:val="0"/>
          <w:marTop w:val="0"/>
          <w:marBottom w:val="231"/>
          <w:divBdr>
            <w:top w:val="none" w:sz="0" w:space="0" w:color="auto"/>
            <w:left w:val="none" w:sz="0" w:space="0" w:color="auto"/>
            <w:bottom w:val="none" w:sz="0" w:space="0" w:color="auto"/>
            <w:right w:val="none" w:sz="0" w:space="0" w:color="auto"/>
          </w:divBdr>
          <w:divsChild>
            <w:div w:id="259216988">
              <w:marLeft w:val="0"/>
              <w:marRight w:val="0"/>
              <w:marTop w:val="0"/>
              <w:marBottom w:val="0"/>
              <w:divBdr>
                <w:top w:val="none" w:sz="0" w:space="0" w:color="auto"/>
                <w:left w:val="none" w:sz="0" w:space="0" w:color="auto"/>
                <w:bottom w:val="none" w:sz="0" w:space="0" w:color="auto"/>
                <w:right w:val="none" w:sz="0" w:space="0" w:color="auto"/>
              </w:divBdr>
              <w:divsChild>
                <w:div w:id="1419326358">
                  <w:marLeft w:val="-267"/>
                  <w:marRight w:val="-267"/>
                  <w:marTop w:val="0"/>
                  <w:marBottom w:val="0"/>
                  <w:divBdr>
                    <w:top w:val="none" w:sz="0" w:space="0" w:color="auto"/>
                    <w:left w:val="none" w:sz="0" w:space="0" w:color="auto"/>
                    <w:bottom w:val="none" w:sz="0" w:space="0" w:color="auto"/>
                    <w:right w:val="none" w:sz="0" w:space="0" w:color="auto"/>
                  </w:divBdr>
                  <w:divsChild>
                    <w:div w:id="741636889">
                      <w:marLeft w:val="0"/>
                      <w:marRight w:val="0"/>
                      <w:marTop w:val="0"/>
                      <w:marBottom w:val="0"/>
                      <w:divBdr>
                        <w:top w:val="none" w:sz="0" w:space="0" w:color="auto"/>
                        <w:left w:val="none" w:sz="0" w:space="0" w:color="auto"/>
                        <w:bottom w:val="none" w:sz="0" w:space="0" w:color="auto"/>
                        <w:right w:val="none" w:sz="0" w:space="0" w:color="auto"/>
                      </w:divBdr>
                    </w:div>
                    <w:div w:id="671109291">
                      <w:marLeft w:val="0"/>
                      <w:marRight w:val="0"/>
                      <w:marTop w:val="89"/>
                      <w:marBottom w:val="0"/>
                      <w:divBdr>
                        <w:top w:val="none" w:sz="0" w:space="0" w:color="auto"/>
                        <w:left w:val="none" w:sz="0" w:space="0" w:color="auto"/>
                        <w:bottom w:val="none" w:sz="0" w:space="0" w:color="auto"/>
                        <w:right w:val="none" w:sz="0" w:space="0" w:color="auto"/>
                      </w:divBdr>
                    </w:div>
                  </w:divsChild>
                </w:div>
              </w:divsChild>
            </w:div>
          </w:divsChild>
        </w:div>
        <w:div w:id="1404178585">
          <w:marLeft w:val="0"/>
          <w:marRight w:val="0"/>
          <w:marTop w:val="0"/>
          <w:marBottom w:val="231"/>
          <w:divBdr>
            <w:top w:val="none" w:sz="0" w:space="0" w:color="auto"/>
            <w:left w:val="none" w:sz="0" w:space="0" w:color="auto"/>
            <w:bottom w:val="none" w:sz="0" w:space="0" w:color="auto"/>
            <w:right w:val="none" w:sz="0" w:space="0" w:color="auto"/>
          </w:divBdr>
          <w:divsChild>
            <w:div w:id="1820875658">
              <w:marLeft w:val="0"/>
              <w:marRight w:val="0"/>
              <w:marTop w:val="0"/>
              <w:marBottom w:val="0"/>
              <w:divBdr>
                <w:top w:val="none" w:sz="0" w:space="0" w:color="auto"/>
                <w:left w:val="none" w:sz="0" w:space="0" w:color="auto"/>
                <w:bottom w:val="none" w:sz="0" w:space="0" w:color="auto"/>
                <w:right w:val="none" w:sz="0" w:space="0" w:color="auto"/>
              </w:divBdr>
              <w:divsChild>
                <w:div w:id="1868063500">
                  <w:marLeft w:val="0"/>
                  <w:marRight w:val="0"/>
                  <w:marTop w:val="0"/>
                  <w:marBottom w:val="0"/>
                  <w:divBdr>
                    <w:top w:val="none" w:sz="0" w:space="0" w:color="auto"/>
                    <w:left w:val="none" w:sz="0" w:space="0" w:color="auto"/>
                    <w:bottom w:val="none" w:sz="0" w:space="0" w:color="auto"/>
                    <w:right w:val="none" w:sz="0" w:space="0" w:color="auto"/>
                  </w:divBdr>
                </w:div>
              </w:divsChild>
            </w:div>
            <w:div w:id="1518931240">
              <w:marLeft w:val="0"/>
              <w:marRight w:val="0"/>
              <w:marTop w:val="0"/>
              <w:marBottom w:val="0"/>
              <w:divBdr>
                <w:top w:val="none" w:sz="0" w:space="0" w:color="auto"/>
                <w:left w:val="none" w:sz="0" w:space="0" w:color="auto"/>
                <w:bottom w:val="none" w:sz="0" w:space="0" w:color="auto"/>
                <w:right w:val="none" w:sz="0" w:space="0" w:color="auto"/>
              </w:divBdr>
            </w:div>
          </w:divsChild>
        </w:div>
        <w:div w:id="162740141">
          <w:marLeft w:val="0"/>
          <w:marRight w:val="0"/>
          <w:marTop w:val="0"/>
          <w:marBottom w:val="231"/>
          <w:divBdr>
            <w:top w:val="none" w:sz="0" w:space="0" w:color="auto"/>
            <w:left w:val="none" w:sz="0" w:space="0" w:color="auto"/>
            <w:bottom w:val="none" w:sz="0" w:space="0" w:color="auto"/>
            <w:right w:val="none" w:sz="0" w:space="0" w:color="auto"/>
          </w:divBdr>
          <w:divsChild>
            <w:div w:id="1441796842">
              <w:marLeft w:val="0"/>
              <w:marRight w:val="0"/>
              <w:marTop w:val="0"/>
              <w:marBottom w:val="0"/>
              <w:divBdr>
                <w:top w:val="none" w:sz="0" w:space="0" w:color="auto"/>
                <w:left w:val="none" w:sz="0" w:space="0" w:color="auto"/>
                <w:bottom w:val="none" w:sz="0" w:space="0" w:color="auto"/>
                <w:right w:val="none" w:sz="0" w:space="0" w:color="auto"/>
              </w:divBdr>
            </w:div>
            <w:div w:id="66528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koncept.ru/tag/%D0%BC%D0%BE%D1%82%D0%B8%D0%B2%D0%B0%D1%86%D0%B8%D0%BE%D0%BD%D0%BD%D1%8B%D0%B9+%D1%82%D0%B8%D0%BF" TargetMode="External"/><Relationship Id="rId3" Type="http://schemas.openxmlformats.org/officeDocument/2006/relationships/webSettings" Target="webSettings.xml"/><Relationship Id="rId7" Type="http://schemas.openxmlformats.org/officeDocument/2006/relationships/hyperlink" Target="https://e-koncept.ru/tag/%D1%81%D1%82%D0%B8%D0%BC%D1%83%D0%B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koncept.ru/tag/%D1%81%D1%82%D0%B8%D0%BC%D1%83%D0%BB%D0%B8%D1%80%D0%BE%D0%B2%D0%B0%D0%BD%D0%B8%D0%B5" TargetMode="External"/><Relationship Id="rId11" Type="http://schemas.openxmlformats.org/officeDocument/2006/relationships/theme" Target="theme/theme1.xml"/><Relationship Id="rId5" Type="http://schemas.openxmlformats.org/officeDocument/2006/relationships/hyperlink" Target="https://e-koncept.ru/tag/%D0%BC%D0%BE%D1%82%D0%B8%D0%B2" TargetMode="External"/><Relationship Id="rId10" Type="http://schemas.openxmlformats.org/officeDocument/2006/relationships/fontTable" Target="fontTable.xml"/><Relationship Id="rId4" Type="http://schemas.openxmlformats.org/officeDocument/2006/relationships/hyperlink" Target="https://e-koncept.ru/tag/%D0%BC%D0%BE%D1%82%D0%B8%D0%B2%D0%B0%D1%86%D0%B8%D1%8F" TargetMode="External"/><Relationship Id="rId9" Type="http://schemas.openxmlformats.org/officeDocument/2006/relationships/hyperlink" Target="https://e-koncept.ru/tag/%D0%BC%D0%BE%D0%B4%D0%B5%D0%BB%D1%8C+%D0%BC%D0%BE%D1%82%D0%B8%D0%B2%D0%B0%D1%86%D0%B8%D0%B8+%D0%B2.%D0%B8.+%D0%B3%D0%B5%D1%80%D1%87%D0%B8%D0%BA%D0%BE%D0%B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2112</Words>
  <Characters>12043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2019-02-01T13:12:00Z</dcterms:created>
  <dcterms:modified xsi:type="dcterms:W3CDTF">2019-02-01T13:28:00Z</dcterms:modified>
</cp:coreProperties>
</file>