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charts/chart1.xml" ContentType="application/vnd.openxmlformats-officedocument.drawingml.chart+xml"/>
  <Override PartName="/word/theme/themeOverride1.xml" ContentType="application/vnd.openxmlformats-officedocument.themeOverride+xml"/>
  <Override PartName="/word/charts/chart2.xml" ContentType="application/vnd.openxmlformats-officedocument.drawingml.chart+xml"/>
  <Override PartName="/word/theme/themeOverride2.xml" ContentType="application/vnd.openxmlformats-officedocument.themeOverride+xml"/>
  <Override PartName="/word/charts/chart3.xml" ContentType="application/vnd.openxmlformats-officedocument.drawingml.chart+xml"/>
  <Override PartName="/word/theme/themeOverride3.xml" ContentType="application/vnd.openxmlformats-officedocument.themeOverride+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96176" w:rsidRPr="00696176" w:rsidRDefault="00696176" w:rsidP="00696176">
      <w:pPr>
        <w:spacing w:after="0" w:line="240" w:lineRule="auto"/>
        <w:rPr>
          <w:rFonts w:ascii="Times New Roman" w:hAnsi="Times New Roman"/>
          <w:b/>
          <w:sz w:val="24"/>
          <w:szCs w:val="24"/>
        </w:rPr>
      </w:pPr>
      <w:r w:rsidRPr="00696176">
        <w:rPr>
          <w:rFonts w:ascii="Times New Roman" w:hAnsi="Times New Roman"/>
          <w:b/>
          <w:sz w:val="24"/>
          <w:szCs w:val="24"/>
        </w:rPr>
        <w:t>ОБЕСПЕЧЕНИЕ ЭКНОН</w:t>
      </w:r>
      <w:r w:rsidR="00B07CEB">
        <w:rPr>
          <w:rFonts w:ascii="Times New Roman" w:hAnsi="Times New Roman"/>
          <w:b/>
          <w:sz w:val="24"/>
          <w:szCs w:val="24"/>
        </w:rPr>
        <w:t>О</w:t>
      </w:r>
      <w:bookmarkStart w:id="0" w:name="_GoBack"/>
      <w:bookmarkEnd w:id="0"/>
      <w:r w:rsidRPr="00696176">
        <w:rPr>
          <w:rFonts w:ascii="Times New Roman" w:hAnsi="Times New Roman"/>
          <w:b/>
          <w:sz w:val="24"/>
          <w:szCs w:val="24"/>
        </w:rPr>
        <w:t>МИЧЕСКОЙ БЕЗОПАСНОСТИ ПРЕДПРИЯТИЯ АО «АЭРОМАР»</w:t>
      </w:r>
    </w:p>
    <w:p w:rsidR="00696176" w:rsidRPr="00696176" w:rsidRDefault="00696176" w:rsidP="00696176">
      <w:pPr>
        <w:spacing w:after="0" w:line="240" w:lineRule="auto"/>
        <w:jc w:val="both"/>
        <w:rPr>
          <w:rFonts w:ascii="Times New Roman" w:hAnsi="Times New Roman"/>
          <w:b/>
          <w:sz w:val="24"/>
          <w:szCs w:val="24"/>
        </w:rPr>
      </w:pPr>
    </w:p>
    <w:p w:rsidR="00696176" w:rsidRPr="00B07CEB" w:rsidRDefault="00696176" w:rsidP="00696176">
      <w:pPr>
        <w:tabs>
          <w:tab w:val="left" w:pos="426"/>
        </w:tabs>
        <w:spacing w:after="0" w:line="240" w:lineRule="auto"/>
        <w:jc w:val="both"/>
        <w:rPr>
          <w:rFonts w:ascii="Times New Roman" w:hAnsi="Times New Roman"/>
          <w:b/>
          <w:sz w:val="24"/>
          <w:szCs w:val="24"/>
          <w:lang w:val="en-US" w:eastAsia="ru-RU"/>
        </w:rPr>
      </w:pPr>
      <w:r w:rsidRPr="00696176">
        <w:rPr>
          <w:rFonts w:ascii="Times New Roman" w:hAnsi="Times New Roman"/>
          <w:b/>
          <w:sz w:val="24"/>
          <w:szCs w:val="24"/>
          <w:lang w:eastAsia="ru-RU"/>
        </w:rPr>
        <w:t>Новикова Е.В.</w:t>
      </w:r>
    </w:p>
    <w:p w:rsidR="00696176" w:rsidRPr="00696176" w:rsidRDefault="00696176" w:rsidP="00696176">
      <w:pPr>
        <w:tabs>
          <w:tab w:val="left" w:pos="426"/>
        </w:tabs>
        <w:spacing w:after="0" w:line="240" w:lineRule="auto"/>
        <w:jc w:val="both"/>
        <w:rPr>
          <w:rFonts w:ascii="Times New Roman" w:hAnsi="Times New Roman"/>
          <w:b/>
          <w:sz w:val="24"/>
          <w:szCs w:val="24"/>
          <w:lang w:eastAsia="ru-RU"/>
        </w:rPr>
      </w:pPr>
    </w:p>
    <w:p w:rsidR="00696176" w:rsidRPr="00696176" w:rsidRDefault="00696176" w:rsidP="00696176">
      <w:pPr>
        <w:tabs>
          <w:tab w:val="left" w:pos="426"/>
        </w:tabs>
        <w:spacing w:after="0" w:line="240" w:lineRule="auto"/>
        <w:jc w:val="both"/>
        <w:rPr>
          <w:rFonts w:ascii="Times New Roman" w:hAnsi="Times New Roman"/>
          <w:b/>
          <w:sz w:val="24"/>
          <w:szCs w:val="24"/>
          <w:lang w:eastAsia="ru-RU"/>
        </w:rPr>
      </w:pPr>
      <w:r w:rsidRPr="00696176">
        <w:rPr>
          <w:rFonts w:ascii="Times New Roman" w:hAnsi="Times New Roman"/>
          <w:b/>
          <w:sz w:val="24"/>
          <w:szCs w:val="24"/>
          <w:lang w:eastAsia="ru-RU"/>
        </w:rPr>
        <w:t>Российская академия народного хозяйства и государственной службы при Президенте РФ Россия</w:t>
      </w:r>
    </w:p>
    <w:p w:rsidR="00696176" w:rsidRPr="00696176" w:rsidRDefault="00696176" w:rsidP="00696176">
      <w:pPr>
        <w:tabs>
          <w:tab w:val="left" w:pos="426"/>
        </w:tabs>
        <w:spacing w:after="0" w:line="240" w:lineRule="auto"/>
        <w:jc w:val="both"/>
        <w:rPr>
          <w:rFonts w:ascii="Times New Roman" w:hAnsi="Times New Roman"/>
          <w:b/>
          <w:sz w:val="20"/>
          <w:szCs w:val="20"/>
          <w:lang w:eastAsia="ru-RU"/>
        </w:rPr>
      </w:pPr>
    </w:p>
    <w:p w:rsidR="00696176" w:rsidRPr="00696176" w:rsidRDefault="00696176" w:rsidP="00696176">
      <w:pPr>
        <w:pBdr>
          <w:top w:val="single" w:sz="4" w:space="1" w:color="auto"/>
          <w:bottom w:val="single" w:sz="4" w:space="1" w:color="auto"/>
        </w:pBdr>
        <w:tabs>
          <w:tab w:val="left" w:pos="426"/>
        </w:tabs>
        <w:spacing w:after="0" w:line="240" w:lineRule="auto"/>
        <w:jc w:val="both"/>
        <w:rPr>
          <w:rFonts w:ascii="Times New Roman" w:hAnsi="Times New Roman"/>
          <w:b/>
          <w:color w:val="000000"/>
          <w:sz w:val="20"/>
          <w:szCs w:val="20"/>
          <w:lang w:eastAsia="ru-RU"/>
        </w:rPr>
      </w:pPr>
      <w:r w:rsidRPr="00696176">
        <w:rPr>
          <w:rFonts w:ascii="Times New Roman" w:hAnsi="Times New Roman"/>
          <w:b/>
          <w:color w:val="000000"/>
          <w:sz w:val="20"/>
          <w:szCs w:val="20"/>
          <w:lang w:eastAsia="ru-RU"/>
        </w:rPr>
        <w:t>В статье рассматриваются сущность и процесс обеспечения экономической безопасности предприятия, проанализированы финансовые показатели функционирования организации, проведен анализ вероятности банкротства организации, рассчитаны основные показатели-индикаторы оценки финансовой безопасности, исходя из которых можно судить об уровне обеспечения экономической безопасности.</w:t>
      </w:r>
    </w:p>
    <w:p w:rsidR="00696176" w:rsidRPr="00696176" w:rsidRDefault="00696176" w:rsidP="00696176">
      <w:pPr>
        <w:tabs>
          <w:tab w:val="left" w:pos="426"/>
        </w:tabs>
        <w:autoSpaceDE w:val="0"/>
        <w:autoSpaceDN w:val="0"/>
        <w:adjustRightInd w:val="0"/>
        <w:spacing w:after="0" w:line="240" w:lineRule="auto"/>
        <w:jc w:val="both"/>
        <w:rPr>
          <w:rFonts w:ascii="Times New Roman" w:hAnsi="Times New Roman"/>
          <w:bCs/>
          <w:color w:val="000000"/>
          <w:sz w:val="20"/>
          <w:szCs w:val="20"/>
        </w:rPr>
      </w:pPr>
      <w:r w:rsidRPr="00696176">
        <w:rPr>
          <w:rFonts w:ascii="Times New Roman" w:hAnsi="Times New Roman"/>
          <w:bCs/>
          <w:color w:val="000000"/>
          <w:sz w:val="20"/>
          <w:szCs w:val="20"/>
        </w:rPr>
        <w:t>Ключевые слова: банкротство, ликвидность, устойчивость, финансовые показатели, экономическая  безопасность</w:t>
      </w:r>
    </w:p>
    <w:p w:rsidR="00696176" w:rsidRPr="00696176" w:rsidRDefault="00696176" w:rsidP="00696176">
      <w:pPr>
        <w:tabs>
          <w:tab w:val="left" w:pos="426"/>
        </w:tabs>
        <w:autoSpaceDE w:val="0"/>
        <w:autoSpaceDN w:val="0"/>
        <w:adjustRightInd w:val="0"/>
        <w:spacing w:after="0" w:line="240" w:lineRule="auto"/>
        <w:jc w:val="both"/>
        <w:rPr>
          <w:rFonts w:ascii="Times New Roman" w:hAnsi="Times New Roman"/>
          <w:bCs/>
          <w:color w:val="000000"/>
          <w:sz w:val="20"/>
          <w:szCs w:val="20"/>
        </w:rPr>
      </w:pPr>
      <w:r w:rsidRPr="00696176">
        <w:rPr>
          <w:rFonts w:ascii="Times New Roman" w:hAnsi="Times New Roman"/>
          <w:bCs/>
          <w:color w:val="000000"/>
          <w:sz w:val="20"/>
          <w:szCs w:val="20"/>
        </w:rPr>
        <w:t xml:space="preserve"> </w:t>
      </w:r>
    </w:p>
    <w:p w:rsidR="00696176" w:rsidRPr="00696176" w:rsidRDefault="00696176" w:rsidP="00696176">
      <w:pPr>
        <w:spacing w:after="0" w:line="240" w:lineRule="auto"/>
        <w:rPr>
          <w:rFonts w:ascii="Times New Roman" w:hAnsi="Times New Roman"/>
          <w:i/>
          <w:sz w:val="20"/>
          <w:szCs w:val="20"/>
          <w:lang w:eastAsia="ru-RU"/>
        </w:rPr>
      </w:pPr>
    </w:p>
    <w:p w:rsidR="00696176" w:rsidRPr="00696176" w:rsidRDefault="00696176" w:rsidP="00696176">
      <w:pPr>
        <w:spacing w:after="0" w:line="240" w:lineRule="auto"/>
        <w:rPr>
          <w:rFonts w:ascii="Times New Roman" w:hAnsi="Times New Roman"/>
          <w:b/>
          <w:sz w:val="24"/>
          <w:szCs w:val="24"/>
          <w:lang w:val="en-US"/>
        </w:rPr>
      </w:pPr>
      <w:r w:rsidRPr="00696176">
        <w:rPr>
          <w:rFonts w:ascii="Times New Roman" w:hAnsi="Times New Roman"/>
          <w:b/>
          <w:sz w:val="24"/>
          <w:szCs w:val="24"/>
          <w:lang w:val="en-US"/>
        </w:rPr>
        <w:t>ENSURING THE ECONOMIC SAFETY OF THE ENTERPRISE OF JSC «AEROMAR»</w:t>
      </w:r>
    </w:p>
    <w:p w:rsidR="00696176" w:rsidRPr="00696176" w:rsidRDefault="00B07CEB" w:rsidP="00696176">
      <w:pPr>
        <w:tabs>
          <w:tab w:val="left" w:pos="426"/>
        </w:tabs>
        <w:spacing w:after="0" w:line="240" w:lineRule="auto"/>
        <w:rPr>
          <w:rFonts w:ascii="Times New Roman" w:hAnsi="Times New Roman"/>
          <w:b/>
          <w:sz w:val="24"/>
          <w:szCs w:val="24"/>
          <w:lang w:val="en-US" w:eastAsia="ru-RU"/>
        </w:rPr>
      </w:pPr>
      <w:proofErr w:type="spellStart"/>
      <w:r>
        <w:rPr>
          <w:rFonts w:ascii="Times New Roman" w:hAnsi="Times New Roman"/>
          <w:b/>
          <w:sz w:val="24"/>
          <w:szCs w:val="24"/>
          <w:lang w:val="en-US" w:eastAsia="ru-RU"/>
        </w:rPr>
        <w:t>Novikova</w:t>
      </w:r>
      <w:proofErr w:type="spellEnd"/>
      <w:r>
        <w:rPr>
          <w:rFonts w:ascii="Times New Roman" w:hAnsi="Times New Roman"/>
          <w:b/>
          <w:sz w:val="24"/>
          <w:szCs w:val="24"/>
          <w:lang w:val="en-US" w:eastAsia="ru-RU"/>
        </w:rPr>
        <w:t xml:space="preserve"> E</w:t>
      </w:r>
      <w:r w:rsidR="00696176" w:rsidRPr="00696176">
        <w:rPr>
          <w:rFonts w:ascii="Times New Roman" w:hAnsi="Times New Roman"/>
          <w:b/>
          <w:sz w:val="24"/>
          <w:szCs w:val="24"/>
          <w:lang w:val="en-US" w:eastAsia="ru-RU"/>
        </w:rPr>
        <w:t>.V.</w:t>
      </w:r>
    </w:p>
    <w:p w:rsidR="00696176" w:rsidRPr="00696176" w:rsidRDefault="00696176" w:rsidP="00696176">
      <w:pPr>
        <w:tabs>
          <w:tab w:val="left" w:pos="426"/>
        </w:tabs>
        <w:spacing w:after="0" w:line="240" w:lineRule="auto"/>
        <w:rPr>
          <w:rFonts w:ascii="Times New Roman" w:hAnsi="Times New Roman"/>
          <w:b/>
          <w:sz w:val="24"/>
          <w:szCs w:val="24"/>
          <w:lang w:val="en-US" w:eastAsia="ru-RU"/>
        </w:rPr>
      </w:pPr>
    </w:p>
    <w:p w:rsidR="00696176" w:rsidRPr="00696176" w:rsidRDefault="00696176" w:rsidP="00696176">
      <w:pPr>
        <w:tabs>
          <w:tab w:val="left" w:pos="426"/>
        </w:tabs>
        <w:spacing w:after="0" w:line="240" w:lineRule="auto"/>
        <w:jc w:val="both"/>
        <w:rPr>
          <w:rFonts w:ascii="Times New Roman" w:hAnsi="Times New Roman"/>
          <w:b/>
          <w:sz w:val="24"/>
          <w:szCs w:val="24"/>
          <w:lang w:val="en-US" w:eastAsia="ru-RU"/>
        </w:rPr>
      </w:pPr>
      <w:r w:rsidRPr="00696176">
        <w:rPr>
          <w:rFonts w:ascii="Times New Roman" w:hAnsi="Times New Roman"/>
          <w:b/>
          <w:sz w:val="24"/>
          <w:szCs w:val="24"/>
          <w:lang w:val="en-US" w:eastAsia="ru-RU"/>
        </w:rPr>
        <w:t>The Russian Presidential Academy of National Economy and Public Administration under the President of the Russian Federation</w:t>
      </w:r>
    </w:p>
    <w:p w:rsidR="00696176" w:rsidRPr="00696176" w:rsidRDefault="00696176" w:rsidP="00696176">
      <w:pPr>
        <w:tabs>
          <w:tab w:val="left" w:pos="426"/>
        </w:tabs>
        <w:spacing w:after="0" w:line="240" w:lineRule="auto"/>
        <w:jc w:val="both"/>
        <w:rPr>
          <w:rFonts w:ascii="Times New Roman" w:hAnsi="Times New Roman"/>
          <w:b/>
          <w:sz w:val="20"/>
          <w:szCs w:val="20"/>
          <w:lang w:val="en-US" w:eastAsia="ru-RU"/>
        </w:rPr>
      </w:pPr>
    </w:p>
    <w:p w:rsidR="00696176" w:rsidRPr="00696176" w:rsidRDefault="00696176" w:rsidP="00696176">
      <w:pPr>
        <w:pBdr>
          <w:top w:val="single" w:sz="4" w:space="1" w:color="auto"/>
          <w:bottom w:val="single" w:sz="4" w:space="1" w:color="auto"/>
        </w:pBdr>
        <w:tabs>
          <w:tab w:val="left" w:pos="426"/>
        </w:tabs>
        <w:spacing w:after="0" w:line="240" w:lineRule="auto"/>
        <w:jc w:val="both"/>
        <w:rPr>
          <w:rFonts w:ascii="Times New Roman" w:hAnsi="Times New Roman"/>
          <w:b/>
          <w:sz w:val="20"/>
          <w:szCs w:val="20"/>
          <w:lang w:val="en-US" w:eastAsia="ru-RU"/>
        </w:rPr>
      </w:pPr>
      <w:r w:rsidRPr="00696176">
        <w:rPr>
          <w:rFonts w:ascii="Times New Roman" w:hAnsi="Times New Roman"/>
          <w:b/>
          <w:sz w:val="20"/>
          <w:szCs w:val="20"/>
          <w:lang w:val="en-US" w:eastAsia="ru-RU"/>
        </w:rPr>
        <w:t>The article discusses the nature and process of ensuring the economic security of an enterprise, analyzes the financial performance of an organization, analyzes the likelihood of bankruptcy of an organization, calculates key indicators and indicators for assessing financial security, from which one can judge the level of economic security.</w:t>
      </w:r>
    </w:p>
    <w:p w:rsidR="00696176" w:rsidRPr="00696176" w:rsidRDefault="00696176" w:rsidP="00696176">
      <w:pPr>
        <w:tabs>
          <w:tab w:val="left" w:pos="426"/>
        </w:tabs>
        <w:spacing w:after="0" w:line="240" w:lineRule="auto"/>
        <w:jc w:val="both"/>
        <w:rPr>
          <w:rFonts w:ascii="Times New Roman" w:hAnsi="Times New Roman"/>
          <w:sz w:val="20"/>
          <w:szCs w:val="20"/>
          <w:lang w:val="en-US"/>
        </w:rPr>
      </w:pPr>
      <w:r w:rsidRPr="00696176">
        <w:rPr>
          <w:rFonts w:ascii="Times New Roman" w:hAnsi="Times New Roman"/>
          <w:sz w:val="20"/>
          <w:szCs w:val="20"/>
          <w:lang w:val="en-US" w:eastAsia="ru-RU"/>
        </w:rPr>
        <w:t>Keywords: Bankruptcy, liquidity, stability, financial performance, economic security</w:t>
      </w:r>
    </w:p>
    <w:p w:rsidR="00696176" w:rsidRPr="00B07CEB" w:rsidRDefault="00696176" w:rsidP="00696176">
      <w:pPr>
        <w:rPr>
          <w:lang w:val="en-US"/>
        </w:rPr>
      </w:pPr>
    </w:p>
    <w:p w:rsidR="00696176" w:rsidRPr="00696176" w:rsidRDefault="00696176" w:rsidP="00696176">
      <w:pPr>
        <w:widowControl w:val="0"/>
        <w:spacing w:after="0" w:line="360" w:lineRule="auto"/>
        <w:ind w:firstLine="709"/>
        <w:jc w:val="both"/>
        <w:rPr>
          <w:rFonts w:ascii="Times New Roman" w:eastAsiaTheme="minorHAnsi" w:hAnsi="Times New Roman"/>
          <w:sz w:val="24"/>
          <w:szCs w:val="24"/>
        </w:rPr>
      </w:pPr>
      <w:r w:rsidRPr="00696176">
        <w:rPr>
          <w:rFonts w:ascii="Times New Roman" w:eastAsiaTheme="minorHAnsi" w:hAnsi="Times New Roman"/>
          <w:sz w:val="24"/>
          <w:szCs w:val="24"/>
        </w:rPr>
        <w:t xml:space="preserve">Экономическая безопасность – процесс многофункциональный и многогранный, потому всесторонне включить все ее составные части и связи в одну категорию фактически невозможно. На основании этого есть много точек зрения на рассматриваемое понятие, при этом каждая из них не устраняет, а дополняет другие, а в своей общности они демонстрируют комплексное осознание рассматриваемого процесса. </w:t>
      </w:r>
    </w:p>
    <w:p w:rsidR="00696176" w:rsidRPr="00696176" w:rsidRDefault="00696176" w:rsidP="00696176">
      <w:pPr>
        <w:widowControl w:val="0"/>
        <w:spacing w:after="0" w:line="360" w:lineRule="auto"/>
        <w:ind w:firstLine="709"/>
        <w:jc w:val="both"/>
        <w:rPr>
          <w:rFonts w:ascii="Times New Roman" w:eastAsiaTheme="minorHAnsi" w:hAnsi="Times New Roman"/>
          <w:sz w:val="24"/>
          <w:szCs w:val="24"/>
        </w:rPr>
      </w:pPr>
      <w:r w:rsidRPr="00696176">
        <w:rPr>
          <w:rFonts w:ascii="Times New Roman" w:eastAsiaTheme="minorHAnsi" w:hAnsi="Times New Roman"/>
          <w:sz w:val="24"/>
          <w:szCs w:val="24"/>
        </w:rPr>
        <w:t xml:space="preserve">Изучая существующие определения «экономическая безопасность» разными научными деятелями, можно обозначить несколько подходов к определению этого понятия: </w:t>
      </w:r>
    </w:p>
    <w:p w:rsidR="00696176" w:rsidRPr="00696176" w:rsidRDefault="00696176" w:rsidP="00696176">
      <w:pPr>
        <w:widowControl w:val="0"/>
        <w:tabs>
          <w:tab w:val="left" w:pos="993"/>
        </w:tabs>
        <w:spacing w:after="0" w:line="360" w:lineRule="auto"/>
        <w:contextualSpacing/>
        <w:jc w:val="both"/>
        <w:rPr>
          <w:rFonts w:ascii="Times New Roman" w:eastAsiaTheme="minorHAnsi" w:hAnsi="Times New Roman"/>
          <w:sz w:val="24"/>
          <w:szCs w:val="24"/>
        </w:rPr>
      </w:pPr>
      <w:r>
        <w:rPr>
          <w:rFonts w:ascii="Times New Roman" w:eastAsiaTheme="minorHAnsi" w:hAnsi="Times New Roman"/>
          <w:sz w:val="24"/>
          <w:szCs w:val="24"/>
        </w:rPr>
        <w:t xml:space="preserve">- </w:t>
      </w:r>
      <w:r w:rsidRPr="00696176">
        <w:rPr>
          <w:rFonts w:ascii="Times New Roman" w:eastAsiaTheme="minorHAnsi" w:hAnsi="Times New Roman"/>
          <w:sz w:val="24"/>
          <w:szCs w:val="24"/>
        </w:rPr>
        <w:t xml:space="preserve">определение экономической безопасности посредством категории «устойчивость». Сторонники первого подхода (Л.И. Абалкин, В.С. Паньков и другие) понимают «категорию экономической безопасности как комплекс факторов, которые защищают экономику государства от разных угроз и обеспечивают прочное бескризисное экономическое развитие»; </w:t>
      </w:r>
    </w:p>
    <w:p w:rsidR="00696176" w:rsidRPr="00696176" w:rsidRDefault="00696176" w:rsidP="00696176">
      <w:pPr>
        <w:widowControl w:val="0"/>
        <w:tabs>
          <w:tab w:val="left" w:pos="993"/>
        </w:tabs>
        <w:spacing w:after="0" w:line="360" w:lineRule="auto"/>
        <w:contextualSpacing/>
        <w:jc w:val="both"/>
        <w:rPr>
          <w:rFonts w:ascii="Times New Roman" w:eastAsiaTheme="minorHAnsi" w:hAnsi="Times New Roman"/>
          <w:sz w:val="24"/>
          <w:szCs w:val="24"/>
        </w:rPr>
      </w:pPr>
      <w:r>
        <w:rPr>
          <w:rFonts w:ascii="Times New Roman" w:eastAsiaTheme="minorHAnsi" w:hAnsi="Times New Roman"/>
          <w:sz w:val="24"/>
          <w:szCs w:val="24"/>
        </w:rPr>
        <w:t xml:space="preserve"> - </w:t>
      </w:r>
      <w:r w:rsidRPr="00696176">
        <w:rPr>
          <w:rFonts w:ascii="Times New Roman" w:eastAsiaTheme="minorHAnsi" w:hAnsi="Times New Roman"/>
          <w:sz w:val="24"/>
          <w:szCs w:val="24"/>
        </w:rPr>
        <w:t xml:space="preserve">определение экономической безопасности посредством категории «интересы». Сторонники этого подхода (В.А. Савин, В.К. </w:t>
      </w:r>
      <w:proofErr w:type="spellStart"/>
      <w:r w:rsidRPr="00696176">
        <w:rPr>
          <w:rFonts w:ascii="Times New Roman" w:eastAsiaTheme="minorHAnsi" w:hAnsi="Times New Roman"/>
          <w:sz w:val="24"/>
          <w:szCs w:val="24"/>
        </w:rPr>
        <w:t>Сенчагов</w:t>
      </w:r>
      <w:proofErr w:type="spellEnd"/>
      <w:r w:rsidRPr="00696176">
        <w:rPr>
          <w:rFonts w:ascii="Times New Roman" w:eastAsiaTheme="minorHAnsi" w:hAnsi="Times New Roman"/>
          <w:sz w:val="24"/>
          <w:szCs w:val="24"/>
        </w:rPr>
        <w:t xml:space="preserve"> и другие) «связывают экономическую безопасность с таким положением экономики государства, позволяющим защищать его жизненно значимые интересы»; </w:t>
      </w:r>
    </w:p>
    <w:p w:rsidR="00696176" w:rsidRPr="00696176" w:rsidRDefault="00696176" w:rsidP="00696176">
      <w:pPr>
        <w:widowControl w:val="0"/>
        <w:tabs>
          <w:tab w:val="left" w:pos="993"/>
        </w:tabs>
        <w:spacing w:after="0" w:line="360" w:lineRule="auto"/>
        <w:jc w:val="both"/>
        <w:rPr>
          <w:rFonts w:ascii="Times New Roman" w:hAnsi="Times New Roman"/>
          <w:sz w:val="24"/>
          <w:szCs w:val="24"/>
        </w:rPr>
      </w:pPr>
      <w:r>
        <w:rPr>
          <w:rFonts w:ascii="Times New Roman" w:hAnsi="Times New Roman"/>
          <w:sz w:val="24"/>
          <w:szCs w:val="24"/>
        </w:rPr>
        <w:lastRenderedPageBreak/>
        <w:t xml:space="preserve"> - </w:t>
      </w:r>
      <w:r w:rsidRPr="00696176">
        <w:rPr>
          <w:rFonts w:ascii="Times New Roman" w:hAnsi="Times New Roman"/>
          <w:sz w:val="24"/>
          <w:szCs w:val="24"/>
        </w:rPr>
        <w:t xml:space="preserve">определение экономической безопасности посредством категории «независимость». Сторонники этого подхода (А. Архипов, А. Городецкий, Б. Михайлов, А.Н. Илларионов и другие) полагают, что «экономическая безопасность должна формироваться качеством государственной работы, то есть непосредственно процесс экономического развития должен гарантировать ее безопасность. Достоинства этого подхода состоят в том, что он направляет на динамику положения экономической сферы посредством увеличения степени ее конкурентоспособности и вовлечения в международную интеграцию за соответственное положение в мировой экономической сфере»; </w:t>
      </w:r>
    </w:p>
    <w:p w:rsidR="00696176" w:rsidRPr="00696176" w:rsidRDefault="00696176" w:rsidP="00696176">
      <w:pPr>
        <w:widowControl w:val="0"/>
        <w:tabs>
          <w:tab w:val="left" w:pos="993"/>
        </w:tabs>
        <w:spacing w:after="0" w:line="360" w:lineRule="auto"/>
        <w:contextualSpacing/>
        <w:jc w:val="both"/>
        <w:rPr>
          <w:rFonts w:ascii="Times New Roman" w:eastAsiaTheme="minorHAnsi" w:hAnsi="Times New Roman"/>
          <w:sz w:val="24"/>
          <w:szCs w:val="24"/>
        </w:rPr>
      </w:pPr>
      <w:r>
        <w:rPr>
          <w:rFonts w:ascii="Times New Roman" w:eastAsiaTheme="minorHAnsi" w:hAnsi="Times New Roman"/>
          <w:sz w:val="24"/>
          <w:szCs w:val="24"/>
        </w:rPr>
        <w:t xml:space="preserve"> - </w:t>
      </w:r>
      <w:r w:rsidRPr="00696176">
        <w:rPr>
          <w:rFonts w:ascii="Times New Roman" w:eastAsiaTheme="minorHAnsi" w:hAnsi="Times New Roman"/>
          <w:sz w:val="24"/>
          <w:szCs w:val="24"/>
        </w:rPr>
        <w:t xml:space="preserve">синтетический подход, который опирается на определенное построение существующих подходов. При этом подходе (С.Ю. Глазьев, В.С. </w:t>
      </w:r>
      <w:proofErr w:type="spellStart"/>
      <w:r w:rsidRPr="00696176">
        <w:rPr>
          <w:rFonts w:ascii="Times New Roman" w:eastAsiaTheme="minorHAnsi" w:hAnsi="Times New Roman"/>
          <w:sz w:val="24"/>
          <w:szCs w:val="24"/>
        </w:rPr>
        <w:t>Загашвили</w:t>
      </w:r>
      <w:proofErr w:type="spellEnd"/>
      <w:r w:rsidRPr="00696176">
        <w:rPr>
          <w:rFonts w:ascii="Times New Roman" w:eastAsiaTheme="minorHAnsi" w:hAnsi="Times New Roman"/>
          <w:sz w:val="24"/>
          <w:szCs w:val="24"/>
        </w:rPr>
        <w:t xml:space="preserve"> и другие) «сильным моментом становится его комплексность, что дает возможность более объективно дать определение категории экономическая безопасность».</w:t>
      </w:r>
    </w:p>
    <w:p w:rsidR="00696176" w:rsidRPr="00696176" w:rsidRDefault="00696176" w:rsidP="00696176">
      <w:pPr>
        <w:widowControl w:val="0"/>
        <w:spacing w:after="0" w:line="360" w:lineRule="auto"/>
        <w:ind w:firstLine="709"/>
        <w:jc w:val="both"/>
        <w:rPr>
          <w:rFonts w:ascii="Times New Roman" w:eastAsiaTheme="minorHAnsi" w:hAnsi="Times New Roman"/>
          <w:sz w:val="24"/>
          <w:szCs w:val="24"/>
          <w:shd w:val="clear" w:color="auto" w:fill="FFFFFF"/>
        </w:rPr>
      </w:pPr>
      <w:r w:rsidRPr="00696176">
        <w:rPr>
          <w:rFonts w:ascii="Times New Roman" w:eastAsiaTheme="minorHAnsi" w:hAnsi="Times New Roman"/>
          <w:sz w:val="24"/>
          <w:szCs w:val="24"/>
          <w:shd w:val="clear" w:color="auto" w:fill="FFFFFF"/>
        </w:rPr>
        <w:t>Под экономической безопасностью следует понимать важнейшую качественную характеристику экономической системы, определяющую ее способность поддерживать нормальные условия жизнедеятельности населения, устойчивое обеспечение ресурсами, а также последовательная реализация национальных государственных интересов.</w:t>
      </w:r>
    </w:p>
    <w:p w:rsidR="00696176" w:rsidRPr="00696176" w:rsidRDefault="00696176" w:rsidP="00696176">
      <w:pPr>
        <w:widowControl w:val="0"/>
        <w:spacing w:after="0" w:line="360" w:lineRule="auto"/>
        <w:ind w:firstLine="709"/>
        <w:jc w:val="both"/>
        <w:rPr>
          <w:rFonts w:ascii="Times New Roman" w:eastAsiaTheme="minorHAnsi" w:hAnsi="Times New Roman"/>
          <w:sz w:val="24"/>
          <w:szCs w:val="24"/>
        </w:rPr>
      </w:pPr>
      <w:r w:rsidRPr="00696176">
        <w:rPr>
          <w:rFonts w:ascii="Times New Roman" w:eastAsiaTheme="minorHAnsi" w:hAnsi="Times New Roman"/>
          <w:sz w:val="24"/>
          <w:szCs w:val="24"/>
        </w:rPr>
        <w:t>Можно выделить основные функциональные составляющие экономической безопасности организации, которые наглядно представлены на рисунке 2.</w:t>
      </w:r>
    </w:p>
    <w:p w:rsidR="00696176" w:rsidRDefault="00696176" w:rsidP="00696176">
      <w:pPr>
        <w:widowControl w:val="0"/>
        <w:spacing w:after="0" w:line="360" w:lineRule="auto"/>
        <w:ind w:firstLine="709"/>
        <w:jc w:val="both"/>
        <w:rPr>
          <w:rFonts w:ascii="Times New Roman" w:eastAsiaTheme="minorHAnsi" w:hAnsi="Times New Roman"/>
          <w:sz w:val="24"/>
          <w:szCs w:val="24"/>
        </w:rPr>
      </w:pPr>
      <w:r w:rsidRPr="00696176">
        <w:rPr>
          <w:rFonts w:ascii="Times New Roman" w:eastAsiaTheme="minorHAnsi" w:hAnsi="Times New Roman"/>
          <w:sz w:val="24"/>
          <w:szCs w:val="24"/>
        </w:rPr>
        <w:t>Экономическая безопасность системы складывается из нескольких функциональных составляющих, которые для каждой организации могут иметь различные приоритеты в зависимости от характера существующих угроз.</w:t>
      </w:r>
    </w:p>
    <w:p w:rsidR="00696176" w:rsidRPr="00696176" w:rsidRDefault="00696176" w:rsidP="00696176">
      <w:pPr>
        <w:widowControl w:val="0"/>
        <w:tabs>
          <w:tab w:val="left" w:pos="993"/>
        </w:tabs>
        <w:spacing w:after="0" w:line="360" w:lineRule="auto"/>
        <w:ind w:firstLine="709"/>
        <w:contextualSpacing/>
        <w:jc w:val="both"/>
        <w:rPr>
          <w:rFonts w:ascii="Times New Roman" w:eastAsiaTheme="minorHAnsi" w:hAnsi="Times New Roman"/>
          <w:sz w:val="24"/>
          <w:szCs w:val="24"/>
        </w:rPr>
      </w:pPr>
      <w:r w:rsidRPr="00696176">
        <w:rPr>
          <w:rFonts w:ascii="Times New Roman" w:eastAsiaTheme="minorHAnsi" w:hAnsi="Times New Roman"/>
          <w:sz w:val="24"/>
          <w:szCs w:val="24"/>
        </w:rPr>
        <w:t>Механизм экономической безопасности – это теоретическое обоснование последовательности происходящих событий, включающее несколько логических звеньев, теоретическое отображение результатов произошедших событий и явлений. Формирование механизма экономической безопасности основано на определении экономических потребностей в ее обеспечении, которые формируются под влиянием объективных и субъективных, внутренних и внешних, прогнозируемых и непрогнозируемых факторов, которые в концентрированном виде оказывают деструктивное влияние»».</w:t>
      </w:r>
    </w:p>
    <w:p w:rsidR="00696176" w:rsidRPr="00696176" w:rsidRDefault="00696176" w:rsidP="00696176">
      <w:pPr>
        <w:widowControl w:val="0"/>
        <w:spacing w:after="0" w:line="360" w:lineRule="auto"/>
        <w:ind w:firstLine="709"/>
        <w:jc w:val="both"/>
        <w:rPr>
          <w:rFonts w:ascii="Times New Roman" w:eastAsiaTheme="minorHAnsi" w:hAnsi="Times New Roman"/>
          <w:sz w:val="24"/>
          <w:szCs w:val="24"/>
        </w:rPr>
      </w:pPr>
      <w:r w:rsidRPr="00696176">
        <w:rPr>
          <w:rFonts w:ascii="Times New Roman" w:eastAsiaTheme="minorHAnsi" w:hAnsi="Times New Roman"/>
          <w:sz w:val="24"/>
          <w:szCs w:val="24"/>
        </w:rPr>
        <w:t xml:space="preserve">Исследования экономической безопасности разных уровней в силу разнообразия и масштабности проявления угрожающих факторов на различных уровнях иерархической структуры экономики и в различных отраслях характеризуются по-разному, но имеют одинаковую направленность: определить сущность угроз; разработать механизм предотвращения и борьбы с ними; организовать внедрение и управление разработанной системой мероприятий; оценить эффективность разработок. При формировании механизма экономической безопасности необходимо учитывать ее политику и стратегию. Политика </w:t>
      </w:r>
      <w:r w:rsidRPr="00696176">
        <w:rPr>
          <w:rFonts w:ascii="Times New Roman" w:eastAsiaTheme="minorHAnsi" w:hAnsi="Times New Roman"/>
          <w:sz w:val="24"/>
          <w:szCs w:val="24"/>
        </w:rPr>
        <w:lastRenderedPageBreak/>
        <w:t>экономической безопасности - это система взглядов, мер, решений и действий в области ее обеспечения, которые помогают создать благоприятную среду для достижения положительных результатов деятельности, т.е. выполнять производственную программу, выпускать конкурентоспособную продукцию, повышать эффективность производства и т.д.»</w:t>
      </w:r>
    </w:p>
    <w:p w:rsidR="00696176" w:rsidRPr="00696176" w:rsidRDefault="00696176" w:rsidP="00696176">
      <w:pPr>
        <w:widowControl w:val="0"/>
        <w:spacing w:after="0" w:line="360" w:lineRule="auto"/>
        <w:ind w:firstLine="709"/>
        <w:jc w:val="both"/>
        <w:rPr>
          <w:rFonts w:ascii="Times New Roman" w:eastAsiaTheme="minorHAnsi" w:hAnsi="Times New Roman"/>
          <w:sz w:val="24"/>
          <w:szCs w:val="24"/>
        </w:rPr>
      </w:pPr>
      <w:r w:rsidRPr="00696176">
        <w:rPr>
          <w:rFonts w:ascii="Times New Roman" w:eastAsiaTheme="minorHAnsi" w:hAnsi="Times New Roman"/>
          <w:sz w:val="24"/>
          <w:szCs w:val="24"/>
        </w:rPr>
        <w:t>Стратегия экономической безопасности – это совокупность наиболее важных решений, направленных на обеспечение определенного уровня экономической безопасности деятельности предприятия.</w:t>
      </w:r>
    </w:p>
    <w:p w:rsidR="00696176" w:rsidRPr="00696176" w:rsidRDefault="00696176" w:rsidP="00696176">
      <w:pPr>
        <w:widowControl w:val="0"/>
        <w:spacing w:after="0" w:line="360" w:lineRule="auto"/>
        <w:ind w:firstLine="709"/>
        <w:jc w:val="both"/>
        <w:rPr>
          <w:rFonts w:ascii="Times New Roman" w:eastAsiaTheme="minorHAnsi" w:hAnsi="Times New Roman"/>
          <w:sz w:val="24"/>
          <w:szCs w:val="24"/>
        </w:rPr>
      </w:pPr>
      <w:r w:rsidRPr="00696176">
        <w:rPr>
          <w:rFonts w:ascii="Times New Roman" w:eastAsiaTheme="minorHAnsi" w:hAnsi="Times New Roman"/>
          <w:sz w:val="24"/>
          <w:szCs w:val="24"/>
        </w:rPr>
        <w:t xml:space="preserve">При определении эффективности внедрения механизма экономической безопасности следует использовать: </w:t>
      </w:r>
    </w:p>
    <w:p w:rsidR="00696176" w:rsidRPr="00696176" w:rsidRDefault="00696176" w:rsidP="00696176">
      <w:pPr>
        <w:widowControl w:val="0"/>
        <w:tabs>
          <w:tab w:val="left" w:pos="993"/>
        </w:tabs>
        <w:spacing w:after="0" w:line="360" w:lineRule="auto"/>
        <w:contextualSpacing/>
        <w:jc w:val="both"/>
        <w:rPr>
          <w:rFonts w:ascii="Times New Roman" w:eastAsiaTheme="minorHAnsi" w:hAnsi="Times New Roman"/>
          <w:sz w:val="24"/>
          <w:szCs w:val="24"/>
        </w:rPr>
      </w:pPr>
      <w:r>
        <w:rPr>
          <w:rFonts w:ascii="Times New Roman" w:eastAsiaTheme="minorHAnsi" w:hAnsi="Times New Roman"/>
          <w:sz w:val="24"/>
          <w:szCs w:val="24"/>
        </w:rPr>
        <w:t xml:space="preserve"> - </w:t>
      </w:r>
      <w:r w:rsidRPr="00696176">
        <w:rPr>
          <w:rFonts w:ascii="Times New Roman" w:eastAsiaTheme="minorHAnsi" w:hAnsi="Times New Roman"/>
          <w:sz w:val="24"/>
          <w:szCs w:val="24"/>
        </w:rPr>
        <w:t xml:space="preserve">для оценки потерь, ожидаемых в результате реализации угрозы, – метод сравнения выручки, затрат и прибыли до и после наступления этого события; </w:t>
      </w:r>
    </w:p>
    <w:p w:rsidR="00696176" w:rsidRPr="00696176" w:rsidRDefault="00696176" w:rsidP="00696176">
      <w:pPr>
        <w:widowControl w:val="0"/>
        <w:tabs>
          <w:tab w:val="left" w:pos="993"/>
        </w:tabs>
        <w:spacing w:after="0" w:line="360" w:lineRule="auto"/>
        <w:contextualSpacing/>
        <w:jc w:val="both"/>
        <w:rPr>
          <w:rFonts w:ascii="Times New Roman" w:eastAsiaTheme="minorHAnsi" w:hAnsi="Times New Roman"/>
          <w:sz w:val="24"/>
          <w:szCs w:val="24"/>
        </w:rPr>
      </w:pPr>
      <w:r>
        <w:rPr>
          <w:rFonts w:ascii="Times New Roman" w:eastAsiaTheme="minorHAnsi" w:hAnsi="Times New Roman"/>
          <w:sz w:val="24"/>
          <w:szCs w:val="24"/>
        </w:rPr>
        <w:t xml:space="preserve"> - </w:t>
      </w:r>
      <w:r w:rsidRPr="00696176">
        <w:rPr>
          <w:rFonts w:ascii="Times New Roman" w:eastAsiaTheme="minorHAnsi" w:hAnsi="Times New Roman"/>
          <w:sz w:val="24"/>
          <w:szCs w:val="24"/>
        </w:rPr>
        <w:t>для оценки стоимости внедрения мероприятий по локализации угроз – метод минимизации общих издержек по обеспечению безопасности, основанный на расчете размера пред- и пост</w:t>
      </w:r>
      <w:r>
        <w:rPr>
          <w:rFonts w:ascii="Times New Roman" w:eastAsiaTheme="minorHAnsi" w:hAnsi="Times New Roman"/>
          <w:sz w:val="24"/>
          <w:szCs w:val="24"/>
        </w:rPr>
        <w:t xml:space="preserve"> </w:t>
      </w:r>
      <w:r w:rsidRPr="00696176">
        <w:rPr>
          <w:rFonts w:ascii="Times New Roman" w:eastAsiaTheme="minorHAnsi" w:hAnsi="Times New Roman"/>
          <w:sz w:val="24"/>
          <w:szCs w:val="24"/>
        </w:rPr>
        <w:t xml:space="preserve">затрат; </w:t>
      </w:r>
    </w:p>
    <w:p w:rsidR="00696176" w:rsidRPr="00696176" w:rsidRDefault="00696176" w:rsidP="00696176">
      <w:pPr>
        <w:widowControl w:val="0"/>
        <w:tabs>
          <w:tab w:val="left" w:pos="993"/>
        </w:tabs>
        <w:spacing w:after="0" w:line="360" w:lineRule="auto"/>
        <w:contextualSpacing/>
        <w:jc w:val="both"/>
        <w:rPr>
          <w:rFonts w:ascii="Times New Roman" w:eastAsiaTheme="minorHAnsi" w:hAnsi="Times New Roman"/>
          <w:sz w:val="24"/>
          <w:szCs w:val="24"/>
        </w:rPr>
      </w:pPr>
      <w:r>
        <w:rPr>
          <w:rFonts w:ascii="Times New Roman" w:eastAsiaTheme="minorHAnsi" w:hAnsi="Times New Roman"/>
          <w:sz w:val="24"/>
          <w:szCs w:val="24"/>
        </w:rPr>
        <w:t xml:space="preserve"> - </w:t>
      </w:r>
      <w:r w:rsidRPr="00696176">
        <w:rPr>
          <w:rFonts w:ascii="Times New Roman" w:eastAsiaTheme="minorHAnsi" w:hAnsi="Times New Roman"/>
          <w:sz w:val="24"/>
          <w:szCs w:val="24"/>
        </w:rPr>
        <w:t>для оценки эффективности внедряемых мероприятий – методический подход, основанный на определении показателя эффективности в абсолютных и относительных величинах, и метод построения платежной матрицы</w:t>
      </w:r>
      <w:r>
        <w:rPr>
          <w:rFonts w:ascii="Times New Roman" w:eastAsiaTheme="minorHAnsi" w:hAnsi="Times New Roman"/>
          <w:sz w:val="24"/>
          <w:szCs w:val="24"/>
          <w:vertAlign w:val="superscript"/>
        </w:rPr>
        <w:t>.</w:t>
      </w:r>
    </w:p>
    <w:p w:rsidR="00696176" w:rsidRPr="00696176" w:rsidRDefault="00696176" w:rsidP="00696176">
      <w:pPr>
        <w:widowControl w:val="0"/>
        <w:spacing w:after="0" w:line="360" w:lineRule="auto"/>
        <w:ind w:firstLine="709"/>
        <w:jc w:val="both"/>
        <w:rPr>
          <w:rFonts w:ascii="Times New Roman" w:eastAsiaTheme="minorHAnsi" w:hAnsi="Times New Roman"/>
          <w:sz w:val="24"/>
          <w:szCs w:val="24"/>
        </w:rPr>
      </w:pPr>
      <w:r w:rsidRPr="00696176">
        <w:rPr>
          <w:rFonts w:ascii="Times New Roman" w:eastAsiaTheme="minorHAnsi" w:hAnsi="Times New Roman"/>
          <w:sz w:val="24"/>
          <w:szCs w:val="24"/>
        </w:rPr>
        <w:t xml:space="preserve">Механизм обеспечения экономической безопасности функционирования предприятия призван обеспечивать создание условий, мотивирующих эффективную деятельность всех элементов предприятия, высокую степень согласованности общественных корпоративных и личных потребностей и интересов. Механизм должен способствовать обеспечению экономической безопасности на входе и выходе из системы, создать надежные условия функционирования управляющей и управляемой систем. </w:t>
      </w:r>
    </w:p>
    <w:p w:rsidR="00696176" w:rsidRPr="00696176" w:rsidRDefault="00696176" w:rsidP="00696176">
      <w:pPr>
        <w:spacing w:after="0" w:line="360" w:lineRule="auto"/>
        <w:ind w:firstLine="709"/>
        <w:jc w:val="both"/>
        <w:rPr>
          <w:rFonts w:ascii="Times New Roman" w:eastAsia="Times New Roman" w:hAnsi="Times New Roman"/>
          <w:sz w:val="24"/>
          <w:szCs w:val="24"/>
          <w:lang w:eastAsia="ru-RU"/>
        </w:rPr>
      </w:pPr>
      <w:r w:rsidRPr="00696176">
        <w:rPr>
          <w:rFonts w:ascii="Times New Roman" w:eastAsia="Times New Roman" w:hAnsi="Times New Roman"/>
          <w:sz w:val="24"/>
          <w:szCs w:val="24"/>
          <w:lang w:eastAsia="ru-RU"/>
        </w:rPr>
        <w:t>Для анализа экономической безопасности был проведен анализ баланса предприятия, отчетов о финансовых результатах и других отчетных документов за 2015-2017 гг.</w:t>
      </w:r>
    </w:p>
    <w:p w:rsidR="00696176" w:rsidRPr="00696176" w:rsidRDefault="00696176" w:rsidP="00696176">
      <w:pPr>
        <w:spacing w:after="0" w:line="360" w:lineRule="auto"/>
        <w:ind w:firstLine="709"/>
        <w:jc w:val="both"/>
        <w:rPr>
          <w:rFonts w:ascii="Times New Roman" w:eastAsia="Times New Roman" w:hAnsi="Times New Roman"/>
          <w:bCs/>
          <w:sz w:val="24"/>
          <w:szCs w:val="24"/>
          <w:lang w:eastAsia="ru-RU"/>
        </w:rPr>
      </w:pPr>
      <w:r w:rsidRPr="00696176">
        <w:rPr>
          <w:rFonts w:ascii="Times New Roman" w:eastAsia="Times New Roman" w:hAnsi="Times New Roman"/>
          <w:bCs/>
          <w:sz w:val="24"/>
          <w:szCs w:val="24"/>
          <w:lang w:eastAsia="ru-RU"/>
        </w:rPr>
        <w:t>АО «</w:t>
      </w:r>
      <w:bookmarkStart w:id="1" w:name="YANDEX_2"/>
      <w:bookmarkEnd w:id="1"/>
      <w:proofErr w:type="spellStart"/>
      <w:r w:rsidRPr="00696176">
        <w:rPr>
          <w:rFonts w:ascii="Times New Roman" w:eastAsia="Times New Roman" w:hAnsi="Times New Roman"/>
          <w:bCs/>
          <w:sz w:val="24"/>
          <w:szCs w:val="24"/>
          <w:lang w:eastAsia="ru-RU"/>
        </w:rPr>
        <w:t>Аэромар</w:t>
      </w:r>
      <w:proofErr w:type="spellEnd"/>
      <w:r w:rsidRPr="00696176">
        <w:rPr>
          <w:rFonts w:ascii="Times New Roman" w:eastAsia="Times New Roman" w:hAnsi="Times New Roman"/>
          <w:bCs/>
          <w:sz w:val="24"/>
          <w:szCs w:val="24"/>
          <w:lang w:eastAsia="ru-RU"/>
        </w:rPr>
        <w:t xml:space="preserve">» является </w:t>
      </w:r>
      <w:bookmarkStart w:id="2" w:name="YANDEX_4"/>
      <w:bookmarkEnd w:id="2"/>
      <w:r w:rsidRPr="00696176">
        <w:rPr>
          <w:rFonts w:ascii="Times New Roman" w:eastAsia="Times New Roman" w:hAnsi="Times New Roman"/>
          <w:bCs/>
          <w:sz w:val="24"/>
          <w:szCs w:val="24"/>
          <w:lang w:eastAsia="ru-RU"/>
        </w:rPr>
        <w:t xml:space="preserve"> крупнейшей </w:t>
      </w:r>
      <w:bookmarkStart w:id="3" w:name="YANDEX_5"/>
      <w:bookmarkEnd w:id="3"/>
      <w:r w:rsidRPr="00696176">
        <w:rPr>
          <w:rFonts w:ascii="Times New Roman" w:eastAsia="Times New Roman" w:hAnsi="Times New Roman"/>
          <w:bCs/>
          <w:sz w:val="24"/>
          <w:szCs w:val="24"/>
          <w:lang w:eastAsia="ru-RU"/>
        </w:rPr>
        <w:t xml:space="preserve"> в </w:t>
      </w:r>
      <w:bookmarkStart w:id="4" w:name="YANDEX_6"/>
      <w:bookmarkEnd w:id="4"/>
      <w:r w:rsidRPr="00696176">
        <w:rPr>
          <w:rFonts w:ascii="Times New Roman" w:eastAsia="Times New Roman" w:hAnsi="Times New Roman"/>
          <w:bCs/>
          <w:sz w:val="24"/>
          <w:szCs w:val="24"/>
          <w:lang w:eastAsia="ru-RU"/>
        </w:rPr>
        <w:t xml:space="preserve"> Российской </w:t>
      </w:r>
      <w:bookmarkStart w:id="5" w:name="YANDEX_7"/>
      <w:bookmarkEnd w:id="5"/>
      <w:r w:rsidRPr="00696176">
        <w:rPr>
          <w:rFonts w:ascii="Times New Roman" w:eastAsia="Times New Roman" w:hAnsi="Times New Roman"/>
          <w:bCs/>
          <w:sz w:val="24"/>
          <w:szCs w:val="24"/>
          <w:lang w:eastAsia="ru-RU"/>
        </w:rPr>
        <w:t xml:space="preserve"> Федерации </w:t>
      </w:r>
      <w:bookmarkStart w:id="6" w:name="YANDEX_8"/>
      <w:bookmarkEnd w:id="6"/>
      <w:r w:rsidRPr="00696176">
        <w:rPr>
          <w:rFonts w:ascii="Times New Roman" w:eastAsia="Times New Roman" w:hAnsi="Times New Roman"/>
          <w:bCs/>
          <w:sz w:val="24"/>
          <w:szCs w:val="24"/>
          <w:lang w:eastAsia="ru-RU"/>
        </w:rPr>
        <w:t xml:space="preserve"> компанией, осуществляющей </w:t>
      </w:r>
      <w:bookmarkStart w:id="7" w:name="YANDEX_10"/>
      <w:bookmarkEnd w:id="7"/>
      <w:r w:rsidRPr="00696176">
        <w:rPr>
          <w:rFonts w:ascii="Times New Roman" w:eastAsia="Times New Roman" w:hAnsi="Times New Roman"/>
          <w:bCs/>
          <w:sz w:val="24"/>
          <w:szCs w:val="24"/>
          <w:lang w:eastAsia="ru-RU"/>
        </w:rPr>
        <w:t xml:space="preserve"> производство </w:t>
      </w:r>
      <w:bookmarkStart w:id="8" w:name="YANDEX_11"/>
      <w:bookmarkEnd w:id="8"/>
      <w:r w:rsidRPr="00696176">
        <w:rPr>
          <w:rFonts w:ascii="Times New Roman" w:eastAsia="Times New Roman" w:hAnsi="Times New Roman"/>
          <w:bCs/>
          <w:sz w:val="24"/>
          <w:szCs w:val="24"/>
          <w:lang w:eastAsia="ru-RU"/>
        </w:rPr>
        <w:t xml:space="preserve"> питания для авиапассажиров, оказывающей услуги по уборке и экипировке салонов воздушных судов, и связанные с этими услугами дополнительными функциями, а также по предоставлению торговли на борту самолета и розничной/оптовой продаже товаров SKYSHOP на земле. </w:t>
      </w:r>
    </w:p>
    <w:p w:rsidR="00696176" w:rsidRPr="00696176" w:rsidRDefault="00696176" w:rsidP="00696176">
      <w:pPr>
        <w:spacing w:after="0" w:line="360" w:lineRule="auto"/>
        <w:ind w:firstLine="709"/>
        <w:jc w:val="both"/>
        <w:rPr>
          <w:rFonts w:ascii="Times New Roman" w:eastAsia="Times New Roman" w:hAnsi="Times New Roman"/>
          <w:sz w:val="24"/>
          <w:szCs w:val="24"/>
          <w:lang w:eastAsia="ru-RU"/>
        </w:rPr>
      </w:pPr>
      <w:r w:rsidRPr="00696176">
        <w:rPr>
          <w:rFonts w:ascii="Times New Roman" w:eastAsia="Times New Roman" w:hAnsi="Times New Roman"/>
          <w:sz w:val="24"/>
          <w:szCs w:val="24"/>
          <w:lang w:eastAsia="ru-RU"/>
        </w:rPr>
        <w:t>История АО «</w:t>
      </w:r>
      <w:bookmarkStart w:id="9" w:name="YANDEX_12"/>
      <w:bookmarkEnd w:id="9"/>
      <w:proofErr w:type="spellStart"/>
      <w:r w:rsidRPr="00696176">
        <w:rPr>
          <w:rFonts w:ascii="Times New Roman" w:eastAsia="Times New Roman" w:hAnsi="Times New Roman"/>
          <w:sz w:val="24"/>
          <w:szCs w:val="24"/>
          <w:lang w:eastAsia="ru-RU"/>
        </w:rPr>
        <w:t>Аэромар</w:t>
      </w:r>
      <w:proofErr w:type="spellEnd"/>
      <w:r w:rsidRPr="00696176">
        <w:rPr>
          <w:rFonts w:ascii="Times New Roman" w:eastAsia="Times New Roman" w:hAnsi="Times New Roman"/>
          <w:sz w:val="24"/>
          <w:szCs w:val="24"/>
          <w:lang w:eastAsia="ru-RU"/>
        </w:rPr>
        <w:t>» берет истоки 9 декабря 1988 года, когда между Центральным управлением международных воздушных сообщений и американской компанией «Марриотт» было подписано соглашение о создании совместного предприятия «</w:t>
      </w:r>
      <w:bookmarkStart w:id="10" w:name="YANDEX_14"/>
      <w:bookmarkEnd w:id="10"/>
      <w:proofErr w:type="spellStart"/>
      <w:r w:rsidRPr="00696176">
        <w:rPr>
          <w:rFonts w:ascii="Times New Roman" w:eastAsia="Times New Roman" w:hAnsi="Times New Roman"/>
          <w:sz w:val="24"/>
          <w:szCs w:val="24"/>
          <w:lang w:eastAsia="ru-RU"/>
        </w:rPr>
        <w:t>Аэромар</w:t>
      </w:r>
      <w:proofErr w:type="spellEnd"/>
      <w:r w:rsidRPr="00696176">
        <w:rPr>
          <w:rFonts w:ascii="Times New Roman" w:eastAsia="Times New Roman" w:hAnsi="Times New Roman"/>
          <w:sz w:val="24"/>
          <w:szCs w:val="24"/>
          <w:lang w:eastAsia="ru-RU"/>
        </w:rPr>
        <w:t xml:space="preserve">». Компания стала одним из первых в московском регионе предприятий, начавших работать на новых экономических условиях, которые появились тогда в СССР. </w:t>
      </w:r>
    </w:p>
    <w:p w:rsidR="00696176" w:rsidRPr="00696176" w:rsidRDefault="00696176" w:rsidP="00696176">
      <w:pPr>
        <w:spacing w:after="0" w:line="360" w:lineRule="auto"/>
        <w:ind w:firstLine="709"/>
        <w:jc w:val="both"/>
        <w:rPr>
          <w:rFonts w:ascii="Times New Roman" w:eastAsia="Times New Roman" w:hAnsi="Times New Roman"/>
          <w:sz w:val="24"/>
          <w:szCs w:val="24"/>
          <w:lang w:eastAsia="ru-RU"/>
        </w:rPr>
      </w:pPr>
      <w:r w:rsidRPr="00696176">
        <w:rPr>
          <w:rFonts w:ascii="Times New Roman" w:eastAsia="Times New Roman" w:hAnsi="Times New Roman"/>
          <w:sz w:val="24"/>
          <w:szCs w:val="24"/>
          <w:lang w:eastAsia="ru-RU"/>
        </w:rPr>
        <w:lastRenderedPageBreak/>
        <w:t>АО «</w:t>
      </w:r>
      <w:proofErr w:type="spellStart"/>
      <w:r w:rsidRPr="00696176">
        <w:rPr>
          <w:rFonts w:ascii="Times New Roman" w:eastAsia="Times New Roman" w:hAnsi="Times New Roman"/>
          <w:sz w:val="24"/>
          <w:szCs w:val="24"/>
          <w:lang w:eastAsia="ru-RU"/>
        </w:rPr>
        <w:t>Аэромар</w:t>
      </w:r>
      <w:proofErr w:type="spellEnd"/>
      <w:r w:rsidRPr="00696176">
        <w:rPr>
          <w:rFonts w:ascii="Times New Roman" w:eastAsia="Times New Roman" w:hAnsi="Times New Roman"/>
          <w:sz w:val="24"/>
          <w:szCs w:val="24"/>
          <w:lang w:eastAsia="ru-RU"/>
        </w:rPr>
        <w:t xml:space="preserve">» непрерывно совершенствует свою работу, технологии и бизнес-процессы. В результате этого труда большая часть российских и международных перевозчиков пользуется услугами по предоставлению бортового питания. Компания обслуживает более 40 клиентов.  </w:t>
      </w:r>
    </w:p>
    <w:p w:rsidR="00696176" w:rsidRPr="00696176" w:rsidRDefault="00696176" w:rsidP="00696176">
      <w:pPr>
        <w:widowControl w:val="0"/>
        <w:spacing w:after="0" w:line="360" w:lineRule="auto"/>
        <w:ind w:firstLine="709"/>
        <w:jc w:val="both"/>
        <w:rPr>
          <w:rFonts w:ascii="Times New Roman" w:eastAsiaTheme="minorHAnsi" w:hAnsi="Times New Roman"/>
          <w:sz w:val="24"/>
          <w:szCs w:val="24"/>
        </w:rPr>
      </w:pPr>
      <w:r w:rsidRPr="00696176">
        <w:rPr>
          <w:rFonts w:ascii="Times New Roman" w:eastAsiaTheme="minorHAnsi" w:hAnsi="Times New Roman"/>
          <w:sz w:val="24"/>
          <w:szCs w:val="24"/>
        </w:rPr>
        <w:t xml:space="preserve">Стоимость имущества </w:t>
      </w:r>
      <w:r w:rsidRPr="00696176">
        <w:rPr>
          <w:rFonts w:ascii="Times New Roman" w:eastAsia="Times New Roman" w:hAnsi="Times New Roman"/>
          <w:sz w:val="24"/>
          <w:szCs w:val="24"/>
          <w:lang w:eastAsia="ru-RU"/>
        </w:rPr>
        <w:t>АО «</w:t>
      </w:r>
      <w:proofErr w:type="spellStart"/>
      <w:r w:rsidRPr="00696176">
        <w:rPr>
          <w:rFonts w:ascii="Times New Roman" w:eastAsia="Times New Roman" w:hAnsi="Times New Roman"/>
          <w:sz w:val="24"/>
          <w:szCs w:val="24"/>
          <w:lang w:eastAsia="ru-RU"/>
        </w:rPr>
        <w:t>Аэромар</w:t>
      </w:r>
      <w:proofErr w:type="spellEnd"/>
      <w:r w:rsidRPr="00696176">
        <w:rPr>
          <w:rFonts w:ascii="Times New Roman" w:eastAsia="Times New Roman" w:hAnsi="Times New Roman"/>
          <w:sz w:val="24"/>
          <w:szCs w:val="24"/>
          <w:lang w:eastAsia="ru-RU"/>
        </w:rPr>
        <w:t>» за 2015-2017</w:t>
      </w:r>
      <w:r>
        <w:rPr>
          <w:rFonts w:ascii="Times New Roman" w:eastAsia="Times New Roman" w:hAnsi="Times New Roman"/>
          <w:sz w:val="24"/>
          <w:szCs w:val="24"/>
          <w:lang w:eastAsia="ru-RU"/>
        </w:rPr>
        <w:t xml:space="preserve"> </w:t>
      </w:r>
      <w:r w:rsidRPr="00696176">
        <w:rPr>
          <w:rFonts w:ascii="Times New Roman" w:eastAsia="Times New Roman" w:hAnsi="Times New Roman"/>
          <w:sz w:val="24"/>
          <w:szCs w:val="24"/>
          <w:lang w:eastAsia="ru-RU"/>
        </w:rPr>
        <w:t>г</w:t>
      </w:r>
      <w:r>
        <w:rPr>
          <w:rFonts w:ascii="Times New Roman" w:eastAsia="Times New Roman" w:hAnsi="Times New Roman"/>
          <w:sz w:val="24"/>
          <w:szCs w:val="24"/>
          <w:lang w:eastAsia="ru-RU"/>
        </w:rPr>
        <w:t xml:space="preserve">г. </w:t>
      </w:r>
      <w:r w:rsidRPr="00696176">
        <w:rPr>
          <w:rFonts w:ascii="Times New Roman" w:eastAsiaTheme="minorHAnsi" w:hAnsi="Times New Roman"/>
          <w:sz w:val="24"/>
          <w:szCs w:val="24"/>
        </w:rPr>
        <w:t>увеличилась на 1887174 тыс.</w:t>
      </w:r>
      <w:r>
        <w:rPr>
          <w:rFonts w:ascii="Times New Roman" w:eastAsiaTheme="minorHAnsi" w:hAnsi="Times New Roman"/>
          <w:sz w:val="24"/>
          <w:szCs w:val="24"/>
        </w:rPr>
        <w:t xml:space="preserve"> </w:t>
      </w:r>
      <w:r w:rsidRPr="00696176">
        <w:rPr>
          <w:rFonts w:ascii="Times New Roman" w:eastAsiaTheme="minorHAnsi" w:hAnsi="Times New Roman"/>
          <w:sz w:val="24"/>
          <w:szCs w:val="24"/>
        </w:rPr>
        <w:t xml:space="preserve">руб. или на 35,8%, за счет увеличения стоимости основных фондов на 410624 тыс. руб. (69,63%) и за счет увеличения оборотных средств на 1421840  тыс. руб. (32,1%). Этот рост обусловлен запуском услуг по уборке и экипировке воздушных судов. </w:t>
      </w:r>
    </w:p>
    <w:p w:rsidR="00696176" w:rsidRPr="00696176" w:rsidRDefault="00696176" w:rsidP="00696176">
      <w:pPr>
        <w:widowControl w:val="0"/>
        <w:spacing w:after="0" w:line="360" w:lineRule="auto"/>
        <w:ind w:firstLine="709"/>
        <w:jc w:val="both"/>
        <w:rPr>
          <w:rFonts w:ascii="Times New Roman" w:eastAsiaTheme="minorHAnsi" w:hAnsi="Times New Roman"/>
          <w:sz w:val="24"/>
          <w:szCs w:val="24"/>
        </w:rPr>
      </w:pPr>
      <w:r w:rsidRPr="00696176">
        <w:rPr>
          <w:rFonts w:ascii="Times New Roman" w:eastAsiaTheme="minorHAnsi" w:hAnsi="Times New Roman"/>
          <w:sz w:val="24"/>
          <w:szCs w:val="24"/>
        </w:rPr>
        <w:t>Выручка от продаж, товаров, услуг в 2017</w:t>
      </w:r>
      <w:r>
        <w:rPr>
          <w:rFonts w:ascii="Times New Roman" w:eastAsiaTheme="minorHAnsi" w:hAnsi="Times New Roman"/>
          <w:sz w:val="24"/>
          <w:szCs w:val="24"/>
        </w:rPr>
        <w:t xml:space="preserve"> </w:t>
      </w:r>
      <w:r w:rsidRPr="00696176">
        <w:rPr>
          <w:rFonts w:ascii="Times New Roman" w:eastAsiaTheme="minorHAnsi" w:hAnsi="Times New Roman"/>
          <w:sz w:val="24"/>
          <w:szCs w:val="24"/>
        </w:rPr>
        <w:t>г</w:t>
      </w:r>
      <w:r>
        <w:rPr>
          <w:rFonts w:ascii="Times New Roman" w:eastAsiaTheme="minorHAnsi" w:hAnsi="Times New Roman"/>
          <w:sz w:val="24"/>
          <w:szCs w:val="24"/>
        </w:rPr>
        <w:t>.</w:t>
      </w:r>
      <w:r w:rsidRPr="00696176">
        <w:rPr>
          <w:rFonts w:ascii="Times New Roman" w:eastAsiaTheme="minorHAnsi" w:hAnsi="Times New Roman"/>
          <w:sz w:val="24"/>
          <w:szCs w:val="24"/>
        </w:rPr>
        <w:t xml:space="preserve"> по сравнению с 2015</w:t>
      </w:r>
      <w:r>
        <w:rPr>
          <w:rFonts w:ascii="Times New Roman" w:eastAsiaTheme="minorHAnsi" w:hAnsi="Times New Roman"/>
          <w:sz w:val="24"/>
          <w:szCs w:val="24"/>
        </w:rPr>
        <w:t xml:space="preserve"> </w:t>
      </w:r>
      <w:r w:rsidRPr="00696176">
        <w:rPr>
          <w:rFonts w:ascii="Times New Roman" w:eastAsiaTheme="minorHAnsi" w:hAnsi="Times New Roman"/>
          <w:sz w:val="24"/>
          <w:szCs w:val="24"/>
        </w:rPr>
        <w:t>г</w:t>
      </w:r>
      <w:r>
        <w:rPr>
          <w:rFonts w:ascii="Times New Roman" w:eastAsiaTheme="minorHAnsi" w:hAnsi="Times New Roman"/>
          <w:sz w:val="24"/>
          <w:szCs w:val="24"/>
        </w:rPr>
        <w:t>.</w:t>
      </w:r>
      <w:r w:rsidRPr="00696176">
        <w:rPr>
          <w:rFonts w:ascii="Times New Roman" w:eastAsiaTheme="minorHAnsi" w:hAnsi="Times New Roman"/>
          <w:sz w:val="24"/>
          <w:szCs w:val="24"/>
        </w:rPr>
        <w:t xml:space="preserve"> увеличилась </w:t>
      </w:r>
      <w:proofErr w:type="gramStart"/>
      <w:r w:rsidRPr="00696176">
        <w:rPr>
          <w:rFonts w:ascii="Times New Roman" w:eastAsiaTheme="minorHAnsi" w:hAnsi="Times New Roman"/>
          <w:sz w:val="24"/>
          <w:szCs w:val="24"/>
        </w:rPr>
        <w:t>на  5460975</w:t>
      </w:r>
      <w:proofErr w:type="gramEnd"/>
      <w:r w:rsidRPr="00696176">
        <w:rPr>
          <w:rFonts w:ascii="Times New Roman" w:eastAsiaTheme="minorHAnsi" w:hAnsi="Times New Roman"/>
          <w:sz w:val="24"/>
          <w:szCs w:val="24"/>
        </w:rPr>
        <w:t xml:space="preserve"> тыс. руб. (38,9%), также увеличилась и себестоимость на 3384168 тыс. руб. (41,1%), в итоге чистая прибыль увеличилась  на 534058 тыс. руб. или на 58,7%</w:t>
      </w:r>
    </w:p>
    <w:p w:rsidR="00696176" w:rsidRPr="00696176" w:rsidRDefault="00696176" w:rsidP="00696176">
      <w:pPr>
        <w:spacing w:after="0" w:line="360" w:lineRule="auto"/>
        <w:jc w:val="both"/>
        <w:rPr>
          <w:rFonts w:ascii="Times New Roman" w:eastAsia="Times New Roman" w:hAnsi="Times New Roman"/>
          <w:sz w:val="24"/>
          <w:szCs w:val="24"/>
          <w:lang w:eastAsia="ru-RU"/>
        </w:rPr>
      </w:pPr>
      <w:r w:rsidRPr="00696176">
        <w:rPr>
          <w:rFonts w:ascii="Times New Roman" w:eastAsia="Times New Roman" w:hAnsi="Times New Roman"/>
          <w:noProof/>
          <w:sz w:val="24"/>
          <w:szCs w:val="24"/>
          <w:lang w:eastAsia="ru-RU"/>
        </w:rPr>
        <w:drawing>
          <wp:inline distT="0" distB="0" distL="0" distR="0" wp14:anchorId="429648F1" wp14:editId="1A792084">
            <wp:extent cx="6048375" cy="3295650"/>
            <wp:effectExtent l="19050" t="0" r="0" b="0"/>
            <wp:docPr id="2" name="Диаграмма 2"/>
            <wp:cNvGraphicFramePr/>
            <a:graphic xmlns:a="http://schemas.openxmlformats.org/drawingml/2006/main">
              <a:graphicData uri="http://schemas.openxmlformats.org/drawingml/2006/chart">
                <c:chart xmlns:c="http://schemas.openxmlformats.org/drawingml/2006/chart" xmlns:r="http://schemas.openxmlformats.org/officeDocument/2006/relationships" r:id="rId7"/>
              </a:graphicData>
            </a:graphic>
          </wp:inline>
        </w:drawing>
      </w:r>
    </w:p>
    <w:p w:rsidR="00696176" w:rsidRPr="00696176" w:rsidRDefault="00696176" w:rsidP="00696176">
      <w:pPr>
        <w:spacing w:after="0" w:line="360" w:lineRule="auto"/>
        <w:ind w:firstLine="709"/>
        <w:jc w:val="both"/>
        <w:rPr>
          <w:rFonts w:ascii="Times New Roman" w:eastAsia="Times New Roman" w:hAnsi="Times New Roman"/>
          <w:sz w:val="24"/>
          <w:szCs w:val="24"/>
          <w:lang w:eastAsia="ru-RU"/>
        </w:rPr>
      </w:pPr>
      <w:r>
        <w:rPr>
          <w:rFonts w:ascii="Times New Roman" w:eastAsia="Times New Roman" w:hAnsi="Times New Roman"/>
          <w:sz w:val="24"/>
          <w:szCs w:val="24"/>
          <w:lang w:eastAsia="ru-RU"/>
        </w:rPr>
        <w:t>Рисунок 1</w:t>
      </w:r>
      <w:r w:rsidRPr="00696176">
        <w:rPr>
          <w:rFonts w:ascii="Times New Roman" w:eastAsia="Times New Roman" w:hAnsi="Times New Roman"/>
          <w:sz w:val="24"/>
          <w:szCs w:val="24"/>
          <w:lang w:eastAsia="ru-RU"/>
        </w:rPr>
        <w:t xml:space="preserve"> - Динамика финансовых показателей АО «</w:t>
      </w:r>
      <w:proofErr w:type="spellStart"/>
      <w:r w:rsidRPr="00696176">
        <w:rPr>
          <w:rFonts w:ascii="Times New Roman" w:eastAsia="Times New Roman" w:hAnsi="Times New Roman"/>
          <w:sz w:val="24"/>
          <w:szCs w:val="24"/>
          <w:lang w:eastAsia="ru-RU"/>
        </w:rPr>
        <w:t>Аэромар</w:t>
      </w:r>
      <w:proofErr w:type="spellEnd"/>
      <w:r w:rsidRPr="00696176">
        <w:rPr>
          <w:rFonts w:ascii="Times New Roman" w:eastAsia="Times New Roman" w:hAnsi="Times New Roman"/>
          <w:sz w:val="24"/>
          <w:szCs w:val="24"/>
          <w:lang w:eastAsia="ru-RU"/>
        </w:rPr>
        <w:t>» за 2015-2017гг</w:t>
      </w:r>
    </w:p>
    <w:p w:rsidR="00696176" w:rsidRPr="00696176" w:rsidRDefault="00696176" w:rsidP="00696176">
      <w:pPr>
        <w:spacing w:after="0" w:line="360" w:lineRule="auto"/>
        <w:ind w:firstLine="709"/>
        <w:jc w:val="both"/>
        <w:rPr>
          <w:rFonts w:ascii="Times New Roman" w:eastAsia="Times New Roman" w:hAnsi="Times New Roman"/>
          <w:sz w:val="24"/>
          <w:szCs w:val="24"/>
          <w:lang w:eastAsia="ru-RU"/>
        </w:rPr>
      </w:pPr>
      <w:r w:rsidRPr="00696176">
        <w:rPr>
          <w:rFonts w:ascii="Times New Roman" w:eastAsia="Times New Roman" w:hAnsi="Times New Roman"/>
          <w:sz w:val="24"/>
          <w:szCs w:val="24"/>
          <w:lang w:eastAsia="ru-RU"/>
        </w:rPr>
        <w:t>Как видим из рисунка наблюдается тенденция к увеличению всех финансовых показателей, это обеспечивается за счет бесперебойной работы предприятия и усиления конкурентных позиций.</w:t>
      </w:r>
    </w:p>
    <w:p w:rsidR="00696176" w:rsidRPr="00696176" w:rsidRDefault="00696176" w:rsidP="00696176">
      <w:pPr>
        <w:spacing w:after="0" w:line="360" w:lineRule="auto"/>
        <w:ind w:firstLine="709"/>
        <w:jc w:val="both"/>
        <w:rPr>
          <w:rFonts w:ascii="Times New Roman" w:eastAsia="Times New Roman" w:hAnsi="Times New Roman"/>
          <w:sz w:val="24"/>
          <w:szCs w:val="24"/>
          <w:lang w:eastAsia="ru-RU"/>
        </w:rPr>
      </w:pPr>
      <w:r w:rsidRPr="00696176">
        <w:rPr>
          <w:rFonts w:ascii="Times New Roman" w:eastAsia="Times New Roman" w:hAnsi="Times New Roman"/>
          <w:sz w:val="24"/>
          <w:szCs w:val="24"/>
          <w:lang w:eastAsia="ru-RU"/>
        </w:rPr>
        <w:t>Рассчитаем финансовые показатели деятельности предприятия</w:t>
      </w:r>
    </w:p>
    <w:p w:rsidR="00696176" w:rsidRPr="00696176" w:rsidRDefault="00696176" w:rsidP="00696176">
      <w:pPr>
        <w:spacing w:after="0" w:line="360" w:lineRule="auto"/>
        <w:ind w:firstLine="709"/>
        <w:jc w:val="both"/>
        <w:rPr>
          <w:rFonts w:ascii="Times New Roman" w:eastAsia="Times New Roman" w:hAnsi="Times New Roman"/>
          <w:sz w:val="24"/>
          <w:szCs w:val="24"/>
          <w:lang w:eastAsia="ru-RU"/>
        </w:rPr>
      </w:pPr>
      <w:r w:rsidRPr="00696176">
        <w:rPr>
          <w:rFonts w:ascii="Times New Roman" w:eastAsia="Times New Roman" w:hAnsi="Times New Roman"/>
          <w:sz w:val="24"/>
          <w:szCs w:val="24"/>
          <w:lang w:eastAsia="ru-RU"/>
        </w:rPr>
        <w:t>Таблица 1 - Финансовые показатели деятельности АО «</w:t>
      </w:r>
      <w:proofErr w:type="spellStart"/>
      <w:r w:rsidRPr="00696176">
        <w:rPr>
          <w:rFonts w:ascii="Times New Roman" w:eastAsia="Times New Roman" w:hAnsi="Times New Roman"/>
          <w:sz w:val="24"/>
          <w:szCs w:val="24"/>
          <w:lang w:eastAsia="ru-RU"/>
        </w:rPr>
        <w:t>Аэромар</w:t>
      </w:r>
      <w:proofErr w:type="spellEnd"/>
      <w:r w:rsidRPr="00696176">
        <w:rPr>
          <w:rFonts w:ascii="Times New Roman" w:eastAsia="Times New Roman" w:hAnsi="Times New Roman"/>
          <w:sz w:val="24"/>
          <w:szCs w:val="24"/>
          <w:lang w:eastAsia="ru-RU"/>
        </w:rPr>
        <w:t>» за 2015-2017гг</w:t>
      </w:r>
    </w:p>
    <w:tbl>
      <w:tblPr>
        <w:tblStyle w:val="1"/>
        <w:tblW w:w="0" w:type="auto"/>
        <w:tblLook w:val="04A0" w:firstRow="1" w:lastRow="0" w:firstColumn="1" w:lastColumn="0" w:noHBand="0" w:noVBand="1"/>
      </w:tblPr>
      <w:tblGrid>
        <w:gridCol w:w="6228"/>
        <w:gridCol w:w="1176"/>
        <w:gridCol w:w="1176"/>
        <w:gridCol w:w="1176"/>
      </w:tblGrid>
      <w:tr w:rsidR="00696176" w:rsidRPr="00696176" w:rsidTr="00755D54">
        <w:tc>
          <w:tcPr>
            <w:tcW w:w="0" w:type="auto"/>
            <w:hideMark/>
          </w:tcPr>
          <w:p w:rsidR="00696176" w:rsidRPr="00696176" w:rsidRDefault="00696176" w:rsidP="00696176">
            <w:pPr>
              <w:spacing w:line="360" w:lineRule="auto"/>
              <w:jc w:val="center"/>
              <w:rPr>
                <w:rFonts w:ascii="Times New Roman" w:eastAsia="Times New Roman" w:hAnsi="Times New Roman"/>
                <w:bCs/>
                <w:lang w:eastAsia="ru-RU"/>
              </w:rPr>
            </w:pPr>
            <w:r w:rsidRPr="00696176">
              <w:rPr>
                <w:rFonts w:ascii="Times New Roman" w:eastAsia="Times New Roman" w:hAnsi="Times New Roman"/>
                <w:bCs/>
                <w:lang w:eastAsia="ru-RU"/>
              </w:rPr>
              <w:t>Финансовый показатель</w:t>
            </w:r>
          </w:p>
        </w:tc>
        <w:tc>
          <w:tcPr>
            <w:tcW w:w="0" w:type="auto"/>
            <w:hideMark/>
          </w:tcPr>
          <w:p w:rsidR="00696176" w:rsidRPr="00696176" w:rsidRDefault="00696176" w:rsidP="00696176">
            <w:pPr>
              <w:spacing w:line="360" w:lineRule="auto"/>
              <w:jc w:val="center"/>
              <w:rPr>
                <w:rFonts w:ascii="Times New Roman" w:eastAsia="Times New Roman" w:hAnsi="Times New Roman"/>
                <w:bCs/>
                <w:lang w:eastAsia="ru-RU"/>
              </w:rPr>
            </w:pPr>
            <w:r w:rsidRPr="00696176">
              <w:rPr>
                <w:rFonts w:ascii="Times New Roman" w:eastAsia="Times New Roman" w:hAnsi="Times New Roman"/>
                <w:bCs/>
                <w:lang w:eastAsia="ru-RU"/>
              </w:rPr>
              <w:t>2015</w:t>
            </w:r>
          </w:p>
        </w:tc>
        <w:tc>
          <w:tcPr>
            <w:tcW w:w="0" w:type="auto"/>
            <w:hideMark/>
          </w:tcPr>
          <w:p w:rsidR="00696176" w:rsidRPr="00696176" w:rsidRDefault="00696176" w:rsidP="00696176">
            <w:pPr>
              <w:spacing w:line="360" w:lineRule="auto"/>
              <w:jc w:val="center"/>
              <w:rPr>
                <w:rFonts w:ascii="Times New Roman" w:eastAsia="Times New Roman" w:hAnsi="Times New Roman"/>
                <w:bCs/>
                <w:lang w:eastAsia="ru-RU"/>
              </w:rPr>
            </w:pPr>
            <w:r w:rsidRPr="00696176">
              <w:rPr>
                <w:rFonts w:ascii="Times New Roman" w:eastAsia="Times New Roman" w:hAnsi="Times New Roman"/>
                <w:bCs/>
                <w:lang w:eastAsia="ru-RU"/>
              </w:rPr>
              <w:t>2016</w:t>
            </w:r>
          </w:p>
        </w:tc>
        <w:tc>
          <w:tcPr>
            <w:tcW w:w="0" w:type="auto"/>
            <w:hideMark/>
          </w:tcPr>
          <w:p w:rsidR="00696176" w:rsidRPr="00696176" w:rsidRDefault="00696176" w:rsidP="00696176">
            <w:pPr>
              <w:spacing w:line="360" w:lineRule="auto"/>
              <w:jc w:val="center"/>
              <w:rPr>
                <w:rFonts w:ascii="Times New Roman" w:eastAsia="Times New Roman" w:hAnsi="Times New Roman"/>
                <w:bCs/>
                <w:lang w:eastAsia="ru-RU"/>
              </w:rPr>
            </w:pPr>
            <w:r w:rsidRPr="00696176">
              <w:rPr>
                <w:rFonts w:ascii="Times New Roman" w:eastAsia="Times New Roman" w:hAnsi="Times New Roman"/>
                <w:bCs/>
                <w:lang w:eastAsia="ru-RU"/>
              </w:rPr>
              <w:t>2017</w:t>
            </w:r>
          </w:p>
        </w:tc>
      </w:tr>
      <w:tr w:rsidR="00696176" w:rsidRPr="00696176" w:rsidTr="00755D54">
        <w:tc>
          <w:tcPr>
            <w:tcW w:w="0" w:type="auto"/>
            <w:hideMark/>
          </w:tcPr>
          <w:p w:rsidR="00696176" w:rsidRPr="00696176" w:rsidRDefault="00696176" w:rsidP="00696176">
            <w:pPr>
              <w:spacing w:line="360" w:lineRule="auto"/>
              <w:rPr>
                <w:rFonts w:ascii="Times New Roman" w:eastAsia="Times New Roman" w:hAnsi="Times New Roman"/>
                <w:lang w:eastAsia="ru-RU"/>
              </w:rPr>
            </w:pPr>
            <w:r w:rsidRPr="00696176">
              <w:rPr>
                <w:rFonts w:ascii="Times New Roman" w:eastAsia="Times New Roman" w:hAnsi="Times New Roman"/>
                <w:lang w:eastAsia="ru-RU"/>
              </w:rPr>
              <w:t>Чистые активы</w:t>
            </w:r>
          </w:p>
        </w:tc>
        <w:tc>
          <w:tcPr>
            <w:tcW w:w="0" w:type="auto"/>
            <w:noWrap/>
            <w:hideMark/>
          </w:tcPr>
          <w:p w:rsidR="00696176" w:rsidRPr="00696176" w:rsidRDefault="00696176" w:rsidP="00696176">
            <w:pPr>
              <w:spacing w:line="360" w:lineRule="auto"/>
              <w:jc w:val="right"/>
              <w:rPr>
                <w:rFonts w:ascii="Times New Roman" w:eastAsia="Times New Roman" w:hAnsi="Times New Roman"/>
                <w:lang w:eastAsia="ru-RU"/>
              </w:rPr>
            </w:pPr>
            <w:r w:rsidRPr="00696176">
              <w:rPr>
                <w:rFonts w:ascii="Times New Roman" w:eastAsia="Times New Roman" w:hAnsi="Times New Roman"/>
                <w:lang w:eastAsia="ru-RU"/>
              </w:rPr>
              <w:t>2 677 984</w:t>
            </w:r>
          </w:p>
        </w:tc>
        <w:tc>
          <w:tcPr>
            <w:tcW w:w="0" w:type="auto"/>
            <w:noWrap/>
            <w:hideMark/>
          </w:tcPr>
          <w:p w:rsidR="00696176" w:rsidRPr="00696176" w:rsidRDefault="00696176" w:rsidP="00696176">
            <w:pPr>
              <w:spacing w:line="360" w:lineRule="auto"/>
              <w:jc w:val="right"/>
              <w:rPr>
                <w:rFonts w:ascii="Times New Roman" w:eastAsia="Times New Roman" w:hAnsi="Times New Roman"/>
                <w:lang w:eastAsia="ru-RU"/>
              </w:rPr>
            </w:pPr>
            <w:r w:rsidRPr="00696176">
              <w:rPr>
                <w:rFonts w:ascii="Times New Roman" w:eastAsia="Times New Roman" w:hAnsi="Times New Roman"/>
                <w:lang w:eastAsia="ru-RU"/>
              </w:rPr>
              <w:t>3 448 713</w:t>
            </w:r>
          </w:p>
        </w:tc>
        <w:tc>
          <w:tcPr>
            <w:tcW w:w="0" w:type="auto"/>
            <w:noWrap/>
            <w:hideMark/>
          </w:tcPr>
          <w:p w:rsidR="00696176" w:rsidRPr="00696176" w:rsidRDefault="00696176" w:rsidP="00696176">
            <w:pPr>
              <w:spacing w:line="360" w:lineRule="auto"/>
              <w:jc w:val="right"/>
              <w:rPr>
                <w:rFonts w:ascii="Times New Roman" w:eastAsia="Times New Roman" w:hAnsi="Times New Roman"/>
                <w:lang w:eastAsia="ru-RU"/>
              </w:rPr>
            </w:pPr>
            <w:r w:rsidRPr="00696176">
              <w:rPr>
                <w:rFonts w:ascii="Times New Roman" w:eastAsia="Times New Roman" w:hAnsi="Times New Roman"/>
                <w:lang w:eastAsia="ru-RU"/>
              </w:rPr>
              <w:t>4 384 481</w:t>
            </w:r>
          </w:p>
        </w:tc>
      </w:tr>
      <w:tr w:rsidR="00696176" w:rsidRPr="00696176" w:rsidTr="00755D54">
        <w:tc>
          <w:tcPr>
            <w:tcW w:w="0" w:type="auto"/>
            <w:hideMark/>
          </w:tcPr>
          <w:p w:rsidR="00696176" w:rsidRPr="00696176" w:rsidRDefault="00696176" w:rsidP="00696176">
            <w:pPr>
              <w:spacing w:line="360" w:lineRule="auto"/>
              <w:rPr>
                <w:rFonts w:ascii="Times New Roman" w:eastAsia="Times New Roman" w:hAnsi="Times New Roman"/>
                <w:lang w:eastAsia="ru-RU"/>
              </w:rPr>
            </w:pPr>
            <w:r w:rsidRPr="00696176">
              <w:rPr>
                <w:rFonts w:ascii="Times New Roman" w:eastAsia="Times New Roman" w:hAnsi="Times New Roman"/>
                <w:lang w:eastAsia="ru-RU"/>
              </w:rPr>
              <w:t>Коэффициент автономии (норма: 0,5 и более)</w:t>
            </w:r>
          </w:p>
        </w:tc>
        <w:tc>
          <w:tcPr>
            <w:tcW w:w="0" w:type="auto"/>
            <w:noWrap/>
            <w:hideMark/>
          </w:tcPr>
          <w:p w:rsidR="00696176" w:rsidRPr="00696176" w:rsidRDefault="00696176" w:rsidP="00696176">
            <w:pPr>
              <w:spacing w:line="360" w:lineRule="auto"/>
              <w:jc w:val="right"/>
              <w:rPr>
                <w:rFonts w:ascii="Times New Roman" w:eastAsia="Times New Roman" w:hAnsi="Times New Roman"/>
                <w:lang w:eastAsia="ru-RU"/>
              </w:rPr>
            </w:pPr>
            <w:r w:rsidRPr="00696176">
              <w:rPr>
                <w:rFonts w:ascii="Times New Roman" w:eastAsia="Times New Roman" w:hAnsi="Times New Roman"/>
                <w:lang w:eastAsia="ru-RU"/>
              </w:rPr>
              <w:t>0,51</w:t>
            </w:r>
          </w:p>
        </w:tc>
        <w:tc>
          <w:tcPr>
            <w:tcW w:w="0" w:type="auto"/>
            <w:noWrap/>
            <w:hideMark/>
          </w:tcPr>
          <w:p w:rsidR="00696176" w:rsidRPr="00696176" w:rsidRDefault="00696176" w:rsidP="00696176">
            <w:pPr>
              <w:spacing w:line="360" w:lineRule="auto"/>
              <w:jc w:val="right"/>
              <w:rPr>
                <w:rFonts w:ascii="Times New Roman" w:eastAsia="Times New Roman" w:hAnsi="Times New Roman"/>
                <w:lang w:eastAsia="ru-RU"/>
              </w:rPr>
            </w:pPr>
            <w:r w:rsidRPr="00696176">
              <w:rPr>
                <w:rFonts w:ascii="Times New Roman" w:eastAsia="Times New Roman" w:hAnsi="Times New Roman"/>
                <w:lang w:eastAsia="ru-RU"/>
              </w:rPr>
              <w:t>0,58</w:t>
            </w:r>
          </w:p>
        </w:tc>
        <w:tc>
          <w:tcPr>
            <w:tcW w:w="0" w:type="auto"/>
            <w:noWrap/>
            <w:hideMark/>
          </w:tcPr>
          <w:p w:rsidR="00696176" w:rsidRPr="00696176" w:rsidRDefault="00696176" w:rsidP="00696176">
            <w:pPr>
              <w:spacing w:line="360" w:lineRule="auto"/>
              <w:jc w:val="right"/>
              <w:rPr>
                <w:rFonts w:ascii="Times New Roman" w:eastAsia="Times New Roman" w:hAnsi="Times New Roman"/>
                <w:lang w:eastAsia="ru-RU"/>
              </w:rPr>
            </w:pPr>
            <w:r w:rsidRPr="00696176">
              <w:rPr>
                <w:rFonts w:ascii="Times New Roman" w:eastAsia="Times New Roman" w:hAnsi="Times New Roman"/>
                <w:lang w:eastAsia="ru-RU"/>
              </w:rPr>
              <w:t>0,61</w:t>
            </w:r>
          </w:p>
        </w:tc>
      </w:tr>
      <w:tr w:rsidR="00696176" w:rsidRPr="00696176" w:rsidTr="00755D54">
        <w:tc>
          <w:tcPr>
            <w:tcW w:w="0" w:type="auto"/>
            <w:hideMark/>
          </w:tcPr>
          <w:p w:rsidR="00696176" w:rsidRPr="00696176" w:rsidRDefault="00696176" w:rsidP="00696176">
            <w:pPr>
              <w:spacing w:line="360" w:lineRule="auto"/>
              <w:rPr>
                <w:rFonts w:ascii="Times New Roman" w:eastAsia="Times New Roman" w:hAnsi="Times New Roman"/>
                <w:lang w:eastAsia="ru-RU"/>
              </w:rPr>
            </w:pPr>
            <w:r w:rsidRPr="00696176">
              <w:rPr>
                <w:rFonts w:ascii="Times New Roman" w:eastAsia="Times New Roman" w:hAnsi="Times New Roman"/>
                <w:lang w:eastAsia="ru-RU"/>
              </w:rPr>
              <w:t>Коэффициент текущей ликвидности (норма: 1,5-2 и выше)</w:t>
            </w:r>
          </w:p>
        </w:tc>
        <w:tc>
          <w:tcPr>
            <w:tcW w:w="0" w:type="auto"/>
            <w:noWrap/>
            <w:hideMark/>
          </w:tcPr>
          <w:p w:rsidR="00696176" w:rsidRPr="00696176" w:rsidRDefault="00696176" w:rsidP="00696176">
            <w:pPr>
              <w:spacing w:line="360" w:lineRule="auto"/>
              <w:jc w:val="right"/>
              <w:rPr>
                <w:rFonts w:ascii="Times New Roman" w:eastAsia="Times New Roman" w:hAnsi="Times New Roman"/>
                <w:lang w:eastAsia="ru-RU"/>
              </w:rPr>
            </w:pPr>
            <w:r w:rsidRPr="00696176">
              <w:rPr>
                <w:rFonts w:ascii="Times New Roman" w:eastAsia="Times New Roman" w:hAnsi="Times New Roman"/>
                <w:lang w:eastAsia="ru-RU"/>
              </w:rPr>
              <w:t>1,7</w:t>
            </w:r>
          </w:p>
        </w:tc>
        <w:tc>
          <w:tcPr>
            <w:tcW w:w="0" w:type="auto"/>
            <w:noWrap/>
            <w:hideMark/>
          </w:tcPr>
          <w:p w:rsidR="00696176" w:rsidRPr="00696176" w:rsidRDefault="00696176" w:rsidP="00696176">
            <w:pPr>
              <w:spacing w:line="360" w:lineRule="auto"/>
              <w:jc w:val="right"/>
              <w:rPr>
                <w:rFonts w:ascii="Times New Roman" w:eastAsia="Times New Roman" w:hAnsi="Times New Roman"/>
                <w:lang w:eastAsia="ru-RU"/>
              </w:rPr>
            </w:pPr>
            <w:r w:rsidRPr="00696176">
              <w:rPr>
                <w:rFonts w:ascii="Times New Roman" w:eastAsia="Times New Roman" w:hAnsi="Times New Roman"/>
                <w:lang w:eastAsia="ru-RU"/>
              </w:rPr>
              <w:t>2</w:t>
            </w:r>
          </w:p>
        </w:tc>
        <w:tc>
          <w:tcPr>
            <w:tcW w:w="0" w:type="auto"/>
            <w:noWrap/>
            <w:hideMark/>
          </w:tcPr>
          <w:p w:rsidR="00696176" w:rsidRPr="00696176" w:rsidRDefault="00696176" w:rsidP="00696176">
            <w:pPr>
              <w:spacing w:line="360" w:lineRule="auto"/>
              <w:jc w:val="right"/>
              <w:rPr>
                <w:rFonts w:ascii="Times New Roman" w:eastAsia="Times New Roman" w:hAnsi="Times New Roman"/>
                <w:lang w:eastAsia="ru-RU"/>
              </w:rPr>
            </w:pPr>
            <w:r w:rsidRPr="00696176">
              <w:rPr>
                <w:rFonts w:ascii="Times New Roman" w:eastAsia="Times New Roman" w:hAnsi="Times New Roman"/>
                <w:lang w:eastAsia="ru-RU"/>
              </w:rPr>
              <w:t>2,1</w:t>
            </w:r>
          </w:p>
        </w:tc>
      </w:tr>
    </w:tbl>
    <w:p w:rsidR="00696176" w:rsidRPr="00696176" w:rsidRDefault="00696176" w:rsidP="00696176">
      <w:pPr>
        <w:spacing w:after="0" w:line="360" w:lineRule="auto"/>
        <w:jc w:val="both"/>
        <w:rPr>
          <w:rFonts w:ascii="Times New Roman" w:eastAsia="Times New Roman" w:hAnsi="Times New Roman"/>
          <w:sz w:val="24"/>
          <w:szCs w:val="24"/>
          <w:lang w:eastAsia="ru-RU"/>
        </w:rPr>
      </w:pPr>
    </w:p>
    <w:p w:rsidR="00696176" w:rsidRPr="00696176" w:rsidRDefault="00696176" w:rsidP="00696176">
      <w:pPr>
        <w:spacing w:after="0" w:line="360" w:lineRule="auto"/>
        <w:ind w:firstLine="709"/>
        <w:jc w:val="both"/>
        <w:rPr>
          <w:rFonts w:ascii="Times New Roman" w:eastAsia="Times New Roman" w:hAnsi="Times New Roman"/>
          <w:sz w:val="24"/>
          <w:szCs w:val="24"/>
          <w:lang w:eastAsia="ru-RU"/>
        </w:rPr>
      </w:pPr>
      <w:r w:rsidRPr="00696176">
        <w:rPr>
          <w:rFonts w:ascii="Times New Roman" w:eastAsia="Times New Roman" w:hAnsi="Times New Roman"/>
          <w:sz w:val="24"/>
          <w:szCs w:val="24"/>
          <w:lang w:eastAsia="ru-RU"/>
        </w:rPr>
        <w:lastRenderedPageBreak/>
        <w:t>Наблюдается увеличение коэффициента автономии, при этом он на протяжении всего анализируемого периода выше нормативного значения. В 2017 году предприятие было независимо от внешних факторов на 61%. Также можно сделать вывод, что предприятие обладает ликвидностью, так как коэффициент текущей ликвидности выше нормы на протяжении анализируемого периода.</w:t>
      </w:r>
    </w:p>
    <w:p w:rsidR="00696176" w:rsidRPr="00696176" w:rsidRDefault="00696176" w:rsidP="00696176">
      <w:pPr>
        <w:spacing w:after="0" w:line="360" w:lineRule="auto"/>
        <w:ind w:firstLine="709"/>
        <w:jc w:val="both"/>
        <w:rPr>
          <w:rFonts w:ascii="Times New Roman" w:eastAsia="Times New Roman" w:hAnsi="Times New Roman"/>
          <w:sz w:val="24"/>
          <w:szCs w:val="24"/>
          <w:lang w:eastAsia="ru-RU"/>
        </w:rPr>
      </w:pPr>
      <w:r w:rsidRPr="00696176">
        <w:rPr>
          <w:rFonts w:ascii="Times New Roman" w:eastAsia="Times New Roman" w:hAnsi="Times New Roman"/>
          <w:sz w:val="24"/>
          <w:szCs w:val="24"/>
          <w:lang w:eastAsia="ru-RU"/>
        </w:rPr>
        <w:t xml:space="preserve">Динамика относительных показателей финансовой устойчивости представлена на рисунке </w:t>
      </w:r>
      <w:r>
        <w:rPr>
          <w:rFonts w:ascii="Times New Roman" w:eastAsia="Times New Roman" w:hAnsi="Times New Roman"/>
          <w:sz w:val="24"/>
          <w:szCs w:val="24"/>
          <w:lang w:eastAsia="ru-RU"/>
        </w:rPr>
        <w:t>2</w:t>
      </w:r>
      <w:r w:rsidRPr="00696176">
        <w:rPr>
          <w:rFonts w:ascii="Times New Roman" w:eastAsia="Times New Roman" w:hAnsi="Times New Roman"/>
          <w:sz w:val="24"/>
          <w:szCs w:val="24"/>
          <w:lang w:eastAsia="ru-RU"/>
        </w:rPr>
        <w:t>.</w:t>
      </w:r>
    </w:p>
    <w:p w:rsidR="00696176" w:rsidRPr="00696176" w:rsidRDefault="00696176" w:rsidP="00696176">
      <w:pPr>
        <w:spacing w:after="0" w:line="360" w:lineRule="auto"/>
        <w:jc w:val="center"/>
        <w:rPr>
          <w:rFonts w:ascii="Times New Roman" w:eastAsia="Times New Roman" w:hAnsi="Times New Roman"/>
          <w:sz w:val="24"/>
          <w:szCs w:val="24"/>
          <w:lang w:eastAsia="ru-RU"/>
        </w:rPr>
      </w:pPr>
      <w:r w:rsidRPr="00696176">
        <w:rPr>
          <w:rFonts w:ascii="Times New Roman" w:eastAsia="Times New Roman" w:hAnsi="Times New Roman"/>
          <w:noProof/>
          <w:sz w:val="24"/>
          <w:szCs w:val="24"/>
          <w:lang w:eastAsia="ru-RU"/>
        </w:rPr>
        <w:drawing>
          <wp:inline distT="0" distB="0" distL="0" distR="0" wp14:anchorId="33E12F10" wp14:editId="60D73ABF">
            <wp:extent cx="6120765" cy="3010792"/>
            <wp:effectExtent l="19050" t="0" r="13335" b="0"/>
            <wp:docPr id="4" name="Диаграмма 4"/>
            <wp:cNvGraphicFramePr/>
            <a:graphic xmlns:a="http://schemas.openxmlformats.org/drawingml/2006/main">
              <a:graphicData uri="http://schemas.openxmlformats.org/drawingml/2006/chart">
                <c:chart xmlns:c="http://schemas.openxmlformats.org/drawingml/2006/chart" xmlns:r="http://schemas.openxmlformats.org/officeDocument/2006/relationships" r:id="rId8"/>
              </a:graphicData>
            </a:graphic>
          </wp:inline>
        </w:drawing>
      </w:r>
    </w:p>
    <w:p w:rsidR="00696176" w:rsidRPr="00696176" w:rsidRDefault="00696176" w:rsidP="00696176">
      <w:pPr>
        <w:spacing w:after="0" w:line="360" w:lineRule="auto"/>
        <w:ind w:firstLine="851"/>
        <w:jc w:val="both"/>
        <w:rPr>
          <w:rFonts w:ascii="Times New Roman" w:eastAsia="Times New Roman" w:hAnsi="Times New Roman"/>
          <w:sz w:val="24"/>
          <w:szCs w:val="24"/>
          <w:lang w:eastAsia="ru-RU"/>
        </w:rPr>
      </w:pPr>
      <w:r w:rsidRPr="00696176">
        <w:rPr>
          <w:rFonts w:ascii="Times New Roman" w:eastAsia="Times New Roman" w:hAnsi="Times New Roman"/>
          <w:sz w:val="24"/>
          <w:szCs w:val="24"/>
          <w:lang w:eastAsia="ru-RU"/>
        </w:rPr>
        <w:t xml:space="preserve">Рисунок </w:t>
      </w:r>
      <w:r>
        <w:rPr>
          <w:rFonts w:ascii="Times New Roman" w:eastAsia="Times New Roman" w:hAnsi="Times New Roman"/>
          <w:sz w:val="24"/>
          <w:szCs w:val="24"/>
          <w:lang w:eastAsia="ru-RU"/>
        </w:rPr>
        <w:t>2</w:t>
      </w:r>
      <w:r w:rsidRPr="00696176">
        <w:rPr>
          <w:rFonts w:ascii="Times New Roman" w:eastAsia="Times New Roman" w:hAnsi="Times New Roman"/>
          <w:sz w:val="24"/>
          <w:szCs w:val="24"/>
          <w:lang w:eastAsia="ru-RU"/>
        </w:rPr>
        <w:t xml:space="preserve"> - Динамика относительных показателей финансовой устойчивости</w:t>
      </w:r>
    </w:p>
    <w:p w:rsidR="00696176" w:rsidRPr="00696176" w:rsidRDefault="00696176" w:rsidP="00696176">
      <w:pPr>
        <w:widowControl w:val="0"/>
        <w:spacing w:after="0" w:line="360" w:lineRule="auto"/>
        <w:ind w:firstLine="709"/>
        <w:jc w:val="both"/>
        <w:rPr>
          <w:rFonts w:ascii="Times New Roman" w:eastAsiaTheme="minorHAnsi" w:hAnsi="Times New Roman"/>
          <w:sz w:val="24"/>
          <w:szCs w:val="24"/>
        </w:rPr>
      </w:pPr>
      <w:r w:rsidRPr="00696176">
        <w:rPr>
          <w:rFonts w:ascii="Times New Roman" w:eastAsiaTheme="minorHAnsi" w:hAnsi="Times New Roman"/>
          <w:sz w:val="24"/>
          <w:szCs w:val="24"/>
        </w:rPr>
        <w:t>В целом все коэффициенты финансовой устойчивости за исключением коэффициента маневренности, который снизился в 2017г по сравнению с 2016г на 0,038 имеют тенденцию к росту за анализируемый период.</w:t>
      </w:r>
    </w:p>
    <w:p w:rsidR="00696176" w:rsidRPr="00696176" w:rsidRDefault="00696176" w:rsidP="00696176">
      <w:pPr>
        <w:widowControl w:val="0"/>
        <w:spacing w:after="0" w:line="360" w:lineRule="auto"/>
        <w:ind w:firstLine="709"/>
        <w:jc w:val="both"/>
        <w:rPr>
          <w:rFonts w:ascii="Times New Roman" w:eastAsiaTheme="minorHAnsi" w:hAnsi="Times New Roman"/>
          <w:sz w:val="24"/>
          <w:szCs w:val="24"/>
        </w:rPr>
      </w:pPr>
      <w:r w:rsidRPr="00696176">
        <w:rPr>
          <w:rFonts w:ascii="Times New Roman" w:eastAsiaTheme="minorHAnsi" w:hAnsi="Times New Roman"/>
          <w:sz w:val="24"/>
          <w:szCs w:val="24"/>
        </w:rPr>
        <w:t xml:space="preserve">Предприятие финансирует свою деятельность более чем на 52% за счет собственных источников. </w:t>
      </w:r>
    </w:p>
    <w:p w:rsidR="00696176" w:rsidRPr="00696176" w:rsidRDefault="00696176" w:rsidP="00696176">
      <w:pPr>
        <w:widowControl w:val="0"/>
        <w:spacing w:after="0" w:line="360" w:lineRule="auto"/>
        <w:ind w:firstLine="709"/>
        <w:jc w:val="both"/>
        <w:rPr>
          <w:rFonts w:ascii="Times New Roman" w:eastAsiaTheme="minorHAnsi" w:hAnsi="Times New Roman"/>
          <w:sz w:val="24"/>
          <w:szCs w:val="24"/>
        </w:rPr>
      </w:pPr>
      <w:r w:rsidRPr="00696176">
        <w:rPr>
          <w:rFonts w:ascii="Times New Roman" w:eastAsia="Times New Roman" w:hAnsi="Times New Roman"/>
          <w:sz w:val="24"/>
          <w:szCs w:val="24"/>
          <w:lang w:eastAsia="ru-RU"/>
        </w:rPr>
        <w:t>АО «</w:t>
      </w:r>
      <w:proofErr w:type="spellStart"/>
      <w:proofErr w:type="gramStart"/>
      <w:r w:rsidRPr="00696176">
        <w:rPr>
          <w:rFonts w:ascii="Times New Roman" w:eastAsia="Times New Roman" w:hAnsi="Times New Roman"/>
          <w:sz w:val="24"/>
          <w:szCs w:val="24"/>
          <w:lang w:eastAsia="ru-RU"/>
        </w:rPr>
        <w:t>Аэромар</w:t>
      </w:r>
      <w:proofErr w:type="spellEnd"/>
      <w:r w:rsidRPr="00696176">
        <w:rPr>
          <w:rFonts w:ascii="Times New Roman" w:eastAsia="Times New Roman" w:hAnsi="Times New Roman"/>
          <w:sz w:val="24"/>
          <w:szCs w:val="24"/>
          <w:lang w:eastAsia="ru-RU"/>
        </w:rPr>
        <w:t xml:space="preserve">» </w:t>
      </w:r>
      <w:r w:rsidRPr="00696176">
        <w:rPr>
          <w:rFonts w:ascii="Times New Roman" w:eastAsiaTheme="minorHAnsi" w:hAnsi="Times New Roman"/>
          <w:sz w:val="24"/>
          <w:szCs w:val="24"/>
        </w:rPr>
        <w:t xml:space="preserve">  </w:t>
      </w:r>
      <w:proofErr w:type="gramEnd"/>
      <w:r w:rsidRPr="00696176">
        <w:rPr>
          <w:rFonts w:ascii="Times New Roman" w:eastAsiaTheme="minorHAnsi" w:hAnsi="Times New Roman"/>
          <w:sz w:val="24"/>
          <w:szCs w:val="24"/>
        </w:rPr>
        <w:t>нужно уменьшить кредиторскую задолженность и найти возможность к дальнейшему увеличению собственных источников покрытия оборотных средств.</w:t>
      </w:r>
    </w:p>
    <w:p w:rsidR="00696176" w:rsidRPr="00696176" w:rsidRDefault="00696176" w:rsidP="00696176">
      <w:pPr>
        <w:spacing w:after="0" w:line="360" w:lineRule="auto"/>
        <w:ind w:firstLine="851"/>
        <w:jc w:val="both"/>
        <w:rPr>
          <w:rFonts w:ascii="Times New Roman" w:eastAsia="Times New Roman" w:hAnsi="Times New Roman"/>
          <w:sz w:val="24"/>
          <w:szCs w:val="24"/>
          <w:lang w:eastAsia="ru-RU"/>
        </w:rPr>
      </w:pPr>
      <w:r w:rsidRPr="00696176">
        <w:rPr>
          <w:rFonts w:ascii="Times New Roman" w:eastAsia="Times New Roman" w:hAnsi="Times New Roman"/>
          <w:sz w:val="24"/>
          <w:szCs w:val="24"/>
          <w:lang w:eastAsia="ru-RU"/>
        </w:rPr>
        <w:t>Представим графически динамику коэффициентов рентабельности предприятия</w:t>
      </w:r>
      <w:r>
        <w:rPr>
          <w:rFonts w:ascii="Times New Roman" w:eastAsia="Times New Roman" w:hAnsi="Times New Roman"/>
          <w:sz w:val="24"/>
          <w:szCs w:val="24"/>
          <w:lang w:eastAsia="ru-RU"/>
        </w:rPr>
        <w:t>.</w:t>
      </w:r>
    </w:p>
    <w:p w:rsidR="00696176" w:rsidRPr="00696176" w:rsidRDefault="00696176" w:rsidP="00696176">
      <w:pPr>
        <w:spacing w:after="0" w:line="360" w:lineRule="auto"/>
        <w:jc w:val="both"/>
        <w:rPr>
          <w:rFonts w:ascii="Times New Roman" w:eastAsia="Times New Roman" w:hAnsi="Times New Roman"/>
          <w:sz w:val="24"/>
          <w:szCs w:val="24"/>
          <w:lang w:eastAsia="ru-RU"/>
        </w:rPr>
      </w:pPr>
      <w:r w:rsidRPr="00696176">
        <w:rPr>
          <w:rFonts w:ascii="Times New Roman" w:eastAsia="Times New Roman" w:hAnsi="Times New Roman"/>
          <w:noProof/>
          <w:sz w:val="24"/>
          <w:szCs w:val="24"/>
          <w:lang w:eastAsia="ru-RU"/>
        </w:rPr>
        <w:lastRenderedPageBreak/>
        <w:drawing>
          <wp:inline distT="0" distB="0" distL="0" distR="0" wp14:anchorId="3BF5AB98" wp14:editId="5AC4C9DF">
            <wp:extent cx="6120765" cy="3169986"/>
            <wp:effectExtent l="19050" t="0" r="0" b="0"/>
            <wp:docPr id="5" name="Диаграмма 5"/>
            <wp:cNvGraphicFramePr/>
            <a:graphic xmlns:a="http://schemas.openxmlformats.org/drawingml/2006/main">
              <a:graphicData uri="http://schemas.openxmlformats.org/drawingml/2006/chart">
                <c:chart xmlns:c="http://schemas.openxmlformats.org/drawingml/2006/chart" xmlns:r="http://schemas.openxmlformats.org/officeDocument/2006/relationships" r:id="rId9"/>
              </a:graphicData>
            </a:graphic>
          </wp:inline>
        </w:drawing>
      </w:r>
    </w:p>
    <w:p w:rsidR="00696176" w:rsidRPr="00696176" w:rsidRDefault="00696176" w:rsidP="00696176">
      <w:pPr>
        <w:spacing w:after="0" w:line="360" w:lineRule="auto"/>
        <w:ind w:firstLine="709"/>
        <w:rPr>
          <w:rFonts w:ascii="Times New Roman" w:eastAsia="Times New Roman" w:hAnsi="Times New Roman"/>
          <w:sz w:val="24"/>
          <w:szCs w:val="24"/>
          <w:lang w:eastAsia="ru-RU"/>
        </w:rPr>
      </w:pPr>
      <w:r w:rsidRPr="00696176">
        <w:rPr>
          <w:rFonts w:ascii="Times New Roman" w:eastAsia="Times New Roman" w:hAnsi="Times New Roman"/>
          <w:sz w:val="24"/>
          <w:szCs w:val="24"/>
          <w:lang w:eastAsia="ru-RU"/>
        </w:rPr>
        <w:t xml:space="preserve">Рисунок </w:t>
      </w:r>
      <w:r>
        <w:rPr>
          <w:rFonts w:ascii="Times New Roman" w:eastAsia="Times New Roman" w:hAnsi="Times New Roman"/>
          <w:sz w:val="24"/>
          <w:szCs w:val="24"/>
          <w:lang w:eastAsia="ru-RU"/>
        </w:rPr>
        <w:t>3</w:t>
      </w:r>
      <w:r w:rsidRPr="00696176">
        <w:rPr>
          <w:rFonts w:ascii="Times New Roman" w:eastAsia="Times New Roman" w:hAnsi="Times New Roman"/>
          <w:sz w:val="24"/>
          <w:szCs w:val="24"/>
          <w:lang w:eastAsia="ru-RU"/>
        </w:rPr>
        <w:t xml:space="preserve"> - Динамика показателей рентабельности АО «</w:t>
      </w:r>
      <w:proofErr w:type="spellStart"/>
      <w:r w:rsidRPr="00696176">
        <w:rPr>
          <w:rFonts w:ascii="Times New Roman" w:eastAsia="Times New Roman" w:hAnsi="Times New Roman"/>
          <w:sz w:val="24"/>
          <w:szCs w:val="24"/>
          <w:lang w:eastAsia="ru-RU"/>
        </w:rPr>
        <w:t>Аэромар</w:t>
      </w:r>
      <w:proofErr w:type="spellEnd"/>
      <w:r w:rsidRPr="00696176">
        <w:rPr>
          <w:rFonts w:ascii="Times New Roman" w:eastAsia="Times New Roman" w:hAnsi="Times New Roman"/>
          <w:sz w:val="24"/>
          <w:szCs w:val="24"/>
          <w:lang w:eastAsia="ru-RU"/>
        </w:rPr>
        <w:t>»</w:t>
      </w:r>
    </w:p>
    <w:p w:rsidR="00696176" w:rsidRPr="00696176" w:rsidRDefault="00696176" w:rsidP="00696176">
      <w:pPr>
        <w:spacing w:after="0" w:line="360" w:lineRule="auto"/>
        <w:ind w:firstLine="709"/>
        <w:jc w:val="both"/>
        <w:rPr>
          <w:rFonts w:ascii="Times New Roman" w:eastAsiaTheme="minorHAnsi" w:hAnsi="Times New Roman"/>
          <w:sz w:val="24"/>
          <w:szCs w:val="24"/>
        </w:rPr>
      </w:pPr>
      <w:r w:rsidRPr="00696176">
        <w:rPr>
          <w:rFonts w:ascii="Times New Roman" w:eastAsiaTheme="minorHAnsi" w:hAnsi="Times New Roman"/>
          <w:sz w:val="24"/>
          <w:szCs w:val="24"/>
        </w:rPr>
        <w:t>Как видно из рисунка рентабельность продаж немного выросла с 8,20% в 2015г до 8,90% в 2017г, данная тенденция обусловлена увеличением объема продаж.</w:t>
      </w:r>
    </w:p>
    <w:p w:rsidR="00696176" w:rsidRPr="00696176" w:rsidRDefault="00696176" w:rsidP="00696176">
      <w:pPr>
        <w:spacing w:after="0" w:line="360" w:lineRule="auto"/>
        <w:ind w:firstLine="709"/>
        <w:jc w:val="both"/>
        <w:rPr>
          <w:rFonts w:ascii="Times New Roman" w:eastAsiaTheme="minorHAnsi" w:hAnsi="Times New Roman"/>
          <w:sz w:val="24"/>
          <w:szCs w:val="24"/>
        </w:rPr>
      </w:pPr>
      <w:r w:rsidRPr="00696176">
        <w:rPr>
          <w:rFonts w:ascii="Times New Roman" w:eastAsiaTheme="minorHAnsi" w:hAnsi="Times New Roman"/>
          <w:sz w:val="24"/>
          <w:szCs w:val="24"/>
        </w:rPr>
        <w:t>За анализируемый период происходит снижение рентабельности собственного капитала до 37%</w:t>
      </w:r>
    </w:p>
    <w:p w:rsidR="00696176" w:rsidRPr="00696176" w:rsidRDefault="00696176" w:rsidP="00696176">
      <w:pPr>
        <w:spacing w:after="0" w:line="360" w:lineRule="auto"/>
        <w:ind w:firstLine="709"/>
        <w:jc w:val="both"/>
        <w:rPr>
          <w:rFonts w:ascii="Times New Roman" w:eastAsiaTheme="minorHAnsi" w:hAnsi="Times New Roman"/>
          <w:sz w:val="24"/>
          <w:szCs w:val="24"/>
        </w:rPr>
      </w:pPr>
      <w:r w:rsidRPr="00696176">
        <w:rPr>
          <w:rFonts w:ascii="Times New Roman" w:eastAsiaTheme="minorHAnsi" w:hAnsi="Times New Roman"/>
          <w:sz w:val="24"/>
          <w:szCs w:val="24"/>
        </w:rPr>
        <w:t xml:space="preserve">Проведем прогнозирование банкротства организации на основании модели </w:t>
      </w:r>
      <w:proofErr w:type="spellStart"/>
      <w:r w:rsidRPr="00696176">
        <w:rPr>
          <w:rFonts w:ascii="Times New Roman" w:eastAsiaTheme="minorHAnsi" w:hAnsi="Times New Roman"/>
          <w:sz w:val="24"/>
          <w:szCs w:val="24"/>
        </w:rPr>
        <w:t>Чессера</w:t>
      </w:r>
      <w:proofErr w:type="spellEnd"/>
      <w:r w:rsidRPr="00696176">
        <w:rPr>
          <w:rFonts w:ascii="Times New Roman" w:eastAsiaTheme="minorHAnsi" w:hAnsi="Times New Roman"/>
          <w:sz w:val="24"/>
          <w:szCs w:val="24"/>
        </w:rPr>
        <w:t xml:space="preserve"> (табл. 2). </w:t>
      </w:r>
    </w:p>
    <w:p w:rsidR="00696176" w:rsidRPr="00696176" w:rsidRDefault="00696176" w:rsidP="00696176">
      <w:pPr>
        <w:spacing w:after="0" w:line="360" w:lineRule="auto"/>
        <w:ind w:firstLine="709"/>
        <w:jc w:val="both"/>
        <w:rPr>
          <w:rFonts w:ascii="Times New Roman" w:eastAsiaTheme="minorHAnsi" w:hAnsi="Times New Roman"/>
          <w:sz w:val="24"/>
          <w:szCs w:val="24"/>
        </w:rPr>
      </w:pPr>
      <w:r w:rsidRPr="00696176">
        <w:rPr>
          <w:rFonts w:ascii="Times New Roman" w:eastAsiaTheme="minorHAnsi" w:hAnsi="Times New Roman"/>
          <w:sz w:val="24"/>
          <w:szCs w:val="24"/>
        </w:rPr>
        <w:t xml:space="preserve">Таблица 2 - Анализ вероятности банкротства </w:t>
      </w:r>
      <w:r w:rsidRPr="00696176">
        <w:rPr>
          <w:rFonts w:ascii="Times New Roman" w:eastAsia="Times New Roman" w:hAnsi="Times New Roman"/>
          <w:sz w:val="24"/>
          <w:szCs w:val="24"/>
          <w:lang w:eastAsia="ru-RU"/>
        </w:rPr>
        <w:t>АО «</w:t>
      </w:r>
      <w:proofErr w:type="spellStart"/>
      <w:r w:rsidRPr="00696176">
        <w:rPr>
          <w:rFonts w:ascii="Times New Roman" w:eastAsia="Times New Roman" w:hAnsi="Times New Roman"/>
          <w:sz w:val="24"/>
          <w:szCs w:val="24"/>
          <w:lang w:eastAsia="ru-RU"/>
        </w:rPr>
        <w:t>Аэромар</w:t>
      </w:r>
      <w:proofErr w:type="spellEnd"/>
      <w:r w:rsidRPr="00696176">
        <w:rPr>
          <w:rFonts w:ascii="Times New Roman" w:eastAsia="Times New Roman" w:hAnsi="Times New Roman"/>
          <w:sz w:val="24"/>
          <w:szCs w:val="24"/>
          <w:lang w:eastAsia="ru-RU"/>
        </w:rPr>
        <w:t xml:space="preserve">» </w:t>
      </w:r>
      <w:r w:rsidRPr="00696176">
        <w:rPr>
          <w:rFonts w:ascii="Times New Roman" w:eastAsiaTheme="minorHAnsi" w:hAnsi="Times New Roman"/>
          <w:sz w:val="24"/>
          <w:szCs w:val="24"/>
        </w:rPr>
        <w:t xml:space="preserve"> на основании модели </w:t>
      </w:r>
      <w:proofErr w:type="spellStart"/>
      <w:r w:rsidRPr="00696176">
        <w:rPr>
          <w:rFonts w:ascii="Times New Roman" w:eastAsiaTheme="minorHAnsi" w:hAnsi="Times New Roman"/>
          <w:sz w:val="24"/>
          <w:szCs w:val="24"/>
        </w:rPr>
        <w:t>Чессера</w:t>
      </w:r>
      <w:proofErr w:type="spellEnd"/>
      <w:r w:rsidRPr="00696176">
        <w:rPr>
          <w:rFonts w:ascii="Times New Roman" w:eastAsiaTheme="minorHAnsi" w:hAnsi="Times New Roman"/>
          <w:sz w:val="24"/>
          <w:szCs w:val="24"/>
        </w:rPr>
        <w:t xml:space="preserve"> в 2015 – 2017гг.</w:t>
      </w:r>
    </w:p>
    <w:tbl>
      <w:tblPr>
        <w:tblW w:w="9588"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ook w:val="04A0" w:firstRow="1" w:lastRow="0" w:firstColumn="1" w:lastColumn="0" w:noHBand="0" w:noVBand="1"/>
      </w:tblPr>
      <w:tblGrid>
        <w:gridCol w:w="1273"/>
        <w:gridCol w:w="5356"/>
        <w:gridCol w:w="974"/>
        <w:gridCol w:w="1027"/>
        <w:gridCol w:w="958"/>
      </w:tblGrid>
      <w:tr w:rsidR="00696176" w:rsidRPr="00696176" w:rsidTr="00755D54">
        <w:tc>
          <w:tcPr>
            <w:tcW w:w="0" w:type="auto"/>
            <w:vAlign w:val="center"/>
          </w:tcPr>
          <w:p w:rsidR="00696176" w:rsidRPr="00696176" w:rsidRDefault="00696176" w:rsidP="00696176">
            <w:pPr>
              <w:spacing w:after="0" w:line="360" w:lineRule="auto"/>
              <w:jc w:val="center"/>
              <w:rPr>
                <w:rFonts w:ascii="Times New Roman" w:eastAsiaTheme="minorHAnsi" w:hAnsi="Times New Roman"/>
                <w:sz w:val="24"/>
                <w:szCs w:val="24"/>
              </w:rPr>
            </w:pPr>
            <w:r w:rsidRPr="00696176">
              <w:rPr>
                <w:rFonts w:ascii="Times New Roman" w:eastAsiaTheme="minorHAnsi" w:hAnsi="Times New Roman"/>
                <w:sz w:val="24"/>
                <w:szCs w:val="24"/>
              </w:rPr>
              <w:t>Показа-</w:t>
            </w:r>
            <w:proofErr w:type="spellStart"/>
            <w:r w:rsidRPr="00696176">
              <w:rPr>
                <w:rFonts w:ascii="Times New Roman" w:eastAsiaTheme="minorHAnsi" w:hAnsi="Times New Roman"/>
                <w:sz w:val="24"/>
                <w:szCs w:val="24"/>
              </w:rPr>
              <w:t>тель</w:t>
            </w:r>
            <w:proofErr w:type="spellEnd"/>
          </w:p>
        </w:tc>
        <w:tc>
          <w:tcPr>
            <w:tcW w:w="5356" w:type="dxa"/>
            <w:vAlign w:val="center"/>
          </w:tcPr>
          <w:p w:rsidR="00696176" w:rsidRPr="00696176" w:rsidRDefault="00696176" w:rsidP="00696176">
            <w:pPr>
              <w:spacing w:after="0" w:line="360" w:lineRule="auto"/>
              <w:jc w:val="center"/>
              <w:rPr>
                <w:rFonts w:ascii="Times New Roman" w:eastAsiaTheme="minorHAnsi" w:hAnsi="Times New Roman"/>
                <w:sz w:val="24"/>
                <w:szCs w:val="24"/>
              </w:rPr>
            </w:pPr>
            <w:r w:rsidRPr="00696176">
              <w:rPr>
                <w:rFonts w:ascii="Times New Roman" w:eastAsiaTheme="minorHAnsi" w:hAnsi="Times New Roman"/>
                <w:sz w:val="24"/>
                <w:szCs w:val="24"/>
              </w:rPr>
              <w:t>Значение</w:t>
            </w:r>
          </w:p>
        </w:tc>
        <w:tc>
          <w:tcPr>
            <w:tcW w:w="974" w:type="dxa"/>
          </w:tcPr>
          <w:p w:rsidR="00696176" w:rsidRPr="00696176" w:rsidRDefault="00696176" w:rsidP="00696176">
            <w:pPr>
              <w:spacing w:after="0" w:line="360" w:lineRule="auto"/>
              <w:jc w:val="center"/>
              <w:rPr>
                <w:rFonts w:ascii="Times New Roman" w:eastAsiaTheme="minorHAnsi" w:hAnsi="Times New Roman"/>
                <w:sz w:val="24"/>
                <w:szCs w:val="24"/>
              </w:rPr>
            </w:pPr>
            <w:r w:rsidRPr="00696176">
              <w:rPr>
                <w:rFonts w:ascii="Times New Roman" w:eastAsiaTheme="minorHAnsi" w:hAnsi="Times New Roman"/>
                <w:sz w:val="24"/>
                <w:szCs w:val="24"/>
              </w:rPr>
              <w:t>2015г</w:t>
            </w:r>
          </w:p>
        </w:tc>
        <w:tc>
          <w:tcPr>
            <w:tcW w:w="1027" w:type="dxa"/>
            <w:vAlign w:val="center"/>
          </w:tcPr>
          <w:p w:rsidR="00696176" w:rsidRPr="00696176" w:rsidRDefault="00696176" w:rsidP="00696176">
            <w:pPr>
              <w:spacing w:after="0" w:line="360" w:lineRule="auto"/>
              <w:jc w:val="center"/>
              <w:rPr>
                <w:rFonts w:ascii="Times New Roman" w:eastAsiaTheme="minorHAnsi" w:hAnsi="Times New Roman"/>
                <w:sz w:val="24"/>
                <w:szCs w:val="24"/>
              </w:rPr>
            </w:pPr>
            <w:r w:rsidRPr="00696176">
              <w:rPr>
                <w:rFonts w:ascii="Times New Roman" w:eastAsiaTheme="minorHAnsi" w:hAnsi="Times New Roman"/>
                <w:sz w:val="24"/>
                <w:szCs w:val="24"/>
              </w:rPr>
              <w:t>2016 г</w:t>
            </w:r>
          </w:p>
        </w:tc>
        <w:tc>
          <w:tcPr>
            <w:tcW w:w="958" w:type="dxa"/>
            <w:vAlign w:val="center"/>
          </w:tcPr>
          <w:p w:rsidR="00696176" w:rsidRPr="00696176" w:rsidRDefault="00696176" w:rsidP="00696176">
            <w:pPr>
              <w:spacing w:after="0" w:line="360" w:lineRule="auto"/>
              <w:jc w:val="center"/>
              <w:rPr>
                <w:rFonts w:ascii="Times New Roman" w:eastAsiaTheme="minorHAnsi" w:hAnsi="Times New Roman"/>
                <w:sz w:val="24"/>
                <w:szCs w:val="24"/>
              </w:rPr>
            </w:pPr>
            <w:r w:rsidRPr="00696176">
              <w:rPr>
                <w:rFonts w:ascii="Times New Roman" w:eastAsiaTheme="minorHAnsi" w:hAnsi="Times New Roman"/>
                <w:sz w:val="24"/>
                <w:szCs w:val="24"/>
              </w:rPr>
              <w:t>2017г</w:t>
            </w:r>
          </w:p>
        </w:tc>
      </w:tr>
      <w:tr w:rsidR="00696176" w:rsidRPr="00696176" w:rsidTr="00755D54">
        <w:tc>
          <w:tcPr>
            <w:tcW w:w="0" w:type="auto"/>
            <w:vAlign w:val="center"/>
          </w:tcPr>
          <w:p w:rsidR="00696176" w:rsidRPr="00696176" w:rsidRDefault="00696176" w:rsidP="00696176">
            <w:pPr>
              <w:spacing w:after="0" w:line="360" w:lineRule="auto"/>
              <w:jc w:val="both"/>
              <w:rPr>
                <w:rFonts w:ascii="Times New Roman" w:eastAsiaTheme="minorHAnsi" w:hAnsi="Times New Roman"/>
                <w:sz w:val="24"/>
                <w:szCs w:val="24"/>
              </w:rPr>
            </w:pPr>
            <w:r w:rsidRPr="00696176">
              <w:rPr>
                <w:rFonts w:ascii="Times New Roman" w:eastAsiaTheme="minorHAnsi" w:hAnsi="Times New Roman"/>
                <w:sz w:val="24"/>
                <w:szCs w:val="24"/>
              </w:rPr>
              <w:t>Х1</w:t>
            </w:r>
          </w:p>
        </w:tc>
        <w:tc>
          <w:tcPr>
            <w:tcW w:w="5356" w:type="dxa"/>
          </w:tcPr>
          <w:p w:rsidR="00696176" w:rsidRPr="00696176" w:rsidRDefault="00696176" w:rsidP="00696176">
            <w:pPr>
              <w:spacing w:after="0" w:line="360" w:lineRule="auto"/>
              <w:jc w:val="center"/>
              <w:rPr>
                <w:rFonts w:ascii="Times New Roman" w:eastAsiaTheme="minorHAnsi" w:hAnsi="Times New Roman"/>
                <w:sz w:val="24"/>
                <w:szCs w:val="24"/>
              </w:rPr>
            </w:pPr>
            <w:r w:rsidRPr="00696176">
              <w:rPr>
                <w:rFonts w:ascii="Times New Roman" w:eastAsiaTheme="minorHAnsi" w:hAnsi="Times New Roman"/>
                <w:sz w:val="24"/>
                <w:szCs w:val="24"/>
              </w:rPr>
              <w:t>(Наличность + Легкореализуемые ценные бумаги) / Совокупные активы</w:t>
            </w:r>
          </w:p>
        </w:tc>
        <w:tc>
          <w:tcPr>
            <w:tcW w:w="974" w:type="dxa"/>
            <w:vAlign w:val="center"/>
          </w:tcPr>
          <w:p w:rsidR="00696176" w:rsidRPr="00696176" w:rsidRDefault="00696176" w:rsidP="00696176">
            <w:pPr>
              <w:spacing w:after="0" w:line="360" w:lineRule="auto"/>
              <w:jc w:val="center"/>
              <w:rPr>
                <w:rFonts w:ascii="Times New Roman" w:eastAsiaTheme="minorHAnsi" w:hAnsi="Times New Roman"/>
                <w:sz w:val="24"/>
                <w:szCs w:val="24"/>
              </w:rPr>
            </w:pPr>
            <w:r w:rsidRPr="00696176">
              <w:rPr>
                <w:rFonts w:ascii="Times New Roman" w:eastAsiaTheme="minorHAnsi" w:hAnsi="Times New Roman"/>
                <w:sz w:val="24"/>
                <w:szCs w:val="24"/>
              </w:rPr>
              <w:t>0,13</w:t>
            </w:r>
          </w:p>
        </w:tc>
        <w:tc>
          <w:tcPr>
            <w:tcW w:w="1027" w:type="dxa"/>
            <w:vAlign w:val="center"/>
          </w:tcPr>
          <w:p w:rsidR="00696176" w:rsidRPr="00696176" w:rsidRDefault="00696176" w:rsidP="00696176">
            <w:pPr>
              <w:spacing w:after="0" w:line="360" w:lineRule="auto"/>
              <w:jc w:val="center"/>
              <w:rPr>
                <w:rFonts w:ascii="Times New Roman" w:eastAsiaTheme="minorHAnsi" w:hAnsi="Times New Roman"/>
                <w:sz w:val="24"/>
                <w:szCs w:val="24"/>
              </w:rPr>
            </w:pPr>
            <w:r w:rsidRPr="00696176">
              <w:rPr>
                <w:rFonts w:ascii="Times New Roman" w:eastAsiaTheme="minorHAnsi" w:hAnsi="Times New Roman"/>
                <w:sz w:val="24"/>
                <w:szCs w:val="24"/>
              </w:rPr>
              <w:t>0,18</w:t>
            </w:r>
          </w:p>
        </w:tc>
        <w:tc>
          <w:tcPr>
            <w:tcW w:w="958" w:type="dxa"/>
            <w:vAlign w:val="center"/>
          </w:tcPr>
          <w:p w:rsidR="00696176" w:rsidRPr="00696176" w:rsidRDefault="00696176" w:rsidP="00696176">
            <w:pPr>
              <w:spacing w:after="0" w:line="360" w:lineRule="auto"/>
              <w:jc w:val="center"/>
              <w:rPr>
                <w:rFonts w:ascii="Times New Roman" w:eastAsiaTheme="minorHAnsi" w:hAnsi="Times New Roman"/>
                <w:sz w:val="24"/>
                <w:szCs w:val="24"/>
              </w:rPr>
            </w:pPr>
            <w:r w:rsidRPr="00696176">
              <w:rPr>
                <w:rFonts w:ascii="Times New Roman" w:eastAsiaTheme="minorHAnsi" w:hAnsi="Times New Roman"/>
                <w:sz w:val="24"/>
                <w:szCs w:val="24"/>
              </w:rPr>
              <w:t>0,17</w:t>
            </w:r>
          </w:p>
        </w:tc>
      </w:tr>
      <w:tr w:rsidR="00696176" w:rsidRPr="00696176" w:rsidTr="00755D54">
        <w:tc>
          <w:tcPr>
            <w:tcW w:w="0" w:type="auto"/>
            <w:vAlign w:val="center"/>
          </w:tcPr>
          <w:p w:rsidR="00696176" w:rsidRPr="00696176" w:rsidRDefault="00696176" w:rsidP="00696176">
            <w:pPr>
              <w:spacing w:after="0" w:line="360" w:lineRule="auto"/>
              <w:jc w:val="both"/>
              <w:rPr>
                <w:rFonts w:ascii="Times New Roman" w:eastAsiaTheme="minorHAnsi" w:hAnsi="Times New Roman"/>
                <w:sz w:val="24"/>
                <w:szCs w:val="24"/>
              </w:rPr>
            </w:pPr>
            <w:r w:rsidRPr="00696176">
              <w:rPr>
                <w:rFonts w:ascii="Times New Roman" w:eastAsiaTheme="minorHAnsi" w:hAnsi="Times New Roman"/>
                <w:sz w:val="24"/>
                <w:szCs w:val="24"/>
              </w:rPr>
              <w:t>Х2</w:t>
            </w:r>
          </w:p>
        </w:tc>
        <w:tc>
          <w:tcPr>
            <w:tcW w:w="5356" w:type="dxa"/>
          </w:tcPr>
          <w:p w:rsidR="00696176" w:rsidRPr="00696176" w:rsidRDefault="00696176" w:rsidP="00696176">
            <w:pPr>
              <w:spacing w:after="0" w:line="360" w:lineRule="auto"/>
              <w:jc w:val="center"/>
              <w:rPr>
                <w:rFonts w:ascii="Times New Roman" w:eastAsiaTheme="minorHAnsi" w:hAnsi="Times New Roman"/>
                <w:sz w:val="24"/>
                <w:szCs w:val="24"/>
              </w:rPr>
            </w:pPr>
            <w:r w:rsidRPr="00696176">
              <w:rPr>
                <w:rFonts w:ascii="Times New Roman" w:eastAsiaTheme="minorHAnsi" w:hAnsi="Times New Roman"/>
                <w:sz w:val="24"/>
                <w:szCs w:val="24"/>
              </w:rPr>
              <w:t>Нетто-продажи / (Наличность + Легкореализуемые ценные бумаги)</w:t>
            </w:r>
          </w:p>
        </w:tc>
        <w:tc>
          <w:tcPr>
            <w:tcW w:w="974" w:type="dxa"/>
            <w:vAlign w:val="center"/>
          </w:tcPr>
          <w:p w:rsidR="00696176" w:rsidRPr="00696176" w:rsidRDefault="00696176" w:rsidP="00696176">
            <w:pPr>
              <w:spacing w:after="0" w:line="360" w:lineRule="auto"/>
              <w:jc w:val="center"/>
              <w:rPr>
                <w:rFonts w:ascii="Times New Roman" w:eastAsiaTheme="minorHAnsi" w:hAnsi="Times New Roman"/>
                <w:sz w:val="24"/>
                <w:szCs w:val="24"/>
              </w:rPr>
            </w:pPr>
            <w:r w:rsidRPr="00696176">
              <w:rPr>
                <w:rFonts w:ascii="Times New Roman" w:eastAsiaTheme="minorHAnsi" w:hAnsi="Times New Roman"/>
                <w:sz w:val="24"/>
                <w:szCs w:val="24"/>
              </w:rPr>
              <w:t>20,38</w:t>
            </w:r>
          </w:p>
        </w:tc>
        <w:tc>
          <w:tcPr>
            <w:tcW w:w="1027" w:type="dxa"/>
            <w:vAlign w:val="center"/>
          </w:tcPr>
          <w:p w:rsidR="00696176" w:rsidRPr="00696176" w:rsidRDefault="00696176" w:rsidP="00696176">
            <w:pPr>
              <w:spacing w:after="0" w:line="360" w:lineRule="auto"/>
              <w:jc w:val="center"/>
              <w:rPr>
                <w:rFonts w:ascii="Times New Roman" w:eastAsiaTheme="minorHAnsi" w:hAnsi="Times New Roman"/>
                <w:sz w:val="24"/>
                <w:szCs w:val="24"/>
              </w:rPr>
            </w:pPr>
            <w:r w:rsidRPr="00696176">
              <w:rPr>
                <w:rFonts w:ascii="Times New Roman" w:eastAsiaTheme="minorHAnsi" w:hAnsi="Times New Roman"/>
                <w:sz w:val="24"/>
                <w:szCs w:val="24"/>
              </w:rPr>
              <w:t>14,38</w:t>
            </w:r>
          </w:p>
        </w:tc>
        <w:tc>
          <w:tcPr>
            <w:tcW w:w="958" w:type="dxa"/>
            <w:vAlign w:val="center"/>
          </w:tcPr>
          <w:p w:rsidR="00696176" w:rsidRPr="00696176" w:rsidRDefault="00696176" w:rsidP="00696176">
            <w:pPr>
              <w:spacing w:after="0" w:line="360" w:lineRule="auto"/>
              <w:jc w:val="center"/>
              <w:rPr>
                <w:rFonts w:ascii="Times New Roman" w:eastAsiaTheme="minorHAnsi" w:hAnsi="Times New Roman"/>
                <w:sz w:val="24"/>
                <w:szCs w:val="24"/>
              </w:rPr>
            </w:pPr>
            <w:r w:rsidRPr="00696176">
              <w:rPr>
                <w:rFonts w:ascii="Times New Roman" w:eastAsiaTheme="minorHAnsi" w:hAnsi="Times New Roman"/>
                <w:sz w:val="24"/>
                <w:szCs w:val="24"/>
              </w:rPr>
              <w:t>16,47</w:t>
            </w:r>
          </w:p>
        </w:tc>
      </w:tr>
      <w:tr w:rsidR="00696176" w:rsidRPr="00696176" w:rsidTr="00755D54">
        <w:tc>
          <w:tcPr>
            <w:tcW w:w="0" w:type="auto"/>
            <w:vAlign w:val="center"/>
          </w:tcPr>
          <w:p w:rsidR="00696176" w:rsidRPr="00696176" w:rsidRDefault="00696176" w:rsidP="00696176">
            <w:pPr>
              <w:spacing w:after="0" w:line="360" w:lineRule="auto"/>
              <w:jc w:val="both"/>
              <w:rPr>
                <w:rFonts w:ascii="Times New Roman" w:eastAsiaTheme="minorHAnsi" w:hAnsi="Times New Roman"/>
                <w:sz w:val="24"/>
                <w:szCs w:val="24"/>
              </w:rPr>
            </w:pPr>
            <w:r w:rsidRPr="00696176">
              <w:rPr>
                <w:rFonts w:ascii="Times New Roman" w:eastAsiaTheme="minorHAnsi" w:hAnsi="Times New Roman"/>
                <w:sz w:val="24"/>
                <w:szCs w:val="24"/>
              </w:rPr>
              <w:t>Х3</w:t>
            </w:r>
          </w:p>
        </w:tc>
        <w:tc>
          <w:tcPr>
            <w:tcW w:w="5356" w:type="dxa"/>
          </w:tcPr>
          <w:p w:rsidR="00696176" w:rsidRPr="00696176" w:rsidRDefault="00696176" w:rsidP="00696176">
            <w:pPr>
              <w:spacing w:after="0" w:line="360" w:lineRule="auto"/>
              <w:jc w:val="center"/>
              <w:rPr>
                <w:rFonts w:ascii="Times New Roman" w:eastAsiaTheme="minorHAnsi" w:hAnsi="Times New Roman"/>
                <w:sz w:val="24"/>
                <w:szCs w:val="24"/>
              </w:rPr>
            </w:pPr>
            <w:r w:rsidRPr="00696176">
              <w:rPr>
                <w:rFonts w:ascii="Times New Roman" w:eastAsiaTheme="minorHAnsi" w:hAnsi="Times New Roman"/>
                <w:sz w:val="24"/>
                <w:szCs w:val="24"/>
              </w:rPr>
              <w:t>Брутто-доходы / Совокупные активы</w:t>
            </w:r>
          </w:p>
        </w:tc>
        <w:tc>
          <w:tcPr>
            <w:tcW w:w="974" w:type="dxa"/>
            <w:vAlign w:val="center"/>
          </w:tcPr>
          <w:p w:rsidR="00696176" w:rsidRPr="00696176" w:rsidRDefault="00696176" w:rsidP="00696176">
            <w:pPr>
              <w:spacing w:after="0" w:line="360" w:lineRule="auto"/>
              <w:jc w:val="center"/>
              <w:rPr>
                <w:rFonts w:ascii="Times New Roman" w:eastAsiaTheme="minorHAnsi" w:hAnsi="Times New Roman"/>
                <w:sz w:val="24"/>
                <w:szCs w:val="24"/>
              </w:rPr>
            </w:pPr>
            <w:r w:rsidRPr="00696176">
              <w:rPr>
                <w:rFonts w:ascii="Times New Roman" w:eastAsiaTheme="minorHAnsi" w:hAnsi="Times New Roman"/>
                <w:sz w:val="24"/>
                <w:szCs w:val="24"/>
              </w:rPr>
              <w:t>2,66</w:t>
            </w:r>
          </w:p>
        </w:tc>
        <w:tc>
          <w:tcPr>
            <w:tcW w:w="1027" w:type="dxa"/>
            <w:vAlign w:val="center"/>
          </w:tcPr>
          <w:p w:rsidR="00696176" w:rsidRPr="00696176" w:rsidRDefault="00696176" w:rsidP="00696176">
            <w:pPr>
              <w:spacing w:after="0" w:line="360" w:lineRule="auto"/>
              <w:jc w:val="center"/>
              <w:rPr>
                <w:rFonts w:ascii="Times New Roman" w:eastAsiaTheme="minorHAnsi" w:hAnsi="Times New Roman"/>
                <w:sz w:val="24"/>
                <w:szCs w:val="24"/>
              </w:rPr>
            </w:pPr>
            <w:r w:rsidRPr="00696176">
              <w:rPr>
                <w:rFonts w:ascii="Times New Roman" w:eastAsiaTheme="minorHAnsi" w:hAnsi="Times New Roman"/>
                <w:sz w:val="24"/>
                <w:szCs w:val="24"/>
              </w:rPr>
              <w:t>2,66</w:t>
            </w:r>
          </w:p>
        </w:tc>
        <w:tc>
          <w:tcPr>
            <w:tcW w:w="958" w:type="dxa"/>
            <w:vAlign w:val="center"/>
          </w:tcPr>
          <w:p w:rsidR="00696176" w:rsidRPr="00696176" w:rsidRDefault="00696176" w:rsidP="00696176">
            <w:pPr>
              <w:spacing w:after="0" w:line="360" w:lineRule="auto"/>
              <w:jc w:val="center"/>
              <w:rPr>
                <w:rFonts w:ascii="Times New Roman" w:eastAsiaTheme="minorHAnsi" w:hAnsi="Times New Roman"/>
                <w:sz w:val="24"/>
                <w:szCs w:val="24"/>
              </w:rPr>
            </w:pPr>
            <w:r w:rsidRPr="00696176">
              <w:rPr>
                <w:rFonts w:ascii="Times New Roman" w:eastAsiaTheme="minorHAnsi" w:hAnsi="Times New Roman"/>
                <w:sz w:val="24"/>
                <w:szCs w:val="24"/>
              </w:rPr>
              <w:t>2,72</w:t>
            </w:r>
          </w:p>
        </w:tc>
      </w:tr>
      <w:tr w:rsidR="00696176" w:rsidRPr="00696176" w:rsidTr="00755D54">
        <w:tc>
          <w:tcPr>
            <w:tcW w:w="0" w:type="auto"/>
            <w:vAlign w:val="center"/>
          </w:tcPr>
          <w:p w:rsidR="00696176" w:rsidRPr="00696176" w:rsidRDefault="00696176" w:rsidP="00696176">
            <w:pPr>
              <w:spacing w:after="0" w:line="360" w:lineRule="auto"/>
              <w:jc w:val="both"/>
              <w:rPr>
                <w:rFonts w:ascii="Times New Roman" w:eastAsiaTheme="minorHAnsi" w:hAnsi="Times New Roman"/>
                <w:sz w:val="24"/>
                <w:szCs w:val="24"/>
              </w:rPr>
            </w:pPr>
            <w:r w:rsidRPr="00696176">
              <w:rPr>
                <w:rFonts w:ascii="Times New Roman" w:eastAsiaTheme="minorHAnsi" w:hAnsi="Times New Roman"/>
                <w:sz w:val="24"/>
                <w:szCs w:val="24"/>
              </w:rPr>
              <w:t>Х4</w:t>
            </w:r>
          </w:p>
        </w:tc>
        <w:tc>
          <w:tcPr>
            <w:tcW w:w="5356" w:type="dxa"/>
          </w:tcPr>
          <w:p w:rsidR="00696176" w:rsidRPr="00696176" w:rsidRDefault="00696176" w:rsidP="00696176">
            <w:pPr>
              <w:spacing w:after="0" w:line="360" w:lineRule="auto"/>
              <w:jc w:val="center"/>
              <w:rPr>
                <w:rFonts w:ascii="Times New Roman" w:eastAsiaTheme="minorHAnsi" w:hAnsi="Times New Roman"/>
                <w:sz w:val="24"/>
                <w:szCs w:val="24"/>
              </w:rPr>
            </w:pPr>
            <w:r w:rsidRPr="00696176">
              <w:rPr>
                <w:rFonts w:ascii="Times New Roman" w:eastAsiaTheme="minorHAnsi" w:hAnsi="Times New Roman"/>
                <w:sz w:val="24"/>
                <w:szCs w:val="24"/>
              </w:rPr>
              <w:t>Совокупная задолженность / Совокупные активы</w:t>
            </w:r>
          </w:p>
        </w:tc>
        <w:tc>
          <w:tcPr>
            <w:tcW w:w="974" w:type="dxa"/>
            <w:vAlign w:val="center"/>
          </w:tcPr>
          <w:p w:rsidR="00696176" w:rsidRPr="00696176" w:rsidRDefault="00696176" w:rsidP="00696176">
            <w:pPr>
              <w:spacing w:after="0" w:line="360" w:lineRule="auto"/>
              <w:jc w:val="center"/>
              <w:rPr>
                <w:rFonts w:ascii="Times New Roman" w:eastAsiaTheme="minorHAnsi" w:hAnsi="Times New Roman"/>
                <w:sz w:val="24"/>
                <w:szCs w:val="24"/>
              </w:rPr>
            </w:pPr>
            <w:r w:rsidRPr="00696176">
              <w:rPr>
                <w:rFonts w:ascii="Times New Roman" w:eastAsiaTheme="minorHAnsi" w:hAnsi="Times New Roman"/>
                <w:sz w:val="24"/>
                <w:szCs w:val="24"/>
              </w:rPr>
              <w:t>0,49</w:t>
            </w:r>
          </w:p>
        </w:tc>
        <w:tc>
          <w:tcPr>
            <w:tcW w:w="1027" w:type="dxa"/>
            <w:vAlign w:val="center"/>
          </w:tcPr>
          <w:p w:rsidR="00696176" w:rsidRPr="00696176" w:rsidRDefault="00696176" w:rsidP="00696176">
            <w:pPr>
              <w:spacing w:after="0" w:line="360" w:lineRule="auto"/>
              <w:jc w:val="center"/>
              <w:rPr>
                <w:rFonts w:ascii="Times New Roman" w:eastAsiaTheme="minorHAnsi" w:hAnsi="Times New Roman"/>
                <w:sz w:val="24"/>
                <w:szCs w:val="24"/>
              </w:rPr>
            </w:pPr>
            <w:r w:rsidRPr="00696176">
              <w:rPr>
                <w:rFonts w:ascii="Times New Roman" w:eastAsiaTheme="minorHAnsi" w:hAnsi="Times New Roman"/>
                <w:sz w:val="24"/>
                <w:szCs w:val="24"/>
              </w:rPr>
              <w:t>0,42</w:t>
            </w:r>
          </w:p>
        </w:tc>
        <w:tc>
          <w:tcPr>
            <w:tcW w:w="958" w:type="dxa"/>
            <w:vAlign w:val="center"/>
          </w:tcPr>
          <w:p w:rsidR="00696176" w:rsidRPr="00696176" w:rsidRDefault="00696176" w:rsidP="00696176">
            <w:pPr>
              <w:spacing w:after="0" w:line="360" w:lineRule="auto"/>
              <w:jc w:val="center"/>
              <w:rPr>
                <w:rFonts w:ascii="Times New Roman" w:eastAsiaTheme="minorHAnsi" w:hAnsi="Times New Roman"/>
                <w:sz w:val="24"/>
                <w:szCs w:val="24"/>
              </w:rPr>
            </w:pPr>
            <w:r w:rsidRPr="00696176">
              <w:rPr>
                <w:rFonts w:ascii="Times New Roman" w:eastAsiaTheme="minorHAnsi" w:hAnsi="Times New Roman"/>
                <w:sz w:val="24"/>
                <w:szCs w:val="24"/>
              </w:rPr>
              <w:t>0,39</w:t>
            </w:r>
          </w:p>
        </w:tc>
      </w:tr>
      <w:tr w:rsidR="00696176" w:rsidRPr="00696176" w:rsidTr="00755D54">
        <w:tc>
          <w:tcPr>
            <w:tcW w:w="0" w:type="auto"/>
            <w:vAlign w:val="center"/>
          </w:tcPr>
          <w:p w:rsidR="00696176" w:rsidRPr="00696176" w:rsidRDefault="00696176" w:rsidP="00696176">
            <w:pPr>
              <w:spacing w:after="0" w:line="360" w:lineRule="auto"/>
              <w:jc w:val="both"/>
              <w:rPr>
                <w:rFonts w:ascii="Times New Roman" w:eastAsiaTheme="minorHAnsi" w:hAnsi="Times New Roman"/>
                <w:sz w:val="24"/>
                <w:szCs w:val="24"/>
              </w:rPr>
            </w:pPr>
            <w:r w:rsidRPr="00696176">
              <w:rPr>
                <w:rFonts w:ascii="Times New Roman" w:eastAsiaTheme="minorHAnsi" w:hAnsi="Times New Roman"/>
                <w:sz w:val="24"/>
                <w:szCs w:val="24"/>
              </w:rPr>
              <w:t>Х5</w:t>
            </w:r>
          </w:p>
        </w:tc>
        <w:tc>
          <w:tcPr>
            <w:tcW w:w="5356" w:type="dxa"/>
          </w:tcPr>
          <w:p w:rsidR="00696176" w:rsidRPr="00696176" w:rsidRDefault="00696176" w:rsidP="00696176">
            <w:pPr>
              <w:spacing w:after="0" w:line="360" w:lineRule="auto"/>
              <w:jc w:val="center"/>
              <w:rPr>
                <w:rFonts w:ascii="Times New Roman" w:eastAsiaTheme="minorHAnsi" w:hAnsi="Times New Roman"/>
                <w:sz w:val="24"/>
                <w:szCs w:val="24"/>
              </w:rPr>
            </w:pPr>
            <w:r w:rsidRPr="00696176">
              <w:rPr>
                <w:rFonts w:ascii="Times New Roman" w:eastAsiaTheme="minorHAnsi" w:hAnsi="Times New Roman"/>
                <w:sz w:val="24"/>
                <w:szCs w:val="24"/>
              </w:rPr>
              <w:t>Основной капитал / Чистые активы</w:t>
            </w:r>
          </w:p>
        </w:tc>
        <w:tc>
          <w:tcPr>
            <w:tcW w:w="974" w:type="dxa"/>
            <w:vAlign w:val="center"/>
          </w:tcPr>
          <w:p w:rsidR="00696176" w:rsidRPr="00696176" w:rsidRDefault="00696176" w:rsidP="00696176">
            <w:pPr>
              <w:spacing w:after="0" w:line="360" w:lineRule="auto"/>
              <w:jc w:val="center"/>
              <w:rPr>
                <w:rFonts w:ascii="Times New Roman" w:eastAsiaTheme="minorHAnsi" w:hAnsi="Times New Roman"/>
                <w:sz w:val="24"/>
                <w:szCs w:val="24"/>
              </w:rPr>
            </w:pPr>
            <w:r w:rsidRPr="00696176">
              <w:rPr>
                <w:rFonts w:ascii="Times New Roman" w:eastAsiaTheme="minorHAnsi" w:hAnsi="Times New Roman"/>
                <w:sz w:val="24"/>
                <w:szCs w:val="24"/>
              </w:rPr>
              <w:t>1,66</w:t>
            </w:r>
          </w:p>
        </w:tc>
        <w:tc>
          <w:tcPr>
            <w:tcW w:w="1027" w:type="dxa"/>
            <w:vAlign w:val="center"/>
          </w:tcPr>
          <w:p w:rsidR="00696176" w:rsidRPr="00696176" w:rsidRDefault="00696176" w:rsidP="00696176">
            <w:pPr>
              <w:spacing w:after="0" w:line="360" w:lineRule="auto"/>
              <w:jc w:val="center"/>
              <w:rPr>
                <w:rFonts w:ascii="Times New Roman" w:eastAsiaTheme="minorHAnsi" w:hAnsi="Times New Roman"/>
                <w:sz w:val="24"/>
                <w:szCs w:val="24"/>
              </w:rPr>
            </w:pPr>
            <w:r w:rsidRPr="00696176">
              <w:rPr>
                <w:rFonts w:ascii="Times New Roman" w:eastAsiaTheme="minorHAnsi" w:hAnsi="Times New Roman"/>
                <w:sz w:val="24"/>
                <w:szCs w:val="24"/>
              </w:rPr>
              <w:t>1,48</w:t>
            </w:r>
          </w:p>
        </w:tc>
        <w:tc>
          <w:tcPr>
            <w:tcW w:w="958" w:type="dxa"/>
            <w:vAlign w:val="center"/>
          </w:tcPr>
          <w:p w:rsidR="00696176" w:rsidRPr="00696176" w:rsidRDefault="00696176" w:rsidP="00696176">
            <w:pPr>
              <w:spacing w:after="0" w:line="360" w:lineRule="auto"/>
              <w:jc w:val="center"/>
              <w:rPr>
                <w:rFonts w:ascii="Times New Roman" w:eastAsiaTheme="minorHAnsi" w:hAnsi="Times New Roman"/>
                <w:sz w:val="24"/>
                <w:szCs w:val="24"/>
              </w:rPr>
            </w:pPr>
            <w:r w:rsidRPr="00696176">
              <w:rPr>
                <w:rFonts w:ascii="Times New Roman" w:eastAsiaTheme="minorHAnsi" w:hAnsi="Times New Roman"/>
                <w:sz w:val="24"/>
                <w:szCs w:val="24"/>
              </w:rPr>
              <w:t>1,34</w:t>
            </w:r>
          </w:p>
        </w:tc>
      </w:tr>
      <w:tr w:rsidR="00696176" w:rsidRPr="00696176" w:rsidTr="00755D54">
        <w:tc>
          <w:tcPr>
            <w:tcW w:w="0" w:type="auto"/>
            <w:vAlign w:val="center"/>
          </w:tcPr>
          <w:p w:rsidR="00696176" w:rsidRPr="00696176" w:rsidRDefault="00696176" w:rsidP="00696176">
            <w:pPr>
              <w:spacing w:after="0" w:line="360" w:lineRule="auto"/>
              <w:jc w:val="both"/>
              <w:rPr>
                <w:rFonts w:ascii="Times New Roman" w:eastAsiaTheme="minorHAnsi" w:hAnsi="Times New Roman"/>
                <w:sz w:val="24"/>
                <w:szCs w:val="24"/>
              </w:rPr>
            </w:pPr>
            <w:r w:rsidRPr="00696176">
              <w:rPr>
                <w:rFonts w:ascii="Times New Roman" w:eastAsiaTheme="minorHAnsi" w:hAnsi="Times New Roman"/>
                <w:sz w:val="24"/>
                <w:szCs w:val="24"/>
              </w:rPr>
              <w:t>Х6</w:t>
            </w:r>
          </w:p>
        </w:tc>
        <w:tc>
          <w:tcPr>
            <w:tcW w:w="5356" w:type="dxa"/>
          </w:tcPr>
          <w:p w:rsidR="00696176" w:rsidRPr="00696176" w:rsidRDefault="00696176" w:rsidP="00696176">
            <w:pPr>
              <w:spacing w:after="0" w:line="360" w:lineRule="auto"/>
              <w:jc w:val="center"/>
              <w:rPr>
                <w:rFonts w:ascii="Times New Roman" w:eastAsiaTheme="minorHAnsi" w:hAnsi="Times New Roman"/>
                <w:sz w:val="24"/>
                <w:szCs w:val="24"/>
              </w:rPr>
            </w:pPr>
            <w:r w:rsidRPr="00696176">
              <w:rPr>
                <w:rFonts w:ascii="Times New Roman" w:eastAsiaTheme="minorHAnsi" w:hAnsi="Times New Roman"/>
                <w:sz w:val="24"/>
                <w:szCs w:val="24"/>
              </w:rPr>
              <w:t>Оборотный капитал / Нетто-продажи</w:t>
            </w:r>
          </w:p>
        </w:tc>
        <w:tc>
          <w:tcPr>
            <w:tcW w:w="974" w:type="dxa"/>
            <w:vAlign w:val="center"/>
          </w:tcPr>
          <w:p w:rsidR="00696176" w:rsidRPr="00696176" w:rsidRDefault="00696176" w:rsidP="00696176">
            <w:pPr>
              <w:spacing w:after="0" w:line="360" w:lineRule="auto"/>
              <w:jc w:val="center"/>
              <w:rPr>
                <w:rFonts w:ascii="Times New Roman" w:eastAsiaTheme="minorHAnsi" w:hAnsi="Times New Roman"/>
                <w:sz w:val="24"/>
                <w:szCs w:val="24"/>
              </w:rPr>
            </w:pPr>
            <w:r w:rsidRPr="00696176">
              <w:rPr>
                <w:rFonts w:ascii="Times New Roman" w:eastAsiaTheme="minorHAnsi" w:hAnsi="Times New Roman"/>
                <w:sz w:val="24"/>
                <w:szCs w:val="24"/>
              </w:rPr>
              <w:t>0,32</w:t>
            </w:r>
          </w:p>
        </w:tc>
        <w:tc>
          <w:tcPr>
            <w:tcW w:w="1027" w:type="dxa"/>
            <w:vAlign w:val="center"/>
          </w:tcPr>
          <w:p w:rsidR="00696176" w:rsidRPr="00696176" w:rsidRDefault="00696176" w:rsidP="00696176">
            <w:pPr>
              <w:spacing w:after="0" w:line="360" w:lineRule="auto"/>
              <w:jc w:val="center"/>
              <w:rPr>
                <w:rFonts w:ascii="Times New Roman" w:eastAsiaTheme="minorHAnsi" w:hAnsi="Times New Roman"/>
                <w:sz w:val="24"/>
                <w:szCs w:val="24"/>
              </w:rPr>
            </w:pPr>
            <w:r w:rsidRPr="00696176">
              <w:rPr>
                <w:rFonts w:ascii="Times New Roman" w:eastAsiaTheme="minorHAnsi" w:hAnsi="Times New Roman"/>
                <w:sz w:val="24"/>
                <w:szCs w:val="24"/>
              </w:rPr>
              <w:t>0,32</w:t>
            </w:r>
          </w:p>
        </w:tc>
        <w:tc>
          <w:tcPr>
            <w:tcW w:w="958" w:type="dxa"/>
            <w:vAlign w:val="center"/>
          </w:tcPr>
          <w:p w:rsidR="00696176" w:rsidRPr="00696176" w:rsidRDefault="00696176" w:rsidP="00696176">
            <w:pPr>
              <w:spacing w:after="0" w:line="360" w:lineRule="auto"/>
              <w:jc w:val="center"/>
              <w:rPr>
                <w:rFonts w:ascii="Times New Roman" w:eastAsiaTheme="minorHAnsi" w:hAnsi="Times New Roman"/>
                <w:sz w:val="24"/>
                <w:szCs w:val="24"/>
              </w:rPr>
            </w:pPr>
            <w:r w:rsidRPr="00696176">
              <w:rPr>
                <w:rFonts w:ascii="Times New Roman" w:eastAsiaTheme="minorHAnsi" w:hAnsi="Times New Roman"/>
                <w:sz w:val="24"/>
                <w:szCs w:val="24"/>
              </w:rPr>
              <w:t>0,30</w:t>
            </w:r>
          </w:p>
        </w:tc>
      </w:tr>
      <w:tr w:rsidR="00696176" w:rsidRPr="00696176" w:rsidTr="00755D54">
        <w:tc>
          <w:tcPr>
            <w:tcW w:w="0" w:type="auto"/>
            <w:vAlign w:val="center"/>
          </w:tcPr>
          <w:p w:rsidR="00696176" w:rsidRPr="00696176" w:rsidRDefault="00696176" w:rsidP="00696176">
            <w:pPr>
              <w:spacing w:after="0" w:line="360" w:lineRule="auto"/>
              <w:jc w:val="both"/>
              <w:rPr>
                <w:rFonts w:ascii="Times New Roman" w:eastAsiaTheme="minorHAnsi" w:hAnsi="Times New Roman"/>
                <w:sz w:val="24"/>
                <w:szCs w:val="24"/>
              </w:rPr>
            </w:pPr>
            <w:r w:rsidRPr="00696176">
              <w:rPr>
                <w:rFonts w:ascii="Times New Roman" w:eastAsiaTheme="minorHAnsi" w:hAnsi="Times New Roman"/>
                <w:sz w:val="24"/>
                <w:szCs w:val="24"/>
                <w:lang w:val="en-US"/>
              </w:rPr>
              <w:t>z-c</w:t>
            </w:r>
            <w:r w:rsidRPr="00696176">
              <w:rPr>
                <w:rFonts w:ascii="Times New Roman" w:eastAsiaTheme="minorHAnsi" w:hAnsi="Times New Roman"/>
                <w:sz w:val="24"/>
                <w:szCs w:val="24"/>
              </w:rPr>
              <w:t xml:space="preserve">чет </w:t>
            </w:r>
          </w:p>
        </w:tc>
        <w:tc>
          <w:tcPr>
            <w:tcW w:w="5356" w:type="dxa"/>
          </w:tcPr>
          <w:p w:rsidR="00696176" w:rsidRPr="00696176" w:rsidRDefault="00696176" w:rsidP="00696176">
            <w:pPr>
              <w:spacing w:after="0" w:line="360" w:lineRule="auto"/>
              <w:jc w:val="center"/>
              <w:rPr>
                <w:rFonts w:ascii="Times New Roman" w:eastAsiaTheme="minorHAnsi" w:hAnsi="Times New Roman"/>
                <w:b/>
                <w:sz w:val="24"/>
                <w:szCs w:val="24"/>
              </w:rPr>
            </w:pPr>
            <w:r w:rsidRPr="00696176">
              <w:rPr>
                <w:rFonts w:ascii="Times New Roman" w:eastAsiaTheme="minorHAnsi" w:hAnsi="Times New Roman"/>
                <w:bCs/>
                <w:sz w:val="24"/>
                <w:szCs w:val="24"/>
              </w:rPr>
              <w:t>Z= -2.0434 – 5.24*X</w:t>
            </w:r>
            <w:r w:rsidRPr="00696176">
              <w:rPr>
                <w:rFonts w:ascii="Times New Roman" w:eastAsiaTheme="minorHAnsi" w:hAnsi="Times New Roman"/>
                <w:bCs/>
                <w:sz w:val="24"/>
                <w:szCs w:val="24"/>
                <w:vertAlign w:val="subscript"/>
              </w:rPr>
              <w:t>1</w:t>
            </w:r>
            <w:r w:rsidRPr="00696176">
              <w:rPr>
                <w:rFonts w:ascii="Times New Roman" w:eastAsiaTheme="minorHAnsi" w:hAnsi="Times New Roman"/>
                <w:bCs/>
                <w:sz w:val="24"/>
                <w:szCs w:val="24"/>
              </w:rPr>
              <w:t> + 0.0053*X</w:t>
            </w:r>
            <w:r w:rsidRPr="00696176">
              <w:rPr>
                <w:rFonts w:ascii="Times New Roman" w:eastAsiaTheme="minorHAnsi" w:hAnsi="Times New Roman"/>
                <w:bCs/>
                <w:sz w:val="24"/>
                <w:szCs w:val="24"/>
                <w:vertAlign w:val="subscript"/>
              </w:rPr>
              <w:t>2</w:t>
            </w:r>
            <w:r w:rsidRPr="00696176">
              <w:rPr>
                <w:rFonts w:ascii="Times New Roman" w:eastAsiaTheme="minorHAnsi" w:hAnsi="Times New Roman"/>
                <w:bCs/>
                <w:sz w:val="24"/>
                <w:szCs w:val="24"/>
              </w:rPr>
              <w:t> – 6.6507*X</w:t>
            </w:r>
            <w:r w:rsidRPr="00696176">
              <w:rPr>
                <w:rFonts w:ascii="Times New Roman" w:eastAsiaTheme="minorHAnsi" w:hAnsi="Times New Roman"/>
                <w:bCs/>
                <w:sz w:val="24"/>
                <w:szCs w:val="24"/>
                <w:vertAlign w:val="subscript"/>
              </w:rPr>
              <w:t>3</w:t>
            </w:r>
            <w:r w:rsidRPr="00696176">
              <w:rPr>
                <w:rFonts w:ascii="Times New Roman" w:eastAsiaTheme="minorHAnsi" w:hAnsi="Times New Roman"/>
                <w:bCs/>
                <w:sz w:val="24"/>
                <w:szCs w:val="24"/>
              </w:rPr>
              <w:t> + 4.4009*X</w:t>
            </w:r>
            <w:r w:rsidRPr="00696176">
              <w:rPr>
                <w:rFonts w:ascii="Times New Roman" w:eastAsiaTheme="minorHAnsi" w:hAnsi="Times New Roman"/>
                <w:bCs/>
                <w:sz w:val="24"/>
                <w:szCs w:val="24"/>
                <w:vertAlign w:val="subscript"/>
              </w:rPr>
              <w:t>4</w:t>
            </w:r>
            <w:r w:rsidRPr="00696176">
              <w:rPr>
                <w:rFonts w:ascii="Times New Roman" w:eastAsiaTheme="minorHAnsi" w:hAnsi="Times New Roman"/>
                <w:bCs/>
                <w:sz w:val="24"/>
                <w:szCs w:val="24"/>
              </w:rPr>
              <w:t> – 0.0791*X</w:t>
            </w:r>
            <w:r w:rsidRPr="00696176">
              <w:rPr>
                <w:rFonts w:ascii="Times New Roman" w:eastAsiaTheme="minorHAnsi" w:hAnsi="Times New Roman"/>
                <w:bCs/>
                <w:sz w:val="24"/>
                <w:szCs w:val="24"/>
                <w:vertAlign w:val="subscript"/>
              </w:rPr>
              <w:t>5</w:t>
            </w:r>
            <w:r w:rsidRPr="00696176">
              <w:rPr>
                <w:rFonts w:ascii="Times New Roman" w:eastAsiaTheme="minorHAnsi" w:hAnsi="Times New Roman"/>
                <w:bCs/>
                <w:sz w:val="24"/>
                <w:szCs w:val="24"/>
              </w:rPr>
              <w:t> – 0.102*X</w:t>
            </w:r>
            <w:r w:rsidRPr="00696176">
              <w:rPr>
                <w:rFonts w:ascii="Times New Roman" w:eastAsiaTheme="minorHAnsi" w:hAnsi="Times New Roman"/>
                <w:bCs/>
                <w:sz w:val="24"/>
                <w:szCs w:val="24"/>
                <w:vertAlign w:val="subscript"/>
              </w:rPr>
              <w:t>6</w:t>
            </w:r>
          </w:p>
        </w:tc>
        <w:tc>
          <w:tcPr>
            <w:tcW w:w="974" w:type="dxa"/>
            <w:vAlign w:val="center"/>
          </w:tcPr>
          <w:p w:rsidR="00696176" w:rsidRPr="00696176" w:rsidRDefault="00696176" w:rsidP="00696176">
            <w:pPr>
              <w:spacing w:after="0" w:line="360" w:lineRule="auto"/>
              <w:jc w:val="center"/>
              <w:rPr>
                <w:rFonts w:ascii="Times New Roman" w:eastAsiaTheme="minorHAnsi" w:hAnsi="Times New Roman"/>
                <w:sz w:val="24"/>
                <w:szCs w:val="24"/>
              </w:rPr>
            </w:pPr>
            <w:r w:rsidRPr="00696176">
              <w:rPr>
                <w:rFonts w:ascii="Times New Roman" w:eastAsiaTheme="minorHAnsi" w:hAnsi="Times New Roman"/>
                <w:sz w:val="24"/>
                <w:szCs w:val="24"/>
              </w:rPr>
              <w:t>-18,31</w:t>
            </w:r>
          </w:p>
        </w:tc>
        <w:tc>
          <w:tcPr>
            <w:tcW w:w="1027" w:type="dxa"/>
            <w:vAlign w:val="center"/>
          </w:tcPr>
          <w:p w:rsidR="00696176" w:rsidRPr="00696176" w:rsidRDefault="00696176" w:rsidP="00696176">
            <w:pPr>
              <w:spacing w:after="0" w:line="360" w:lineRule="auto"/>
              <w:jc w:val="center"/>
              <w:rPr>
                <w:rFonts w:ascii="Times New Roman" w:eastAsiaTheme="minorHAnsi" w:hAnsi="Times New Roman"/>
                <w:sz w:val="24"/>
                <w:szCs w:val="24"/>
              </w:rPr>
            </w:pPr>
            <w:r w:rsidRPr="00696176">
              <w:rPr>
                <w:rFonts w:ascii="Times New Roman" w:eastAsiaTheme="minorHAnsi" w:hAnsi="Times New Roman"/>
                <w:sz w:val="24"/>
                <w:szCs w:val="24"/>
              </w:rPr>
              <w:t>-18,91</w:t>
            </w:r>
          </w:p>
        </w:tc>
        <w:tc>
          <w:tcPr>
            <w:tcW w:w="958" w:type="dxa"/>
            <w:vAlign w:val="center"/>
          </w:tcPr>
          <w:p w:rsidR="00696176" w:rsidRPr="00696176" w:rsidRDefault="00696176" w:rsidP="00696176">
            <w:pPr>
              <w:spacing w:after="0" w:line="360" w:lineRule="auto"/>
              <w:jc w:val="center"/>
              <w:rPr>
                <w:rFonts w:ascii="Times New Roman" w:eastAsiaTheme="minorHAnsi" w:hAnsi="Times New Roman"/>
                <w:sz w:val="24"/>
                <w:szCs w:val="24"/>
              </w:rPr>
            </w:pPr>
            <w:r w:rsidRPr="00696176">
              <w:rPr>
                <w:rFonts w:ascii="Times New Roman" w:eastAsiaTheme="minorHAnsi" w:hAnsi="Times New Roman"/>
                <w:sz w:val="24"/>
                <w:szCs w:val="24"/>
              </w:rPr>
              <w:t>-19,36</w:t>
            </w:r>
          </w:p>
        </w:tc>
      </w:tr>
    </w:tbl>
    <w:p w:rsidR="00696176" w:rsidRPr="00696176" w:rsidRDefault="00696176" w:rsidP="00696176">
      <w:pPr>
        <w:spacing w:after="0" w:line="360" w:lineRule="auto"/>
        <w:ind w:firstLine="709"/>
        <w:jc w:val="both"/>
        <w:rPr>
          <w:rFonts w:ascii="Times New Roman" w:eastAsiaTheme="minorHAnsi" w:hAnsi="Times New Roman"/>
          <w:sz w:val="24"/>
          <w:szCs w:val="24"/>
        </w:rPr>
      </w:pPr>
    </w:p>
    <w:p w:rsidR="00696176" w:rsidRPr="00696176" w:rsidRDefault="00696176" w:rsidP="00696176">
      <w:pPr>
        <w:widowControl w:val="0"/>
        <w:spacing w:after="0" w:line="360" w:lineRule="auto"/>
        <w:ind w:firstLine="709"/>
        <w:jc w:val="both"/>
        <w:rPr>
          <w:rFonts w:ascii="Times New Roman" w:eastAsia="Times New Roman" w:hAnsi="Times New Roman"/>
          <w:sz w:val="24"/>
          <w:szCs w:val="24"/>
          <w:lang w:eastAsia="ru-RU"/>
        </w:rPr>
      </w:pPr>
      <w:r w:rsidRPr="00696176">
        <w:rPr>
          <w:rFonts w:ascii="Times New Roman" w:eastAsia="Times New Roman" w:hAnsi="Times New Roman"/>
          <w:sz w:val="24"/>
          <w:szCs w:val="24"/>
          <w:lang w:eastAsia="ru-RU"/>
        </w:rPr>
        <w:lastRenderedPageBreak/>
        <w:t xml:space="preserve">Рассчитав указанные в таблице коэффициенты по модели </w:t>
      </w:r>
      <w:proofErr w:type="spellStart"/>
      <w:r w:rsidRPr="00696176">
        <w:rPr>
          <w:rFonts w:ascii="Times New Roman" w:eastAsia="Times New Roman" w:hAnsi="Times New Roman"/>
          <w:sz w:val="24"/>
          <w:szCs w:val="24"/>
          <w:lang w:eastAsia="ru-RU"/>
        </w:rPr>
        <w:t>Чессера</w:t>
      </w:r>
      <w:proofErr w:type="spellEnd"/>
      <w:r w:rsidRPr="00696176">
        <w:rPr>
          <w:rFonts w:ascii="Times New Roman" w:eastAsia="Times New Roman" w:hAnsi="Times New Roman"/>
          <w:sz w:val="24"/>
          <w:szCs w:val="24"/>
          <w:lang w:eastAsia="ru-RU"/>
        </w:rPr>
        <w:t xml:space="preserve">. Из расчета </w:t>
      </w:r>
      <w:r w:rsidRPr="00696176">
        <w:rPr>
          <w:rFonts w:ascii="Times New Roman" w:eastAsia="Times New Roman" w:hAnsi="Times New Roman"/>
          <w:sz w:val="24"/>
          <w:szCs w:val="24"/>
          <w:lang w:val="en-US" w:eastAsia="ru-RU"/>
        </w:rPr>
        <w:t>Z</w:t>
      </w:r>
      <w:r w:rsidRPr="00696176">
        <w:rPr>
          <w:rFonts w:ascii="Times New Roman" w:eastAsia="Times New Roman" w:hAnsi="Times New Roman"/>
          <w:sz w:val="24"/>
          <w:szCs w:val="24"/>
          <w:lang w:eastAsia="ru-RU"/>
        </w:rPr>
        <w:t xml:space="preserve"> получилось, что </w:t>
      </w:r>
      <w:r w:rsidRPr="00696176">
        <w:rPr>
          <w:rFonts w:ascii="Times New Roman" w:eastAsia="Times New Roman" w:hAnsi="Times New Roman"/>
          <w:sz w:val="24"/>
          <w:szCs w:val="24"/>
          <w:lang w:val="en-US" w:eastAsia="ru-RU"/>
        </w:rPr>
        <w:t>Z</w:t>
      </w:r>
      <w:r w:rsidRPr="00696176">
        <w:rPr>
          <w:rFonts w:ascii="Times New Roman" w:eastAsia="Times New Roman" w:hAnsi="Times New Roman"/>
          <w:sz w:val="24"/>
          <w:szCs w:val="24"/>
          <w:lang w:eastAsia="ru-RU"/>
        </w:rPr>
        <w:t>&lt;0,5, следовательно, финансовое положение у предприятия стабильное и риск банкротства невелик.</w:t>
      </w:r>
    </w:p>
    <w:p w:rsidR="00696176" w:rsidRPr="00696176" w:rsidRDefault="00696176" w:rsidP="00696176">
      <w:pPr>
        <w:widowControl w:val="0"/>
        <w:spacing w:after="0" w:line="360" w:lineRule="auto"/>
        <w:ind w:firstLine="709"/>
        <w:jc w:val="both"/>
        <w:rPr>
          <w:rFonts w:ascii="Times New Roman" w:eastAsia="Times New Roman" w:hAnsi="Times New Roman"/>
          <w:sz w:val="24"/>
          <w:szCs w:val="24"/>
          <w:lang w:eastAsia="ru-RU"/>
        </w:rPr>
      </w:pPr>
      <w:r w:rsidRPr="00696176">
        <w:rPr>
          <w:rFonts w:ascii="Times New Roman" w:eastAsia="Times New Roman" w:hAnsi="Times New Roman"/>
          <w:sz w:val="24"/>
          <w:szCs w:val="24"/>
          <w:lang w:eastAsia="ru-RU"/>
        </w:rPr>
        <w:t>Положительными факторами можно считать следующие:</w:t>
      </w:r>
    </w:p>
    <w:p w:rsidR="00696176" w:rsidRPr="00696176" w:rsidRDefault="00696176" w:rsidP="00696176">
      <w:pPr>
        <w:widowControl w:val="0"/>
        <w:spacing w:after="0" w:line="360" w:lineRule="auto"/>
        <w:ind w:firstLine="709"/>
        <w:jc w:val="both"/>
        <w:rPr>
          <w:rFonts w:ascii="Times New Roman" w:eastAsiaTheme="minorHAnsi" w:hAnsi="Times New Roman"/>
          <w:sz w:val="24"/>
          <w:szCs w:val="24"/>
        </w:rPr>
      </w:pPr>
      <w:r w:rsidRPr="00696176">
        <w:rPr>
          <w:rFonts w:ascii="Times New Roman" w:eastAsia="Times New Roman" w:hAnsi="Times New Roman"/>
          <w:sz w:val="24"/>
          <w:szCs w:val="24"/>
          <w:lang w:eastAsia="ru-RU"/>
        </w:rPr>
        <w:t xml:space="preserve">1) </w:t>
      </w:r>
      <w:r w:rsidRPr="00696176">
        <w:rPr>
          <w:rFonts w:ascii="Times New Roman" w:eastAsiaTheme="minorHAnsi" w:hAnsi="Times New Roman"/>
          <w:sz w:val="24"/>
          <w:szCs w:val="24"/>
        </w:rPr>
        <w:t xml:space="preserve">Стоимость имущества </w:t>
      </w:r>
      <w:r w:rsidRPr="00696176">
        <w:rPr>
          <w:rFonts w:ascii="Times New Roman" w:eastAsia="Times New Roman" w:hAnsi="Times New Roman"/>
          <w:sz w:val="24"/>
          <w:szCs w:val="24"/>
          <w:lang w:eastAsia="ru-RU"/>
        </w:rPr>
        <w:t>АО «</w:t>
      </w:r>
      <w:proofErr w:type="spellStart"/>
      <w:r w:rsidRPr="00696176">
        <w:rPr>
          <w:rFonts w:ascii="Times New Roman" w:eastAsia="Times New Roman" w:hAnsi="Times New Roman"/>
          <w:sz w:val="24"/>
          <w:szCs w:val="24"/>
          <w:lang w:eastAsia="ru-RU"/>
        </w:rPr>
        <w:t>Аэромар</w:t>
      </w:r>
      <w:proofErr w:type="spellEnd"/>
      <w:r w:rsidRPr="00696176">
        <w:rPr>
          <w:rFonts w:ascii="Times New Roman" w:eastAsia="Times New Roman" w:hAnsi="Times New Roman"/>
          <w:sz w:val="24"/>
          <w:szCs w:val="24"/>
          <w:lang w:eastAsia="ru-RU"/>
        </w:rPr>
        <w:t xml:space="preserve">» за 2015-2017гг </w:t>
      </w:r>
      <w:r w:rsidRPr="00696176">
        <w:rPr>
          <w:rFonts w:ascii="Times New Roman" w:eastAsiaTheme="minorHAnsi" w:hAnsi="Times New Roman"/>
          <w:sz w:val="24"/>
          <w:szCs w:val="24"/>
        </w:rPr>
        <w:t>увеличилась на 1887174 тыс.</w:t>
      </w:r>
      <w:r>
        <w:rPr>
          <w:rFonts w:ascii="Times New Roman" w:eastAsiaTheme="minorHAnsi" w:hAnsi="Times New Roman"/>
          <w:sz w:val="24"/>
          <w:szCs w:val="24"/>
        </w:rPr>
        <w:t xml:space="preserve"> </w:t>
      </w:r>
      <w:r w:rsidRPr="00696176">
        <w:rPr>
          <w:rFonts w:ascii="Times New Roman" w:eastAsiaTheme="minorHAnsi" w:hAnsi="Times New Roman"/>
          <w:sz w:val="24"/>
          <w:szCs w:val="24"/>
        </w:rPr>
        <w:t xml:space="preserve">руб. или на 35,8%, за счет увеличения стоимости основных фондов на 410624 тыс. руб. (69,63%) и за счет увеличения оборотных средств на 1421840  тыс. руб. (32,1%). Этот рост обусловлен запуском услуг по уборке и экипировке воздушных судов. </w:t>
      </w:r>
    </w:p>
    <w:p w:rsidR="00696176" w:rsidRPr="00696176" w:rsidRDefault="00696176" w:rsidP="00696176">
      <w:pPr>
        <w:widowControl w:val="0"/>
        <w:spacing w:after="0" w:line="360" w:lineRule="auto"/>
        <w:ind w:firstLine="709"/>
        <w:jc w:val="both"/>
        <w:rPr>
          <w:rFonts w:ascii="Times New Roman" w:eastAsiaTheme="minorHAnsi" w:hAnsi="Times New Roman"/>
          <w:sz w:val="24"/>
          <w:szCs w:val="24"/>
        </w:rPr>
      </w:pPr>
      <w:r w:rsidRPr="00696176">
        <w:rPr>
          <w:rFonts w:ascii="Times New Roman" w:eastAsia="Times New Roman" w:hAnsi="Times New Roman"/>
          <w:sz w:val="24"/>
          <w:szCs w:val="24"/>
          <w:lang w:eastAsia="ru-RU"/>
        </w:rPr>
        <w:t xml:space="preserve">2) </w:t>
      </w:r>
      <w:r w:rsidRPr="00696176">
        <w:rPr>
          <w:rFonts w:ascii="Times New Roman" w:eastAsiaTheme="minorHAnsi" w:hAnsi="Times New Roman"/>
          <w:sz w:val="24"/>
          <w:szCs w:val="24"/>
        </w:rPr>
        <w:t xml:space="preserve">выручка от продаж, товаров, услуг в 2017г по сравнению с 2015г увеличилась </w:t>
      </w:r>
      <w:proofErr w:type="gramStart"/>
      <w:r w:rsidRPr="00696176">
        <w:rPr>
          <w:rFonts w:ascii="Times New Roman" w:eastAsiaTheme="minorHAnsi" w:hAnsi="Times New Roman"/>
          <w:sz w:val="24"/>
          <w:szCs w:val="24"/>
        </w:rPr>
        <w:t>на  5460975</w:t>
      </w:r>
      <w:proofErr w:type="gramEnd"/>
      <w:r w:rsidRPr="00696176">
        <w:rPr>
          <w:rFonts w:ascii="Times New Roman" w:eastAsiaTheme="minorHAnsi" w:hAnsi="Times New Roman"/>
          <w:sz w:val="24"/>
          <w:szCs w:val="24"/>
        </w:rPr>
        <w:t xml:space="preserve"> тыс. руб. (38,9%), также увеличилась и себестоимость на 3384168 тыс. руб. (41,1%), в итоге чистая прибыль увеличилась  на 534058 тыс. руб. или на 58,7%</w:t>
      </w:r>
    </w:p>
    <w:p w:rsidR="00696176" w:rsidRPr="00696176" w:rsidRDefault="00696176" w:rsidP="00696176">
      <w:pPr>
        <w:spacing w:after="0" w:line="360" w:lineRule="auto"/>
        <w:ind w:firstLine="851"/>
        <w:jc w:val="both"/>
        <w:rPr>
          <w:rFonts w:ascii="Times New Roman" w:eastAsia="Times New Roman" w:hAnsi="Times New Roman"/>
          <w:sz w:val="24"/>
          <w:szCs w:val="24"/>
          <w:lang w:eastAsia="ru-RU"/>
        </w:rPr>
      </w:pPr>
      <w:r w:rsidRPr="00696176">
        <w:rPr>
          <w:rFonts w:ascii="Times New Roman" w:eastAsia="Times New Roman" w:hAnsi="Times New Roman"/>
          <w:sz w:val="24"/>
          <w:szCs w:val="24"/>
          <w:lang w:eastAsia="ru-RU"/>
        </w:rPr>
        <w:t xml:space="preserve">3) в 2015-2017гг </w:t>
      </w:r>
      <w:r w:rsidRPr="00696176">
        <w:rPr>
          <w:rFonts w:ascii="Times New Roman" w:eastAsiaTheme="minorHAnsi" w:hAnsi="Times New Roman"/>
          <w:sz w:val="24"/>
          <w:szCs w:val="24"/>
        </w:rPr>
        <w:t>финансовое положение у предприятия стабильное и риск банкротства невелик, это следует из расчета</w:t>
      </w:r>
      <w:r w:rsidRPr="00696176">
        <w:rPr>
          <w:rFonts w:ascii="Times New Roman" w:eastAsia="Times New Roman" w:hAnsi="Times New Roman"/>
          <w:sz w:val="24"/>
          <w:szCs w:val="24"/>
          <w:lang w:eastAsia="ru-RU"/>
        </w:rPr>
        <w:t xml:space="preserve"> </w:t>
      </w:r>
      <w:r w:rsidRPr="00696176">
        <w:rPr>
          <w:rFonts w:ascii="Times New Roman" w:eastAsiaTheme="minorHAnsi" w:hAnsi="Times New Roman"/>
          <w:sz w:val="24"/>
          <w:szCs w:val="24"/>
        </w:rPr>
        <w:t xml:space="preserve">вероятности банкротства </w:t>
      </w:r>
      <w:r w:rsidRPr="00696176">
        <w:rPr>
          <w:rFonts w:ascii="Times New Roman" w:eastAsia="Times New Roman" w:hAnsi="Times New Roman"/>
          <w:sz w:val="24"/>
          <w:szCs w:val="24"/>
          <w:lang w:eastAsia="ru-RU"/>
        </w:rPr>
        <w:t>АО «</w:t>
      </w:r>
      <w:proofErr w:type="spellStart"/>
      <w:r w:rsidRPr="00696176">
        <w:rPr>
          <w:rFonts w:ascii="Times New Roman" w:eastAsia="Times New Roman" w:hAnsi="Times New Roman"/>
          <w:sz w:val="24"/>
          <w:szCs w:val="24"/>
          <w:lang w:eastAsia="ru-RU"/>
        </w:rPr>
        <w:t>Аэромар</w:t>
      </w:r>
      <w:proofErr w:type="spellEnd"/>
      <w:r w:rsidRPr="00696176">
        <w:rPr>
          <w:rFonts w:ascii="Times New Roman" w:eastAsia="Times New Roman" w:hAnsi="Times New Roman"/>
          <w:sz w:val="24"/>
          <w:szCs w:val="24"/>
          <w:lang w:eastAsia="ru-RU"/>
        </w:rPr>
        <w:t xml:space="preserve">» </w:t>
      </w:r>
      <w:r w:rsidRPr="00696176">
        <w:rPr>
          <w:rFonts w:ascii="Times New Roman" w:eastAsiaTheme="minorHAnsi" w:hAnsi="Times New Roman"/>
          <w:sz w:val="24"/>
          <w:szCs w:val="24"/>
        </w:rPr>
        <w:t xml:space="preserve"> на основании модели </w:t>
      </w:r>
      <w:proofErr w:type="spellStart"/>
      <w:r w:rsidRPr="00696176">
        <w:rPr>
          <w:rFonts w:ascii="Times New Roman" w:eastAsiaTheme="minorHAnsi" w:hAnsi="Times New Roman"/>
          <w:sz w:val="24"/>
          <w:szCs w:val="24"/>
        </w:rPr>
        <w:t>Чессера</w:t>
      </w:r>
      <w:proofErr w:type="spellEnd"/>
      <w:r w:rsidRPr="00696176">
        <w:rPr>
          <w:rFonts w:ascii="Times New Roman" w:eastAsiaTheme="minorHAnsi" w:hAnsi="Times New Roman"/>
          <w:sz w:val="24"/>
          <w:szCs w:val="24"/>
        </w:rPr>
        <w:t xml:space="preserve">, так как на протяжении 2015-2017гг </w:t>
      </w:r>
      <w:r w:rsidRPr="00696176">
        <w:rPr>
          <w:rFonts w:asciiTheme="minorHAnsi" w:eastAsiaTheme="minorHAnsi" w:hAnsiTheme="minorHAnsi" w:cstheme="minorBidi"/>
          <w:sz w:val="24"/>
          <w:szCs w:val="24"/>
          <w:lang w:val="en-US"/>
        </w:rPr>
        <w:t>Z</w:t>
      </w:r>
      <w:r w:rsidRPr="00696176">
        <w:rPr>
          <w:rFonts w:ascii="Arial" w:eastAsiaTheme="minorHAnsi" w:hAnsi="Arial" w:cs="Arial"/>
          <w:sz w:val="24"/>
          <w:szCs w:val="24"/>
        </w:rPr>
        <w:t>&lt;0,5</w:t>
      </w:r>
      <w:r w:rsidRPr="00696176">
        <w:rPr>
          <w:rFonts w:ascii="Times New Roman" w:eastAsia="Times New Roman" w:hAnsi="Times New Roman"/>
          <w:sz w:val="24"/>
          <w:szCs w:val="24"/>
          <w:lang w:eastAsia="ru-RU"/>
        </w:rPr>
        <w:t>, что положительно характеризует общество.</w:t>
      </w:r>
    </w:p>
    <w:p w:rsidR="00696176" w:rsidRPr="00696176" w:rsidRDefault="00696176" w:rsidP="00696176">
      <w:pPr>
        <w:spacing w:after="0" w:line="360" w:lineRule="auto"/>
        <w:ind w:firstLine="851"/>
        <w:jc w:val="both"/>
        <w:rPr>
          <w:rFonts w:ascii="Times New Roman" w:eastAsia="Times New Roman" w:hAnsi="Times New Roman"/>
          <w:sz w:val="24"/>
          <w:szCs w:val="24"/>
          <w:lang w:eastAsia="ru-RU"/>
        </w:rPr>
      </w:pPr>
      <w:r w:rsidRPr="00696176">
        <w:rPr>
          <w:rFonts w:ascii="Times New Roman" w:eastAsia="Times New Roman" w:hAnsi="Times New Roman"/>
          <w:sz w:val="24"/>
          <w:szCs w:val="24"/>
          <w:lang w:eastAsia="ru-RU"/>
        </w:rPr>
        <w:t>Отрицательными факторами являются:</w:t>
      </w:r>
    </w:p>
    <w:p w:rsidR="00696176" w:rsidRPr="00696176" w:rsidRDefault="00696176" w:rsidP="00696176">
      <w:pPr>
        <w:spacing w:after="0" w:line="360" w:lineRule="auto"/>
        <w:ind w:firstLine="851"/>
        <w:jc w:val="both"/>
        <w:rPr>
          <w:rFonts w:ascii="Times New Roman" w:eastAsia="Times New Roman" w:hAnsi="Times New Roman"/>
          <w:sz w:val="24"/>
          <w:szCs w:val="24"/>
          <w:lang w:eastAsia="ru-RU"/>
        </w:rPr>
      </w:pPr>
      <w:r w:rsidRPr="00696176">
        <w:rPr>
          <w:rFonts w:ascii="Times New Roman" w:eastAsia="Times New Roman" w:hAnsi="Times New Roman"/>
          <w:sz w:val="24"/>
          <w:szCs w:val="24"/>
          <w:lang w:eastAsia="ru-RU"/>
        </w:rPr>
        <w:t>1) наибольший рост за анализируемый период наблюдается по показателю дебиторской задолженности: в 2017 г. ее сумма увеличилась на 641181 тыс. руб., что составило 30,36% от показателя 2015 г.;</w:t>
      </w:r>
    </w:p>
    <w:p w:rsidR="00696176" w:rsidRPr="00696176" w:rsidRDefault="00696176" w:rsidP="00696176">
      <w:pPr>
        <w:spacing w:after="0" w:line="360" w:lineRule="auto"/>
        <w:ind w:firstLine="851"/>
        <w:jc w:val="both"/>
        <w:rPr>
          <w:rFonts w:ascii="Times New Roman" w:eastAsia="Times New Roman" w:hAnsi="Times New Roman"/>
          <w:sz w:val="24"/>
          <w:szCs w:val="24"/>
          <w:lang w:eastAsia="ru-RU"/>
        </w:rPr>
      </w:pPr>
      <w:r w:rsidRPr="00696176">
        <w:rPr>
          <w:rFonts w:ascii="Times New Roman" w:eastAsia="Times New Roman" w:hAnsi="Times New Roman"/>
          <w:sz w:val="24"/>
          <w:szCs w:val="24"/>
          <w:lang w:eastAsia="ru-RU"/>
        </w:rPr>
        <w:t>2) наблюдается снижение рентабельности  собственного капитала, так в 2016г оно составило 29%, но, несмотря на, повышение до 37% в 2017г показатель все равно ниже 2015г;</w:t>
      </w:r>
    </w:p>
    <w:p w:rsidR="00696176" w:rsidRPr="00696176" w:rsidRDefault="00696176" w:rsidP="00696176">
      <w:pPr>
        <w:spacing w:after="0" w:line="360" w:lineRule="auto"/>
        <w:ind w:firstLine="851"/>
        <w:jc w:val="both"/>
        <w:rPr>
          <w:rFonts w:ascii="Times New Roman" w:eastAsia="Times New Roman" w:hAnsi="Times New Roman"/>
          <w:sz w:val="24"/>
          <w:szCs w:val="24"/>
          <w:lang w:eastAsia="ru-RU"/>
        </w:rPr>
      </w:pPr>
      <w:r w:rsidRPr="00696176">
        <w:rPr>
          <w:rFonts w:ascii="Times New Roman" w:eastAsia="Times New Roman" w:hAnsi="Times New Roman"/>
          <w:sz w:val="24"/>
          <w:szCs w:val="24"/>
          <w:lang w:eastAsia="ru-RU"/>
        </w:rPr>
        <w:t>3) на предприятии сильно увеличилась стоимость основных средств, прирост составил 410624 тыс.</w:t>
      </w:r>
      <w:r>
        <w:rPr>
          <w:rFonts w:ascii="Times New Roman" w:eastAsia="Times New Roman" w:hAnsi="Times New Roman"/>
          <w:sz w:val="24"/>
          <w:szCs w:val="24"/>
          <w:lang w:eastAsia="ru-RU"/>
        </w:rPr>
        <w:t xml:space="preserve"> </w:t>
      </w:r>
      <w:r w:rsidRPr="00696176">
        <w:rPr>
          <w:rFonts w:ascii="Times New Roman" w:eastAsia="Times New Roman" w:hAnsi="Times New Roman"/>
          <w:sz w:val="24"/>
          <w:szCs w:val="24"/>
          <w:lang w:eastAsia="ru-RU"/>
        </w:rPr>
        <w:t>руб. в 2017г по сравнению с 2015г или 69,63%, прирост основных средств обусловил необходимость увеличения запасов предприятия: в 2016 г. их стоимость увеличилась почти на 18,3% (на 291154 тыс. руб.).</w:t>
      </w:r>
    </w:p>
    <w:p w:rsidR="00696176" w:rsidRPr="00696176" w:rsidRDefault="00696176" w:rsidP="00696176">
      <w:pPr>
        <w:spacing w:after="0" w:line="360" w:lineRule="auto"/>
        <w:ind w:firstLine="851"/>
        <w:jc w:val="both"/>
        <w:rPr>
          <w:rFonts w:ascii="Times New Roman" w:eastAsiaTheme="minorHAnsi" w:hAnsi="Times New Roman"/>
          <w:sz w:val="24"/>
          <w:szCs w:val="24"/>
        </w:rPr>
      </w:pPr>
    </w:p>
    <w:p w:rsidR="00696176" w:rsidRDefault="00696176" w:rsidP="0092753F">
      <w:pPr>
        <w:spacing w:after="0" w:line="360" w:lineRule="auto"/>
        <w:ind w:firstLine="851"/>
        <w:jc w:val="both"/>
        <w:rPr>
          <w:rFonts w:ascii="Times New Roman" w:eastAsia="Times New Roman" w:hAnsi="Times New Roman" w:cstheme="minorBidi"/>
          <w:sz w:val="24"/>
          <w:szCs w:val="24"/>
          <w:lang w:eastAsia="ru-RU"/>
        </w:rPr>
      </w:pPr>
      <w:r w:rsidRPr="00696176">
        <w:rPr>
          <w:rFonts w:ascii="Times New Roman" w:eastAsiaTheme="minorHAnsi" w:hAnsi="Times New Roman"/>
          <w:sz w:val="24"/>
          <w:szCs w:val="24"/>
        </w:rPr>
        <w:t xml:space="preserve">Проведенные исследования </w:t>
      </w:r>
      <w:r w:rsidRPr="00696176">
        <w:rPr>
          <w:rFonts w:ascii="Times New Roman" w:eastAsia="Times New Roman" w:hAnsi="Times New Roman"/>
          <w:sz w:val="24"/>
          <w:szCs w:val="24"/>
          <w:lang w:eastAsia="ru-RU"/>
        </w:rPr>
        <w:t>обеспечения экономической безопасности АО «</w:t>
      </w:r>
      <w:proofErr w:type="spellStart"/>
      <w:r w:rsidRPr="00696176">
        <w:rPr>
          <w:rFonts w:ascii="Times New Roman" w:eastAsia="Times New Roman" w:hAnsi="Times New Roman"/>
          <w:sz w:val="24"/>
          <w:szCs w:val="24"/>
          <w:lang w:eastAsia="ru-RU"/>
        </w:rPr>
        <w:t>Аэромар</w:t>
      </w:r>
      <w:proofErr w:type="spellEnd"/>
      <w:r w:rsidRPr="00696176">
        <w:rPr>
          <w:rFonts w:ascii="Times New Roman" w:eastAsia="Times New Roman" w:hAnsi="Times New Roman"/>
          <w:sz w:val="24"/>
          <w:szCs w:val="24"/>
          <w:lang w:eastAsia="ru-RU"/>
        </w:rPr>
        <w:t xml:space="preserve">» </w:t>
      </w:r>
      <w:r w:rsidRPr="00696176">
        <w:rPr>
          <w:rFonts w:ascii="Times New Roman" w:eastAsia="Times New Roman" w:hAnsi="Times New Roman" w:cstheme="minorBidi"/>
          <w:sz w:val="24"/>
          <w:szCs w:val="24"/>
          <w:lang w:eastAsia="ru-RU"/>
        </w:rPr>
        <w:t>показали, что пред</w:t>
      </w:r>
      <w:r w:rsidR="0092753F">
        <w:rPr>
          <w:rFonts w:ascii="Times New Roman" w:eastAsia="Times New Roman" w:hAnsi="Times New Roman" w:cstheme="minorBidi"/>
          <w:sz w:val="24"/>
          <w:szCs w:val="24"/>
          <w:lang w:eastAsia="ru-RU"/>
        </w:rPr>
        <w:t xml:space="preserve">приятие находится в </w:t>
      </w:r>
      <w:r w:rsidRPr="00696176">
        <w:rPr>
          <w:rFonts w:ascii="Times New Roman" w:eastAsia="Times New Roman" w:hAnsi="Times New Roman" w:cstheme="minorBidi"/>
          <w:sz w:val="24"/>
          <w:szCs w:val="24"/>
          <w:lang w:eastAsia="ru-RU"/>
        </w:rPr>
        <w:t xml:space="preserve"> стабильном и безопасном состоянии. </w:t>
      </w:r>
    </w:p>
    <w:p w:rsidR="0092753F" w:rsidRDefault="0092753F" w:rsidP="0092753F">
      <w:pPr>
        <w:spacing w:after="0" w:line="360" w:lineRule="auto"/>
        <w:ind w:firstLine="851"/>
        <w:jc w:val="both"/>
        <w:rPr>
          <w:rFonts w:ascii="Times New Roman" w:eastAsia="Times New Roman" w:hAnsi="Times New Roman" w:cstheme="minorBidi"/>
          <w:sz w:val="24"/>
          <w:szCs w:val="24"/>
          <w:lang w:eastAsia="ru-RU"/>
        </w:rPr>
      </w:pPr>
    </w:p>
    <w:p w:rsidR="0092753F" w:rsidRPr="00696176" w:rsidRDefault="0092753F" w:rsidP="0092753F">
      <w:pPr>
        <w:spacing w:after="0" w:line="360" w:lineRule="auto"/>
        <w:ind w:firstLine="851"/>
        <w:jc w:val="both"/>
        <w:rPr>
          <w:rFonts w:ascii="Times New Roman" w:eastAsia="Times New Roman" w:hAnsi="Times New Roman" w:cstheme="minorBidi"/>
          <w:sz w:val="24"/>
          <w:szCs w:val="24"/>
          <w:lang w:eastAsia="ru-RU"/>
        </w:rPr>
      </w:pPr>
    </w:p>
    <w:p w:rsidR="00696176" w:rsidRPr="00696176" w:rsidRDefault="00696176" w:rsidP="00696176">
      <w:pPr>
        <w:keepNext/>
        <w:spacing w:before="240" w:after="60" w:line="360" w:lineRule="auto"/>
        <w:jc w:val="center"/>
        <w:outlineLvl w:val="0"/>
        <w:rPr>
          <w:rFonts w:ascii="Times New Roman" w:eastAsia="Times New Roman" w:hAnsi="Times New Roman"/>
          <w:b/>
          <w:bCs/>
          <w:kern w:val="32"/>
          <w:sz w:val="24"/>
          <w:szCs w:val="24"/>
          <w:lang w:eastAsia="ru-RU"/>
        </w:rPr>
      </w:pPr>
      <w:bookmarkStart w:id="11" w:name="_Toc504647115"/>
      <w:bookmarkStart w:id="12" w:name="_Toc1726966"/>
      <w:r w:rsidRPr="00696176">
        <w:rPr>
          <w:rFonts w:ascii="Times New Roman" w:eastAsia="Times New Roman" w:hAnsi="Times New Roman"/>
          <w:b/>
          <w:bCs/>
          <w:kern w:val="32"/>
          <w:sz w:val="24"/>
          <w:szCs w:val="24"/>
          <w:lang w:eastAsia="ru-RU"/>
        </w:rPr>
        <w:lastRenderedPageBreak/>
        <w:t>Библиографический список</w:t>
      </w:r>
      <w:bookmarkEnd w:id="11"/>
      <w:bookmarkEnd w:id="12"/>
    </w:p>
    <w:p w:rsidR="00696176" w:rsidRPr="00696176" w:rsidRDefault="00696176" w:rsidP="00696176">
      <w:pPr>
        <w:numPr>
          <w:ilvl w:val="0"/>
          <w:numId w:val="4"/>
        </w:numPr>
        <w:tabs>
          <w:tab w:val="left" w:pos="1134"/>
        </w:tabs>
        <w:spacing w:after="0" w:line="360" w:lineRule="auto"/>
        <w:ind w:left="0" w:firstLine="709"/>
        <w:contextualSpacing/>
        <w:jc w:val="both"/>
        <w:rPr>
          <w:rFonts w:ascii="Times New Roman" w:eastAsiaTheme="minorHAnsi" w:hAnsi="Times New Roman"/>
          <w:sz w:val="24"/>
          <w:szCs w:val="24"/>
          <w:lang w:eastAsia="ru-RU"/>
        </w:rPr>
      </w:pPr>
      <w:r w:rsidRPr="00696176">
        <w:rPr>
          <w:rFonts w:ascii="Times New Roman" w:eastAsiaTheme="minorHAnsi" w:hAnsi="Times New Roman"/>
          <w:sz w:val="24"/>
          <w:szCs w:val="24"/>
          <w:lang w:eastAsia="ru-RU"/>
        </w:rPr>
        <w:t>Конституция Российской Федерации (принята всенародным голосованием 12.12.1993) //  СПС Гарант. - [Электронный ресурс]. – Режим доступа: http://constitution.garant.ru/</w:t>
      </w:r>
    </w:p>
    <w:p w:rsidR="00696176" w:rsidRPr="00696176" w:rsidRDefault="00696176" w:rsidP="00696176">
      <w:pPr>
        <w:widowControl w:val="0"/>
        <w:numPr>
          <w:ilvl w:val="0"/>
          <w:numId w:val="4"/>
        </w:numPr>
        <w:tabs>
          <w:tab w:val="left" w:pos="993"/>
          <w:tab w:val="left" w:pos="1134"/>
        </w:tabs>
        <w:spacing w:after="0" w:line="360" w:lineRule="auto"/>
        <w:ind w:left="0" w:firstLine="709"/>
        <w:contextualSpacing/>
        <w:jc w:val="both"/>
        <w:rPr>
          <w:rFonts w:ascii="Times New Roman" w:eastAsiaTheme="minorHAnsi" w:hAnsi="Times New Roman"/>
          <w:sz w:val="24"/>
          <w:szCs w:val="24"/>
        </w:rPr>
      </w:pPr>
      <w:r w:rsidRPr="00696176">
        <w:rPr>
          <w:rFonts w:ascii="Times New Roman" w:eastAsiaTheme="minorHAnsi" w:hAnsi="Times New Roman"/>
          <w:sz w:val="24"/>
          <w:szCs w:val="24"/>
        </w:rPr>
        <w:t xml:space="preserve"> Федеральный закон от 08.08.2001 № 129-ФЗ «О государственной регистрации юридических лиц и индивидуальных предпринимателей»// Российская газета от 10.08.2001г. №153</w:t>
      </w:r>
    </w:p>
    <w:p w:rsidR="00696176" w:rsidRPr="00696176" w:rsidRDefault="00696176" w:rsidP="00696176">
      <w:pPr>
        <w:widowControl w:val="0"/>
        <w:numPr>
          <w:ilvl w:val="0"/>
          <w:numId w:val="4"/>
        </w:numPr>
        <w:tabs>
          <w:tab w:val="left" w:pos="993"/>
          <w:tab w:val="left" w:pos="1134"/>
        </w:tabs>
        <w:spacing w:after="0" w:line="360" w:lineRule="auto"/>
        <w:ind w:left="0" w:firstLine="709"/>
        <w:contextualSpacing/>
        <w:jc w:val="both"/>
        <w:rPr>
          <w:rFonts w:ascii="Times New Roman" w:eastAsiaTheme="minorHAnsi" w:hAnsi="Times New Roman"/>
          <w:sz w:val="24"/>
          <w:szCs w:val="24"/>
        </w:rPr>
      </w:pPr>
      <w:r w:rsidRPr="00696176">
        <w:rPr>
          <w:rFonts w:ascii="Times New Roman" w:eastAsiaTheme="minorHAnsi" w:hAnsi="Times New Roman"/>
          <w:sz w:val="24"/>
          <w:szCs w:val="24"/>
        </w:rPr>
        <w:t xml:space="preserve"> Федеральный закон от 26.07.2006 №135-ФЗ «О защите конкуренции» // </w:t>
      </w:r>
      <w:r w:rsidRPr="00696176">
        <w:rPr>
          <w:rFonts w:ascii="Times New Roman" w:eastAsiaTheme="minorHAnsi" w:hAnsi="Times New Roman"/>
          <w:sz w:val="24"/>
          <w:szCs w:val="24"/>
          <w:lang w:eastAsia="ru-RU"/>
        </w:rPr>
        <w:t xml:space="preserve"> Парламентская газета  от 3.08.2006г. №126-127</w:t>
      </w:r>
    </w:p>
    <w:p w:rsidR="00696176" w:rsidRPr="00696176" w:rsidRDefault="00696176" w:rsidP="00696176">
      <w:pPr>
        <w:widowControl w:val="0"/>
        <w:numPr>
          <w:ilvl w:val="0"/>
          <w:numId w:val="4"/>
        </w:numPr>
        <w:tabs>
          <w:tab w:val="left" w:pos="1134"/>
        </w:tabs>
        <w:spacing w:after="0" w:line="360" w:lineRule="auto"/>
        <w:ind w:left="0" w:firstLine="709"/>
        <w:contextualSpacing/>
        <w:jc w:val="both"/>
        <w:rPr>
          <w:rFonts w:ascii="Times New Roman" w:eastAsiaTheme="minorHAnsi" w:hAnsi="Times New Roman"/>
          <w:sz w:val="24"/>
          <w:szCs w:val="24"/>
        </w:rPr>
      </w:pPr>
      <w:r w:rsidRPr="00696176">
        <w:rPr>
          <w:rFonts w:ascii="Times New Roman" w:eastAsiaTheme="minorHAnsi" w:hAnsi="Times New Roman"/>
          <w:sz w:val="24"/>
          <w:szCs w:val="24"/>
        </w:rPr>
        <w:t xml:space="preserve">Федеральный закон от 17.08.1995 №147-ФЗ «О естественных монополиях: федеральный закон от» // </w:t>
      </w:r>
      <w:r w:rsidRPr="00696176">
        <w:rPr>
          <w:rFonts w:ascii="Times New Roman" w:eastAsiaTheme="minorHAnsi" w:hAnsi="Times New Roman"/>
          <w:sz w:val="24"/>
          <w:szCs w:val="24"/>
          <w:lang w:eastAsia="ru-RU"/>
        </w:rPr>
        <w:t>Российская газета от 24.08.1995г. №164</w:t>
      </w:r>
    </w:p>
    <w:p w:rsidR="00696176" w:rsidRPr="00696176" w:rsidRDefault="00696176" w:rsidP="00696176">
      <w:pPr>
        <w:widowControl w:val="0"/>
        <w:numPr>
          <w:ilvl w:val="0"/>
          <w:numId w:val="4"/>
        </w:numPr>
        <w:tabs>
          <w:tab w:val="left" w:pos="1134"/>
        </w:tabs>
        <w:spacing w:after="0" w:line="360" w:lineRule="auto"/>
        <w:ind w:left="0" w:firstLine="709"/>
        <w:contextualSpacing/>
        <w:jc w:val="both"/>
        <w:rPr>
          <w:rFonts w:ascii="Times New Roman" w:eastAsiaTheme="minorHAnsi" w:hAnsi="Times New Roman"/>
          <w:sz w:val="24"/>
          <w:szCs w:val="24"/>
        </w:rPr>
      </w:pPr>
      <w:r w:rsidRPr="00696176">
        <w:rPr>
          <w:rFonts w:ascii="Times New Roman" w:eastAsiaTheme="minorHAnsi" w:hAnsi="Times New Roman"/>
          <w:sz w:val="24"/>
          <w:szCs w:val="24"/>
        </w:rPr>
        <w:t>Федеральный закон от 29.07.2004 №98-ФЗ «О коммерческой тайне»// «Российская газета» от 5.08.2004г. №166</w:t>
      </w:r>
    </w:p>
    <w:p w:rsidR="00696176" w:rsidRPr="00696176" w:rsidRDefault="00696176" w:rsidP="00696176">
      <w:pPr>
        <w:numPr>
          <w:ilvl w:val="0"/>
          <w:numId w:val="4"/>
        </w:numPr>
        <w:tabs>
          <w:tab w:val="left" w:pos="1134"/>
        </w:tabs>
        <w:spacing w:after="0" w:line="360" w:lineRule="auto"/>
        <w:ind w:left="0" w:firstLine="709"/>
        <w:jc w:val="both"/>
        <w:rPr>
          <w:rFonts w:ascii="Times New Roman" w:eastAsiaTheme="minorHAnsi" w:hAnsi="Times New Roman"/>
          <w:sz w:val="24"/>
          <w:szCs w:val="24"/>
        </w:rPr>
      </w:pPr>
      <w:r w:rsidRPr="00696176">
        <w:rPr>
          <w:rFonts w:ascii="Times New Roman" w:eastAsiaTheme="minorHAnsi" w:hAnsi="Times New Roman"/>
          <w:sz w:val="24"/>
          <w:szCs w:val="24"/>
        </w:rPr>
        <w:t xml:space="preserve">Устав </w:t>
      </w:r>
      <w:r w:rsidRPr="00696176">
        <w:rPr>
          <w:rFonts w:ascii="Times New Roman" w:eastAsia="Times New Roman" w:hAnsi="Times New Roman"/>
          <w:sz w:val="24"/>
          <w:szCs w:val="24"/>
          <w:lang w:eastAsia="ru-RU"/>
        </w:rPr>
        <w:t>АО «</w:t>
      </w:r>
      <w:proofErr w:type="spellStart"/>
      <w:r w:rsidRPr="00696176">
        <w:rPr>
          <w:rFonts w:ascii="Times New Roman" w:eastAsia="Times New Roman" w:hAnsi="Times New Roman"/>
          <w:sz w:val="24"/>
          <w:szCs w:val="24"/>
          <w:lang w:eastAsia="ru-RU"/>
        </w:rPr>
        <w:t>Аэромар</w:t>
      </w:r>
      <w:proofErr w:type="spellEnd"/>
      <w:r w:rsidRPr="00696176">
        <w:rPr>
          <w:rFonts w:ascii="Times New Roman" w:eastAsia="Times New Roman" w:hAnsi="Times New Roman"/>
          <w:sz w:val="24"/>
          <w:szCs w:val="24"/>
          <w:lang w:eastAsia="ru-RU"/>
        </w:rPr>
        <w:t xml:space="preserve">». </w:t>
      </w:r>
      <w:r w:rsidRPr="00696176">
        <w:rPr>
          <w:rFonts w:ascii="Times New Roman" w:eastAsiaTheme="minorHAnsi" w:hAnsi="Times New Roman"/>
          <w:sz w:val="24"/>
          <w:szCs w:val="24"/>
        </w:rPr>
        <w:t>– Химки., 2014. – 47 с.</w:t>
      </w:r>
    </w:p>
    <w:p w:rsidR="00696176" w:rsidRPr="00696176" w:rsidRDefault="00696176" w:rsidP="00696176">
      <w:pPr>
        <w:numPr>
          <w:ilvl w:val="0"/>
          <w:numId w:val="4"/>
        </w:numPr>
        <w:tabs>
          <w:tab w:val="left" w:pos="0"/>
          <w:tab w:val="left" w:pos="1134"/>
        </w:tabs>
        <w:spacing w:after="0" w:line="360" w:lineRule="auto"/>
        <w:ind w:left="0" w:firstLine="709"/>
        <w:jc w:val="both"/>
        <w:rPr>
          <w:rFonts w:ascii="Times New Roman" w:eastAsiaTheme="minorHAnsi" w:hAnsi="Times New Roman"/>
          <w:sz w:val="24"/>
          <w:szCs w:val="24"/>
        </w:rPr>
      </w:pPr>
      <w:r w:rsidRPr="00696176">
        <w:rPr>
          <w:rFonts w:ascii="Times New Roman" w:eastAsiaTheme="minorHAnsi" w:hAnsi="Times New Roman"/>
          <w:sz w:val="24"/>
          <w:szCs w:val="24"/>
        </w:rPr>
        <w:t xml:space="preserve">Данные первичного учёта и отчётности </w:t>
      </w:r>
      <w:r w:rsidRPr="00696176">
        <w:rPr>
          <w:rFonts w:ascii="Times New Roman" w:eastAsia="Times New Roman" w:hAnsi="Times New Roman"/>
          <w:sz w:val="24"/>
          <w:szCs w:val="24"/>
          <w:lang w:eastAsia="ru-RU"/>
        </w:rPr>
        <w:t>АО «</w:t>
      </w:r>
      <w:proofErr w:type="spellStart"/>
      <w:r w:rsidRPr="00696176">
        <w:rPr>
          <w:rFonts w:ascii="Times New Roman" w:eastAsia="Times New Roman" w:hAnsi="Times New Roman"/>
          <w:sz w:val="24"/>
          <w:szCs w:val="24"/>
          <w:lang w:eastAsia="ru-RU"/>
        </w:rPr>
        <w:t>Аэромар</w:t>
      </w:r>
      <w:proofErr w:type="spellEnd"/>
      <w:r w:rsidRPr="00696176">
        <w:rPr>
          <w:rFonts w:ascii="Times New Roman" w:eastAsia="Times New Roman" w:hAnsi="Times New Roman"/>
          <w:sz w:val="24"/>
          <w:szCs w:val="24"/>
          <w:lang w:eastAsia="ru-RU"/>
        </w:rPr>
        <w:t>»</w:t>
      </w:r>
      <w:r w:rsidRPr="00696176">
        <w:rPr>
          <w:rFonts w:ascii="Times New Roman" w:eastAsiaTheme="minorHAnsi" w:hAnsi="Times New Roman"/>
          <w:sz w:val="24"/>
          <w:szCs w:val="24"/>
        </w:rPr>
        <w:t>/ Электронный ресурс]: Официальный сайт компании «</w:t>
      </w:r>
      <w:r w:rsidRPr="00696176">
        <w:rPr>
          <w:rFonts w:ascii="Times New Roman" w:eastAsiaTheme="minorHAnsi" w:hAnsi="Times New Roman"/>
          <w:sz w:val="24"/>
          <w:szCs w:val="24"/>
          <w:lang w:val="en-US"/>
        </w:rPr>
        <w:t>Audit</w:t>
      </w:r>
      <w:r w:rsidRPr="00696176">
        <w:rPr>
          <w:rFonts w:ascii="Times New Roman" w:eastAsiaTheme="minorHAnsi" w:hAnsi="Times New Roman"/>
          <w:sz w:val="24"/>
          <w:szCs w:val="24"/>
        </w:rPr>
        <w:t>-</w:t>
      </w:r>
      <w:r w:rsidRPr="00696176">
        <w:rPr>
          <w:rFonts w:ascii="Times New Roman" w:eastAsiaTheme="minorHAnsi" w:hAnsi="Times New Roman"/>
          <w:sz w:val="24"/>
          <w:szCs w:val="24"/>
          <w:lang w:val="en-US"/>
        </w:rPr>
        <w:t>IT</w:t>
      </w:r>
      <w:r w:rsidRPr="00696176">
        <w:rPr>
          <w:rFonts w:ascii="Times New Roman" w:eastAsiaTheme="minorHAnsi" w:hAnsi="Times New Roman"/>
          <w:sz w:val="24"/>
          <w:szCs w:val="24"/>
        </w:rPr>
        <w:t>» - Режим доступа: https://www.audit-it.ru/buh_otchet/7712045131_zao-aeromar</w:t>
      </w:r>
    </w:p>
    <w:p w:rsidR="00696176" w:rsidRPr="00696176" w:rsidRDefault="00696176" w:rsidP="00696176">
      <w:pPr>
        <w:widowControl w:val="0"/>
        <w:numPr>
          <w:ilvl w:val="0"/>
          <w:numId w:val="4"/>
        </w:numPr>
        <w:tabs>
          <w:tab w:val="left" w:pos="1134"/>
        </w:tabs>
        <w:spacing w:after="0" w:line="360" w:lineRule="auto"/>
        <w:ind w:left="0" w:firstLine="709"/>
        <w:contextualSpacing/>
        <w:jc w:val="both"/>
        <w:rPr>
          <w:rFonts w:ascii="Times New Roman" w:eastAsiaTheme="minorHAnsi" w:hAnsi="Times New Roman"/>
          <w:sz w:val="24"/>
          <w:szCs w:val="24"/>
        </w:rPr>
      </w:pPr>
      <w:r w:rsidRPr="00696176">
        <w:rPr>
          <w:rFonts w:ascii="Times New Roman" w:eastAsiaTheme="minorHAnsi" w:hAnsi="Times New Roman"/>
          <w:sz w:val="24"/>
          <w:szCs w:val="24"/>
        </w:rPr>
        <w:t xml:space="preserve">Абалкин Л.И. Экономическая безопасность. СПб.: Вектор, 2017. </w:t>
      </w:r>
      <w:r w:rsidRPr="00696176">
        <w:rPr>
          <w:rFonts w:ascii="Times New Roman" w:eastAsiaTheme="minorHAnsi" w:hAnsi="Times New Roman"/>
          <w:sz w:val="24"/>
          <w:szCs w:val="24"/>
          <w:lang w:val="en-US"/>
        </w:rPr>
        <w:t xml:space="preserve"> </w:t>
      </w:r>
    </w:p>
    <w:p w:rsidR="00696176" w:rsidRPr="00696176" w:rsidRDefault="00696176" w:rsidP="00696176">
      <w:pPr>
        <w:widowControl w:val="0"/>
        <w:numPr>
          <w:ilvl w:val="0"/>
          <w:numId w:val="4"/>
        </w:numPr>
        <w:tabs>
          <w:tab w:val="left" w:pos="1134"/>
        </w:tabs>
        <w:spacing w:after="0" w:line="360" w:lineRule="auto"/>
        <w:ind w:left="0" w:firstLine="709"/>
        <w:contextualSpacing/>
        <w:jc w:val="both"/>
        <w:rPr>
          <w:rFonts w:ascii="Times New Roman" w:eastAsiaTheme="minorHAnsi" w:hAnsi="Times New Roman"/>
          <w:sz w:val="24"/>
          <w:szCs w:val="24"/>
        </w:rPr>
      </w:pPr>
      <w:r w:rsidRPr="00696176">
        <w:rPr>
          <w:rFonts w:ascii="Times New Roman" w:eastAsiaTheme="minorHAnsi" w:hAnsi="Times New Roman"/>
          <w:sz w:val="24"/>
          <w:szCs w:val="24"/>
        </w:rPr>
        <w:t xml:space="preserve">Богомолов В.А. Экономическая безопасность. М., 2014. </w:t>
      </w:r>
      <w:r w:rsidRPr="00696176">
        <w:rPr>
          <w:rFonts w:ascii="Times New Roman" w:eastAsiaTheme="minorHAnsi" w:hAnsi="Times New Roman"/>
          <w:sz w:val="24"/>
          <w:szCs w:val="24"/>
          <w:lang w:val="en-US"/>
        </w:rPr>
        <w:t xml:space="preserve"> </w:t>
      </w:r>
    </w:p>
    <w:p w:rsidR="00696176" w:rsidRPr="00696176" w:rsidRDefault="00696176" w:rsidP="00696176">
      <w:pPr>
        <w:widowControl w:val="0"/>
        <w:numPr>
          <w:ilvl w:val="0"/>
          <w:numId w:val="4"/>
        </w:numPr>
        <w:tabs>
          <w:tab w:val="left" w:pos="1134"/>
        </w:tabs>
        <w:spacing w:after="0" w:line="360" w:lineRule="auto"/>
        <w:ind w:left="0" w:firstLine="709"/>
        <w:contextualSpacing/>
        <w:jc w:val="both"/>
        <w:rPr>
          <w:rFonts w:ascii="Times New Roman" w:eastAsiaTheme="minorHAnsi" w:hAnsi="Times New Roman"/>
          <w:sz w:val="24"/>
          <w:szCs w:val="24"/>
        </w:rPr>
      </w:pPr>
      <w:proofErr w:type="spellStart"/>
      <w:r w:rsidRPr="00696176">
        <w:rPr>
          <w:rFonts w:ascii="Times New Roman" w:eastAsiaTheme="minorHAnsi" w:hAnsi="Times New Roman"/>
          <w:sz w:val="24"/>
          <w:szCs w:val="24"/>
        </w:rPr>
        <w:t>Гриняев</w:t>
      </w:r>
      <w:proofErr w:type="spellEnd"/>
      <w:r w:rsidRPr="00696176">
        <w:rPr>
          <w:rFonts w:ascii="Times New Roman" w:eastAsiaTheme="minorHAnsi" w:hAnsi="Times New Roman"/>
          <w:sz w:val="24"/>
          <w:szCs w:val="24"/>
        </w:rPr>
        <w:t xml:space="preserve"> С. Национальная безопасность. Глобализация и безопасность России. СПб.: Питер, 2015. </w:t>
      </w:r>
      <w:r w:rsidRPr="00696176">
        <w:rPr>
          <w:rFonts w:ascii="Times New Roman" w:eastAsiaTheme="minorHAnsi" w:hAnsi="Times New Roman"/>
          <w:sz w:val="24"/>
          <w:szCs w:val="24"/>
          <w:lang w:val="en-US"/>
        </w:rPr>
        <w:t xml:space="preserve"> </w:t>
      </w:r>
    </w:p>
    <w:p w:rsidR="00696176" w:rsidRPr="00696176" w:rsidRDefault="00696176" w:rsidP="00696176">
      <w:pPr>
        <w:widowControl w:val="0"/>
        <w:spacing w:after="0" w:line="360" w:lineRule="auto"/>
        <w:ind w:firstLine="709"/>
        <w:jc w:val="both"/>
        <w:rPr>
          <w:rFonts w:ascii="Times New Roman" w:eastAsiaTheme="minorHAnsi" w:hAnsi="Times New Roman"/>
          <w:sz w:val="24"/>
          <w:szCs w:val="24"/>
        </w:rPr>
      </w:pPr>
    </w:p>
    <w:p w:rsidR="00696176" w:rsidRPr="00AF0742" w:rsidRDefault="00696176" w:rsidP="00696176"/>
    <w:p w:rsidR="00436CE7" w:rsidRDefault="00436CE7"/>
    <w:sectPr w:rsidR="00436CE7" w:rsidSect="00D72ADE">
      <w:footerReference w:type="default" r:id="rId10"/>
      <w:pgSz w:w="11906" w:h="16838"/>
      <w:pgMar w:top="1134" w:right="1134" w:bottom="1134" w:left="1134"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696176" w:rsidRDefault="00696176" w:rsidP="00696176">
      <w:pPr>
        <w:spacing w:after="0" w:line="240" w:lineRule="auto"/>
      </w:pPr>
      <w:r>
        <w:separator/>
      </w:r>
    </w:p>
  </w:endnote>
  <w:endnote w:type="continuationSeparator" w:id="0">
    <w:p w:rsidR="00696176" w:rsidRDefault="00696176" w:rsidP="00696176">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2A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w:panose1 w:val="020B0604020202020204"/>
    <w:charset w:val="CC"/>
    <w:family w:val="swiss"/>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3141A2" w:rsidRDefault="00B07CEB">
    <w:pPr>
      <w:pStyle w:val="a4"/>
      <w:jc w:val="center"/>
    </w:pPr>
  </w:p>
  <w:p w:rsidR="003141A2" w:rsidRDefault="00B07CEB">
    <w:pPr>
      <w:pStyle w:val="a4"/>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696176" w:rsidRDefault="00696176" w:rsidP="00696176">
      <w:pPr>
        <w:spacing w:after="0" w:line="240" w:lineRule="auto"/>
      </w:pPr>
      <w:r>
        <w:separator/>
      </w:r>
    </w:p>
  </w:footnote>
  <w:footnote w:type="continuationSeparator" w:id="0">
    <w:p w:rsidR="00696176" w:rsidRDefault="00696176" w:rsidP="00696176">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1C8C510F"/>
    <w:multiLevelType w:val="hybridMultilevel"/>
    <w:tmpl w:val="0726BFA2"/>
    <w:lvl w:ilvl="0" w:tplc="6A88641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15:restartNumberingAfterBreak="0">
    <w:nsid w:val="28D36A82"/>
    <w:multiLevelType w:val="multilevel"/>
    <w:tmpl w:val="B3A8E062"/>
    <w:lvl w:ilvl="0">
      <w:start w:val="1"/>
      <w:numFmt w:val="decimal"/>
      <w:lvlText w:val="%1)"/>
      <w:lvlJc w:val="left"/>
      <w:pPr>
        <w:tabs>
          <w:tab w:val="num" w:pos="360"/>
        </w:tabs>
        <w:ind w:left="360" w:hanging="360"/>
      </w:pPr>
    </w:lvl>
    <w:lvl w:ilvl="1" w:tentative="1">
      <w:start w:val="1"/>
      <w:numFmt w:val="decimal"/>
      <w:lvlText w:val="%2."/>
      <w:lvlJc w:val="left"/>
      <w:pPr>
        <w:tabs>
          <w:tab w:val="num" w:pos="1080"/>
        </w:tabs>
        <w:ind w:left="1080" w:hanging="360"/>
      </w:pPr>
    </w:lvl>
    <w:lvl w:ilvl="2" w:tentative="1">
      <w:start w:val="1"/>
      <w:numFmt w:val="decimal"/>
      <w:lvlText w:val="%3."/>
      <w:lvlJc w:val="left"/>
      <w:pPr>
        <w:tabs>
          <w:tab w:val="num" w:pos="1800"/>
        </w:tabs>
        <w:ind w:left="1800" w:hanging="360"/>
      </w:pPr>
    </w:lvl>
    <w:lvl w:ilvl="3" w:tentative="1">
      <w:start w:val="1"/>
      <w:numFmt w:val="decimal"/>
      <w:lvlText w:val="%4."/>
      <w:lvlJc w:val="left"/>
      <w:pPr>
        <w:tabs>
          <w:tab w:val="num" w:pos="2520"/>
        </w:tabs>
        <w:ind w:left="2520" w:hanging="360"/>
      </w:pPr>
    </w:lvl>
    <w:lvl w:ilvl="4" w:tentative="1">
      <w:start w:val="1"/>
      <w:numFmt w:val="decimal"/>
      <w:lvlText w:val="%5."/>
      <w:lvlJc w:val="left"/>
      <w:pPr>
        <w:tabs>
          <w:tab w:val="num" w:pos="3240"/>
        </w:tabs>
        <w:ind w:left="3240" w:hanging="360"/>
      </w:pPr>
    </w:lvl>
    <w:lvl w:ilvl="5" w:tentative="1">
      <w:start w:val="1"/>
      <w:numFmt w:val="decimal"/>
      <w:lvlText w:val="%6."/>
      <w:lvlJc w:val="left"/>
      <w:pPr>
        <w:tabs>
          <w:tab w:val="num" w:pos="3960"/>
        </w:tabs>
        <w:ind w:left="3960" w:hanging="360"/>
      </w:pPr>
    </w:lvl>
    <w:lvl w:ilvl="6" w:tentative="1">
      <w:start w:val="1"/>
      <w:numFmt w:val="decimal"/>
      <w:lvlText w:val="%7."/>
      <w:lvlJc w:val="left"/>
      <w:pPr>
        <w:tabs>
          <w:tab w:val="num" w:pos="4680"/>
        </w:tabs>
        <w:ind w:left="4680" w:hanging="360"/>
      </w:pPr>
    </w:lvl>
    <w:lvl w:ilvl="7" w:tentative="1">
      <w:start w:val="1"/>
      <w:numFmt w:val="decimal"/>
      <w:lvlText w:val="%8."/>
      <w:lvlJc w:val="left"/>
      <w:pPr>
        <w:tabs>
          <w:tab w:val="num" w:pos="5400"/>
        </w:tabs>
        <w:ind w:left="5400" w:hanging="360"/>
      </w:pPr>
    </w:lvl>
    <w:lvl w:ilvl="8" w:tentative="1">
      <w:start w:val="1"/>
      <w:numFmt w:val="decimal"/>
      <w:lvlText w:val="%9."/>
      <w:lvlJc w:val="left"/>
      <w:pPr>
        <w:tabs>
          <w:tab w:val="num" w:pos="6120"/>
        </w:tabs>
        <w:ind w:left="6120" w:hanging="360"/>
      </w:pPr>
    </w:lvl>
  </w:abstractNum>
  <w:abstractNum w:abstractNumId="2" w15:restartNumberingAfterBreak="0">
    <w:nsid w:val="3241371D"/>
    <w:multiLevelType w:val="hybridMultilevel"/>
    <w:tmpl w:val="A528A158"/>
    <w:lvl w:ilvl="0" w:tplc="35E4D106">
      <w:start w:val="1"/>
      <w:numFmt w:val="decimal"/>
      <w:lvlText w:val="%1."/>
      <w:lvlJc w:val="left"/>
      <w:pPr>
        <w:ind w:left="1494" w:hanging="360"/>
      </w:pPr>
      <w:rPr>
        <w:b w:val="0"/>
      </w:r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3" w15:restartNumberingAfterBreak="0">
    <w:nsid w:val="66A226ED"/>
    <w:multiLevelType w:val="hybridMultilevel"/>
    <w:tmpl w:val="8A5C4C50"/>
    <w:lvl w:ilvl="0" w:tplc="0419000F">
      <w:start w:val="1"/>
      <w:numFmt w:val="decimal"/>
      <w:lvlText w:val="%1."/>
      <w:lvlJc w:val="left"/>
      <w:pPr>
        <w:tabs>
          <w:tab w:val="num" w:pos="0"/>
        </w:tabs>
        <w:ind w:left="0" w:hanging="360"/>
      </w:pPr>
      <w:rPr>
        <w:rFonts w:hint="default"/>
      </w:rPr>
    </w:lvl>
    <w:lvl w:ilvl="1" w:tplc="04190019">
      <w:start w:val="1"/>
      <w:numFmt w:val="lowerLetter"/>
      <w:lvlText w:val="%2."/>
      <w:lvlJc w:val="left"/>
      <w:pPr>
        <w:tabs>
          <w:tab w:val="num" w:pos="720"/>
        </w:tabs>
        <w:ind w:left="720" w:hanging="360"/>
      </w:pPr>
    </w:lvl>
    <w:lvl w:ilvl="2" w:tplc="0419001B">
      <w:start w:val="1"/>
      <w:numFmt w:val="lowerRoman"/>
      <w:lvlText w:val="%3."/>
      <w:lvlJc w:val="right"/>
      <w:pPr>
        <w:tabs>
          <w:tab w:val="num" w:pos="1440"/>
        </w:tabs>
        <w:ind w:left="1440" w:hanging="180"/>
      </w:pPr>
    </w:lvl>
    <w:lvl w:ilvl="3" w:tplc="0419000F">
      <w:start w:val="1"/>
      <w:numFmt w:val="decimal"/>
      <w:lvlText w:val="%4."/>
      <w:lvlJc w:val="left"/>
      <w:pPr>
        <w:tabs>
          <w:tab w:val="num" w:pos="2160"/>
        </w:tabs>
        <w:ind w:left="2160" w:hanging="360"/>
      </w:pPr>
      <w:rPr>
        <w:rFonts w:hint="default"/>
      </w:rPr>
    </w:lvl>
    <w:lvl w:ilvl="4" w:tplc="04190019" w:tentative="1">
      <w:start w:val="1"/>
      <w:numFmt w:val="lowerLetter"/>
      <w:lvlText w:val="%5."/>
      <w:lvlJc w:val="left"/>
      <w:pPr>
        <w:tabs>
          <w:tab w:val="num" w:pos="2880"/>
        </w:tabs>
        <w:ind w:left="2880" w:hanging="360"/>
      </w:pPr>
    </w:lvl>
    <w:lvl w:ilvl="5" w:tplc="0419001B" w:tentative="1">
      <w:start w:val="1"/>
      <w:numFmt w:val="lowerRoman"/>
      <w:lvlText w:val="%6."/>
      <w:lvlJc w:val="right"/>
      <w:pPr>
        <w:tabs>
          <w:tab w:val="num" w:pos="3600"/>
        </w:tabs>
        <w:ind w:left="3600" w:hanging="180"/>
      </w:pPr>
    </w:lvl>
    <w:lvl w:ilvl="6" w:tplc="0419000F" w:tentative="1">
      <w:start w:val="1"/>
      <w:numFmt w:val="decimal"/>
      <w:lvlText w:val="%7."/>
      <w:lvlJc w:val="left"/>
      <w:pPr>
        <w:tabs>
          <w:tab w:val="num" w:pos="4320"/>
        </w:tabs>
        <w:ind w:left="4320" w:hanging="360"/>
      </w:pPr>
    </w:lvl>
    <w:lvl w:ilvl="7" w:tplc="04190019" w:tentative="1">
      <w:start w:val="1"/>
      <w:numFmt w:val="lowerLetter"/>
      <w:lvlText w:val="%8."/>
      <w:lvlJc w:val="left"/>
      <w:pPr>
        <w:tabs>
          <w:tab w:val="num" w:pos="5040"/>
        </w:tabs>
        <w:ind w:left="5040" w:hanging="360"/>
      </w:pPr>
    </w:lvl>
    <w:lvl w:ilvl="8" w:tplc="0419001B" w:tentative="1">
      <w:start w:val="1"/>
      <w:numFmt w:val="lowerRoman"/>
      <w:lvlText w:val="%9."/>
      <w:lvlJc w:val="right"/>
      <w:pPr>
        <w:tabs>
          <w:tab w:val="num" w:pos="5760"/>
        </w:tabs>
        <w:ind w:left="5760" w:hanging="180"/>
      </w:pPr>
    </w:lvl>
  </w:abstractNum>
  <w:abstractNum w:abstractNumId="4" w15:restartNumberingAfterBreak="0">
    <w:nsid w:val="6A017978"/>
    <w:multiLevelType w:val="hybridMultilevel"/>
    <w:tmpl w:val="A5C6130A"/>
    <w:lvl w:ilvl="0" w:tplc="6A88641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1"/>
  </w:num>
  <w:num w:numId="3">
    <w:abstractNumId w:val="0"/>
  </w:num>
  <w:num w:numId="4">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8B27EA"/>
    <w:rsid w:val="00436CE7"/>
    <w:rsid w:val="00696176"/>
    <w:rsid w:val="008B27EA"/>
    <w:rsid w:val="0092753F"/>
    <w:rsid w:val="00B07CE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7B17C9D"/>
  <w15:docId w15:val="{70C4DDA7-AED5-43D7-8024-7F8FC94770D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0"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96176"/>
    <w:rPr>
      <w:rFonts w:ascii="Calibri" w:eastAsia="Calibri" w:hAnsi="Calibri" w:cs="Times New Roman"/>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59"/>
    <w:rsid w:val="006961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footer"/>
    <w:basedOn w:val="a"/>
    <w:link w:val="a5"/>
    <w:uiPriority w:val="99"/>
    <w:unhideWhenUsed/>
    <w:rsid w:val="00696176"/>
    <w:pPr>
      <w:tabs>
        <w:tab w:val="center" w:pos="4677"/>
        <w:tab w:val="right" w:pos="9355"/>
      </w:tabs>
      <w:spacing w:after="0" w:line="240" w:lineRule="auto"/>
    </w:pPr>
  </w:style>
  <w:style w:type="character" w:customStyle="1" w:styleId="a5">
    <w:name w:val="Нижний колонтитул Знак"/>
    <w:basedOn w:val="a0"/>
    <w:link w:val="a4"/>
    <w:uiPriority w:val="99"/>
    <w:rsid w:val="00696176"/>
    <w:rPr>
      <w:rFonts w:ascii="Calibri" w:eastAsia="Calibri" w:hAnsi="Calibri" w:cs="Times New Roman"/>
    </w:rPr>
  </w:style>
  <w:style w:type="paragraph" w:styleId="a6">
    <w:name w:val="Balloon Text"/>
    <w:basedOn w:val="a"/>
    <w:link w:val="a7"/>
    <w:uiPriority w:val="99"/>
    <w:semiHidden/>
    <w:unhideWhenUsed/>
    <w:rsid w:val="00696176"/>
    <w:pPr>
      <w:spacing w:after="0" w:line="240" w:lineRule="auto"/>
    </w:pPr>
    <w:rPr>
      <w:rFonts w:ascii="Tahoma" w:hAnsi="Tahoma" w:cs="Tahoma"/>
      <w:sz w:val="16"/>
      <w:szCs w:val="16"/>
    </w:rPr>
  </w:style>
  <w:style w:type="character" w:customStyle="1" w:styleId="a7">
    <w:name w:val="Текст выноски Знак"/>
    <w:basedOn w:val="a0"/>
    <w:link w:val="a6"/>
    <w:uiPriority w:val="99"/>
    <w:semiHidden/>
    <w:rsid w:val="00696176"/>
    <w:rPr>
      <w:rFonts w:ascii="Tahoma" w:eastAsia="Calibri" w:hAnsi="Tahoma" w:cs="Tahoma"/>
      <w:sz w:val="16"/>
      <w:szCs w:val="16"/>
    </w:rPr>
  </w:style>
  <w:style w:type="paragraph" w:styleId="a8">
    <w:name w:val="List Paragraph"/>
    <w:basedOn w:val="a"/>
    <w:qFormat/>
    <w:rsid w:val="00696176"/>
    <w:pPr>
      <w:ind w:left="720"/>
      <w:contextualSpacing/>
    </w:pPr>
    <w:rPr>
      <w:rFonts w:asciiTheme="minorHAnsi" w:eastAsiaTheme="minorHAnsi" w:hAnsiTheme="minorHAnsi" w:cstheme="minorBidi"/>
    </w:rPr>
  </w:style>
  <w:style w:type="character" w:styleId="a9">
    <w:name w:val="footnote reference"/>
    <w:basedOn w:val="a0"/>
    <w:uiPriority w:val="99"/>
    <w:semiHidden/>
    <w:unhideWhenUsed/>
    <w:rsid w:val="00696176"/>
    <w:rPr>
      <w:vertAlign w:val="superscript"/>
    </w:rPr>
  </w:style>
  <w:style w:type="table" w:customStyle="1" w:styleId="1">
    <w:name w:val="Сетка таблицы1"/>
    <w:basedOn w:val="a1"/>
    <w:next w:val="a3"/>
    <w:uiPriority w:val="59"/>
    <w:rsid w:val="00696176"/>
    <w:pPr>
      <w:spacing w:after="0" w:line="240" w:lineRule="auto"/>
    </w:pPr>
    <w:rPr>
      <w:rFonts w:ascii="Courier New" w:eastAsia="Courier New" w:hAnsi="Courier New" w:cs="Courier New"/>
      <w:sz w:val="24"/>
      <w:szCs w:val="24"/>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chart" Target="charts/chart2.xml"/><Relationship Id="rId3" Type="http://schemas.openxmlformats.org/officeDocument/2006/relationships/settings" Target="settings.xml"/><Relationship Id="rId7" Type="http://schemas.openxmlformats.org/officeDocument/2006/relationships/chart" Target="charts/chart1.xm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chart" Target="charts/chart3.xml"/></Relationships>
</file>

<file path=word/charts/_rels/chart1.xml.rels><?xml version="1.0" encoding="UTF-8" standalone="yes"?>
<Relationships xmlns="http://schemas.openxmlformats.org/package/2006/relationships"><Relationship Id="rId2" Type="http://schemas.openxmlformats.org/officeDocument/2006/relationships/oleObject" Target="&#1050;&#1085;&#1080;&#1075;&#1072;1" TargetMode="External"/><Relationship Id="rId1" Type="http://schemas.openxmlformats.org/officeDocument/2006/relationships/themeOverride" Target="../theme/themeOverride1.xml"/></Relationships>
</file>

<file path=word/charts/_rels/chart2.xml.rels><?xml version="1.0" encoding="UTF-8" standalone="yes"?>
<Relationships xmlns="http://schemas.openxmlformats.org/package/2006/relationships"><Relationship Id="rId2" Type="http://schemas.openxmlformats.org/officeDocument/2006/relationships/oleObject" Target="&#1050;&#1085;&#1080;&#1075;&#1072;1" TargetMode="External"/><Relationship Id="rId1" Type="http://schemas.openxmlformats.org/officeDocument/2006/relationships/themeOverride" Target="../theme/themeOverride2.xml"/></Relationships>
</file>

<file path=word/charts/_rels/chart3.xml.rels><?xml version="1.0" encoding="UTF-8" standalone="yes"?>
<Relationships xmlns="http://schemas.openxmlformats.org/package/2006/relationships"><Relationship Id="rId2" Type="http://schemas.openxmlformats.org/officeDocument/2006/relationships/oleObject" Target="&#1050;&#1085;&#1080;&#1075;&#1072;1" TargetMode="External"/><Relationship Id="rId1" Type="http://schemas.openxmlformats.org/officeDocument/2006/relationships/themeOverride" Target="../theme/themeOverride3.xml"/></Relationships>
</file>

<file path=word/charts/chart1.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rAngAx val="1"/>
    </c:view3D>
    <c:floor>
      <c:thickness val="0"/>
    </c:floor>
    <c:sideWall>
      <c:thickness val="0"/>
    </c:sideWall>
    <c:backWall>
      <c:thickness val="0"/>
    </c:backWall>
    <c:plotArea>
      <c:layout/>
      <c:bar3DChart>
        <c:barDir val="col"/>
        <c:grouping val="clustered"/>
        <c:varyColors val="0"/>
        <c:ser>
          <c:idx val="0"/>
          <c:order val="0"/>
          <c:tx>
            <c:v>2015г</c:v>
          </c:tx>
          <c:invertIfNegative val="0"/>
          <c:cat>
            <c:strRef>
              <c:f>(Лист1!$A$36:$A$40,Лист1!$A$51)</c:f>
              <c:strCache>
                <c:ptCount val="6"/>
                <c:pt idx="0">
                  <c:v>Выручка</c:v>
                </c:pt>
                <c:pt idx="1">
                  <c:v>Себестоимость продаж</c:v>
                </c:pt>
                <c:pt idx="2">
                  <c:v>Валовая прибыль (убыток)</c:v>
                </c:pt>
                <c:pt idx="3">
                  <c:v>Коммерческие расходы</c:v>
                </c:pt>
                <c:pt idx="4">
                  <c:v>Прибыль (убыток) от продаж</c:v>
                </c:pt>
                <c:pt idx="5">
                  <c:v>Чистая прибыль (убыток)</c:v>
                </c:pt>
              </c:strCache>
            </c:strRef>
          </c:cat>
          <c:val>
            <c:numRef>
              <c:f>(Лист1!$B$36:$B$40,Лист1!$B$51)</c:f>
              <c:numCache>
                <c:formatCode>#,##0</c:formatCode>
                <c:ptCount val="6"/>
                <c:pt idx="0">
                  <c:v>14031384</c:v>
                </c:pt>
                <c:pt idx="1">
                  <c:v>8242943</c:v>
                </c:pt>
                <c:pt idx="2">
                  <c:v>5788441</c:v>
                </c:pt>
                <c:pt idx="3">
                  <c:v>4639594</c:v>
                </c:pt>
                <c:pt idx="4">
                  <c:v>1148847</c:v>
                </c:pt>
                <c:pt idx="5">
                  <c:v>909325</c:v>
                </c:pt>
              </c:numCache>
            </c:numRef>
          </c:val>
          <c:extLst>
            <c:ext xmlns:c16="http://schemas.microsoft.com/office/drawing/2014/chart" uri="{C3380CC4-5D6E-409C-BE32-E72D297353CC}">
              <c16:uniqueId val="{00000000-F9BD-4630-911D-88F678CE7FEB}"/>
            </c:ext>
          </c:extLst>
        </c:ser>
        <c:ser>
          <c:idx val="1"/>
          <c:order val="1"/>
          <c:tx>
            <c:v>2016г</c:v>
          </c:tx>
          <c:invertIfNegative val="0"/>
          <c:cat>
            <c:strRef>
              <c:f>(Лист1!$A$36:$A$40,Лист1!$A$51)</c:f>
              <c:strCache>
                <c:ptCount val="6"/>
                <c:pt idx="0">
                  <c:v>Выручка</c:v>
                </c:pt>
                <c:pt idx="1">
                  <c:v>Себестоимость продаж</c:v>
                </c:pt>
                <c:pt idx="2">
                  <c:v>Валовая прибыль (убыток)</c:v>
                </c:pt>
                <c:pt idx="3">
                  <c:v>Коммерческие расходы</c:v>
                </c:pt>
                <c:pt idx="4">
                  <c:v>Прибыль (убыток) от продаж</c:v>
                </c:pt>
                <c:pt idx="5">
                  <c:v>Чистая прибыль (убыток)</c:v>
                </c:pt>
              </c:strCache>
            </c:strRef>
          </c:cat>
          <c:val>
            <c:numRef>
              <c:f>(Лист1!$C$36:$C$40,Лист1!$C$51)</c:f>
              <c:numCache>
                <c:formatCode>#,##0</c:formatCode>
                <c:ptCount val="6"/>
                <c:pt idx="0">
                  <c:v>15930596</c:v>
                </c:pt>
                <c:pt idx="1">
                  <c:v>9453097</c:v>
                </c:pt>
                <c:pt idx="2">
                  <c:v>6477499</c:v>
                </c:pt>
                <c:pt idx="3">
                  <c:v>5326259</c:v>
                </c:pt>
                <c:pt idx="4">
                  <c:v>1151240</c:v>
                </c:pt>
                <c:pt idx="5">
                  <c:v>873841</c:v>
                </c:pt>
              </c:numCache>
            </c:numRef>
          </c:val>
          <c:extLst>
            <c:ext xmlns:c16="http://schemas.microsoft.com/office/drawing/2014/chart" uri="{C3380CC4-5D6E-409C-BE32-E72D297353CC}">
              <c16:uniqueId val="{00000001-F9BD-4630-911D-88F678CE7FEB}"/>
            </c:ext>
          </c:extLst>
        </c:ser>
        <c:ser>
          <c:idx val="2"/>
          <c:order val="2"/>
          <c:tx>
            <c:v>2017г</c:v>
          </c:tx>
          <c:invertIfNegative val="0"/>
          <c:cat>
            <c:strRef>
              <c:f>(Лист1!$A$36:$A$40,Лист1!$A$51)</c:f>
              <c:strCache>
                <c:ptCount val="6"/>
                <c:pt idx="0">
                  <c:v>Выручка</c:v>
                </c:pt>
                <c:pt idx="1">
                  <c:v>Себестоимость продаж</c:v>
                </c:pt>
                <c:pt idx="2">
                  <c:v>Валовая прибыль (убыток)</c:v>
                </c:pt>
                <c:pt idx="3">
                  <c:v>Коммерческие расходы</c:v>
                </c:pt>
                <c:pt idx="4">
                  <c:v>Прибыль (убыток) от продаж</c:v>
                </c:pt>
                <c:pt idx="5">
                  <c:v>Чистая прибыль (убыток)</c:v>
                </c:pt>
              </c:strCache>
            </c:strRef>
          </c:cat>
          <c:val>
            <c:numRef>
              <c:f>(Лист1!$D$36:$D$40,Лист1!$D$51)</c:f>
              <c:numCache>
                <c:formatCode>#,##0</c:formatCode>
                <c:ptCount val="6"/>
                <c:pt idx="0">
                  <c:v>19492359</c:v>
                </c:pt>
                <c:pt idx="1">
                  <c:v>11627111</c:v>
                </c:pt>
                <c:pt idx="2">
                  <c:v>7865248</c:v>
                </c:pt>
                <c:pt idx="3">
                  <c:v>6123422</c:v>
                </c:pt>
                <c:pt idx="4">
                  <c:v>1741826</c:v>
                </c:pt>
                <c:pt idx="5">
                  <c:v>1443383</c:v>
                </c:pt>
              </c:numCache>
            </c:numRef>
          </c:val>
          <c:extLst>
            <c:ext xmlns:c16="http://schemas.microsoft.com/office/drawing/2014/chart" uri="{C3380CC4-5D6E-409C-BE32-E72D297353CC}">
              <c16:uniqueId val="{00000002-F9BD-4630-911D-88F678CE7FEB}"/>
            </c:ext>
          </c:extLst>
        </c:ser>
        <c:dLbls>
          <c:showLegendKey val="0"/>
          <c:showVal val="0"/>
          <c:showCatName val="0"/>
          <c:showSerName val="0"/>
          <c:showPercent val="0"/>
          <c:showBubbleSize val="0"/>
        </c:dLbls>
        <c:gapWidth val="150"/>
        <c:shape val="box"/>
        <c:axId val="183093248"/>
        <c:axId val="222893120"/>
        <c:axId val="0"/>
      </c:bar3DChart>
      <c:catAx>
        <c:axId val="183093248"/>
        <c:scaling>
          <c:orientation val="minMax"/>
        </c:scaling>
        <c:delete val="0"/>
        <c:axPos val="b"/>
        <c:numFmt formatCode="General" sourceLinked="0"/>
        <c:majorTickMark val="none"/>
        <c:minorTickMark val="none"/>
        <c:tickLblPos val="nextTo"/>
        <c:crossAx val="222893120"/>
        <c:crosses val="autoZero"/>
        <c:auto val="1"/>
        <c:lblAlgn val="ctr"/>
        <c:lblOffset val="100"/>
        <c:noMultiLvlLbl val="0"/>
      </c:catAx>
      <c:valAx>
        <c:axId val="222893120"/>
        <c:scaling>
          <c:orientation val="minMax"/>
        </c:scaling>
        <c:delete val="0"/>
        <c:axPos val="l"/>
        <c:majorGridlines/>
        <c:title>
          <c:tx>
            <c:rich>
              <a:bodyPr/>
              <a:lstStyle/>
              <a:p>
                <a:pPr>
                  <a:defRPr/>
                </a:pPr>
                <a:r>
                  <a:rPr lang="ru-RU"/>
                  <a:t>тыс.руб.</a:t>
                </a:r>
              </a:p>
            </c:rich>
          </c:tx>
          <c:layout/>
          <c:overlay val="0"/>
        </c:title>
        <c:numFmt formatCode="#,##0" sourceLinked="1"/>
        <c:majorTickMark val="none"/>
        <c:minorTickMark val="none"/>
        <c:tickLblPos val="nextTo"/>
        <c:crossAx val="183093248"/>
        <c:crosses val="autoZero"/>
        <c:crossBetween val="between"/>
      </c:valAx>
      <c:dTable>
        <c:showHorzBorder val="1"/>
        <c:showVertBorder val="1"/>
        <c:showOutline val="1"/>
        <c:showKeys val="1"/>
      </c:dTable>
    </c:plotArea>
    <c:plotVisOnly val="1"/>
    <c:dispBlanksAs val="gap"/>
    <c:showDLblsOverMax val="0"/>
  </c:chart>
  <c:spPr>
    <a:ln>
      <a:noFill/>
    </a:ln>
  </c:spPr>
  <c:txPr>
    <a:bodyPr/>
    <a:lstStyle/>
    <a:p>
      <a:pPr>
        <a:defRPr>
          <a:latin typeface="Times New Roman" pitchFamily="18" charset="0"/>
          <a:cs typeface="Times New Roman" pitchFamily="18" charset="0"/>
        </a:defRPr>
      </a:pPr>
      <a:endParaRPr lang="ru-RU"/>
    </a:p>
  </c:txPr>
  <c:externalData r:id="rId2">
    <c:autoUpdate val="0"/>
  </c:externalData>
</c:chartSpace>
</file>

<file path=word/charts/chart2.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plotArea>
      <c:layout/>
      <c:lineChart>
        <c:grouping val="standard"/>
        <c:varyColors val="0"/>
        <c:ser>
          <c:idx val="0"/>
          <c:order val="0"/>
          <c:tx>
            <c:strRef>
              <c:f>Лист1!$A$74</c:f>
              <c:strCache>
                <c:ptCount val="1"/>
                <c:pt idx="0">
                  <c:v>Обеспеченности собственными источниками финансирования</c:v>
                </c:pt>
              </c:strCache>
            </c:strRef>
          </c:tx>
          <c:cat>
            <c:numRef>
              <c:f>Лист1!$B$57:$D$57</c:f>
              <c:numCache>
                <c:formatCode>General</c:formatCode>
                <c:ptCount val="3"/>
                <c:pt idx="0">
                  <c:v>2015</c:v>
                </c:pt>
                <c:pt idx="1">
                  <c:v>2016</c:v>
                </c:pt>
                <c:pt idx="2">
                  <c:v>2017</c:v>
                </c:pt>
              </c:numCache>
            </c:numRef>
          </c:cat>
          <c:val>
            <c:numRef>
              <c:f>Лист1!$B$74:$D$74</c:f>
              <c:numCache>
                <c:formatCode>0.000</c:formatCode>
                <c:ptCount val="3"/>
                <c:pt idx="0">
                  <c:v>0.41490537577249215</c:v>
                </c:pt>
                <c:pt idx="1">
                  <c:v>0.50168267900395758</c:v>
                </c:pt>
                <c:pt idx="2">
                  <c:v>0.52608205100715244</c:v>
                </c:pt>
              </c:numCache>
            </c:numRef>
          </c:val>
          <c:smooth val="0"/>
          <c:extLst>
            <c:ext xmlns:c16="http://schemas.microsoft.com/office/drawing/2014/chart" uri="{C3380CC4-5D6E-409C-BE32-E72D297353CC}">
              <c16:uniqueId val="{00000000-796D-42E5-BB64-316E3738D157}"/>
            </c:ext>
          </c:extLst>
        </c:ser>
        <c:ser>
          <c:idx val="1"/>
          <c:order val="1"/>
          <c:tx>
            <c:strRef>
              <c:f>Лист1!$A$75</c:f>
              <c:strCache>
                <c:ptCount val="1"/>
                <c:pt idx="0">
                  <c:v>Соотношения собственных и привлеченных средств</c:v>
                </c:pt>
              </c:strCache>
            </c:strRef>
          </c:tx>
          <c:cat>
            <c:numRef>
              <c:f>Лист1!$B$57:$D$57</c:f>
              <c:numCache>
                <c:formatCode>General</c:formatCode>
                <c:ptCount val="3"/>
                <c:pt idx="0">
                  <c:v>2015</c:v>
                </c:pt>
                <c:pt idx="1">
                  <c:v>2016</c:v>
                </c:pt>
                <c:pt idx="2">
                  <c:v>2017</c:v>
                </c:pt>
              </c:numCache>
            </c:numRef>
          </c:cat>
          <c:val>
            <c:numRef>
              <c:f>Лист1!$B$75:$D$75</c:f>
              <c:numCache>
                <c:formatCode>0.000</c:formatCode>
                <c:ptCount val="3"/>
                <c:pt idx="0">
                  <c:v>1.0432450647162543</c:v>
                </c:pt>
                <c:pt idx="1">
                  <c:v>1.372472414948581</c:v>
                </c:pt>
                <c:pt idx="2">
                  <c:v>1.5965704447657809</c:v>
                </c:pt>
              </c:numCache>
            </c:numRef>
          </c:val>
          <c:smooth val="0"/>
          <c:extLst>
            <c:ext xmlns:c16="http://schemas.microsoft.com/office/drawing/2014/chart" uri="{C3380CC4-5D6E-409C-BE32-E72D297353CC}">
              <c16:uniqueId val="{00000001-796D-42E5-BB64-316E3738D157}"/>
            </c:ext>
          </c:extLst>
        </c:ser>
        <c:ser>
          <c:idx val="2"/>
          <c:order val="2"/>
          <c:tx>
            <c:strRef>
              <c:f>Лист1!$A$76</c:f>
              <c:strCache>
                <c:ptCount val="1"/>
                <c:pt idx="0">
                  <c:v>Коэффициент маневренности собственных средств</c:v>
                </c:pt>
              </c:strCache>
            </c:strRef>
          </c:tx>
          <c:cat>
            <c:numRef>
              <c:f>Лист1!$B$57:$D$57</c:f>
              <c:numCache>
                <c:formatCode>General</c:formatCode>
                <c:ptCount val="3"/>
                <c:pt idx="0">
                  <c:v>2015</c:v>
                </c:pt>
                <c:pt idx="1">
                  <c:v>2016</c:v>
                </c:pt>
                <c:pt idx="2">
                  <c:v>2017</c:v>
                </c:pt>
              </c:numCache>
            </c:numRef>
          </c:cat>
          <c:val>
            <c:numRef>
              <c:f>Лист1!$B$76:$D$76</c:f>
              <c:numCache>
                <c:formatCode>0.000</c:formatCode>
                <c:ptCount val="3"/>
                <c:pt idx="0">
                  <c:v>0.6872486915530498</c:v>
                </c:pt>
                <c:pt idx="1">
                  <c:v>0.7412321639985695</c:v>
                </c:pt>
                <c:pt idx="2">
                  <c:v>0.70284350644922478</c:v>
                </c:pt>
              </c:numCache>
            </c:numRef>
          </c:val>
          <c:smooth val="0"/>
          <c:extLst>
            <c:ext xmlns:c16="http://schemas.microsoft.com/office/drawing/2014/chart" uri="{C3380CC4-5D6E-409C-BE32-E72D297353CC}">
              <c16:uniqueId val="{00000002-796D-42E5-BB64-316E3738D157}"/>
            </c:ext>
          </c:extLst>
        </c:ser>
        <c:dLbls>
          <c:showLegendKey val="0"/>
          <c:showVal val="0"/>
          <c:showCatName val="0"/>
          <c:showSerName val="0"/>
          <c:showPercent val="0"/>
          <c:showBubbleSize val="0"/>
        </c:dLbls>
        <c:marker val="1"/>
        <c:smooth val="0"/>
        <c:axId val="220567040"/>
        <c:axId val="222894272"/>
      </c:lineChart>
      <c:catAx>
        <c:axId val="220567040"/>
        <c:scaling>
          <c:orientation val="minMax"/>
        </c:scaling>
        <c:delete val="0"/>
        <c:axPos val="b"/>
        <c:numFmt formatCode="General" sourceLinked="1"/>
        <c:majorTickMark val="none"/>
        <c:minorTickMark val="none"/>
        <c:tickLblPos val="nextTo"/>
        <c:crossAx val="222894272"/>
        <c:crosses val="autoZero"/>
        <c:auto val="1"/>
        <c:lblAlgn val="ctr"/>
        <c:lblOffset val="100"/>
        <c:noMultiLvlLbl val="0"/>
      </c:catAx>
      <c:valAx>
        <c:axId val="222894272"/>
        <c:scaling>
          <c:orientation val="minMax"/>
        </c:scaling>
        <c:delete val="0"/>
        <c:axPos val="l"/>
        <c:majorGridlines/>
        <c:numFmt formatCode="0.000" sourceLinked="1"/>
        <c:majorTickMark val="none"/>
        <c:minorTickMark val="none"/>
        <c:tickLblPos val="nextTo"/>
        <c:crossAx val="220567040"/>
        <c:crosses val="autoZero"/>
        <c:crossBetween val="between"/>
      </c:valAx>
      <c:dTable>
        <c:showHorzBorder val="1"/>
        <c:showVertBorder val="1"/>
        <c:showOutline val="1"/>
        <c:showKeys val="1"/>
      </c:dTable>
    </c:plotArea>
    <c:plotVisOnly val="1"/>
    <c:dispBlanksAs val="gap"/>
    <c:showDLblsOverMax val="0"/>
  </c:chart>
  <c:txPr>
    <a:bodyPr/>
    <a:lstStyle/>
    <a:p>
      <a:pPr>
        <a:defRPr sz="900">
          <a:latin typeface="Times New Roman" pitchFamily="18" charset="0"/>
          <a:cs typeface="Times New Roman" pitchFamily="18" charset="0"/>
        </a:defRPr>
      </a:pPr>
      <a:endParaRPr lang="ru-RU"/>
    </a:p>
  </c:txPr>
  <c:externalData r:id="rId2">
    <c:autoUpdate val="0"/>
  </c:externalData>
</c:chartSpace>
</file>

<file path=word/charts/chart3.xml><?xml version="1.0" encoding="utf-8"?>
<c:chartSpace xmlns:c="http://schemas.openxmlformats.org/drawingml/2006/chart" xmlns:a="http://schemas.openxmlformats.org/drawingml/2006/main" xmlns:r="http://schemas.openxmlformats.org/officeDocument/2006/relationships" xmlns:c16r2="http://schemas.microsoft.com/office/drawing/2015/06/chart">
  <c:date1904 val="0"/>
  <c:lang val="ru-RU"/>
  <c:roundedCorners val="0"/>
  <mc:AlternateContent xmlns:mc="http://schemas.openxmlformats.org/markup-compatibility/2006">
    <mc:Choice xmlns:c14="http://schemas.microsoft.com/office/drawing/2007/8/2/chart" Requires="c14">
      <c14:style val="102"/>
    </mc:Choice>
    <mc:Fallback>
      <c:style val="2"/>
    </mc:Fallback>
  </mc:AlternateContent>
  <c:clrMapOvr bg1="lt1" tx1="dk1" bg2="lt2" tx2="dk2" accent1="accent1" accent2="accent2" accent3="accent3" accent4="accent4" accent5="accent5" accent6="accent6" hlink="hlink" folHlink="folHlink"/>
  <c:chart>
    <c:autoTitleDeleted val="1"/>
    <c:view3D>
      <c:rotX val="15"/>
      <c:rotY val="20"/>
      <c:rAngAx val="1"/>
    </c:view3D>
    <c:floor>
      <c:thickness val="0"/>
    </c:floor>
    <c:sideWall>
      <c:thickness val="0"/>
    </c:sideWall>
    <c:backWall>
      <c:thickness val="0"/>
    </c:backWall>
    <c:plotArea>
      <c:layout/>
      <c:bar3DChart>
        <c:barDir val="col"/>
        <c:grouping val="clustered"/>
        <c:varyColors val="0"/>
        <c:ser>
          <c:idx val="0"/>
          <c:order val="0"/>
          <c:tx>
            <c:strRef>
              <c:f>Лист1!$A$59</c:f>
              <c:strCache>
                <c:ptCount val="1"/>
                <c:pt idx="0">
                  <c:v>Рентабельность продаж (прибыли от продаж в каждом рубле выручки)</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Лист1!$B$57:$D$57</c:f>
              <c:numCache>
                <c:formatCode>General</c:formatCode>
                <c:ptCount val="3"/>
                <c:pt idx="0">
                  <c:v>2015</c:v>
                </c:pt>
                <c:pt idx="1">
                  <c:v>2016</c:v>
                </c:pt>
                <c:pt idx="2">
                  <c:v>2017</c:v>
                </c:pt>
              </c:numCache>
            </c:numRef>
          </c:cat>
          <c:val>
            <c:numRef>
              <c:f>Лист1!$B$59:$D$59</c:f>
              <c:numCache>
                <c:formatCode>0.00%</c:formatCode>
                <c:ptCount val="3"/>
                <c:pt idx="0">
                  <c:v>8.2000000000000003E-2</c:v>
                </c:pt>
                <c:pt idx="1">
                  <c:v>7.1999999999999995E-2</c:v>
                </c:pt>
                <c:pt idx="2">
                  <c:v>8.9000000000000065E-2</c:v>
                </c:pt>
              </c:numCache>
            </c:numRef>
          </c:val>
          <c:extLst>
            <c:ext xmlns:c16="http://schemas.microsoft.com/office/drawing/2014/chart" uri="{C3380CC4-5D6E-409C-BE32-E72D297353CC}">
              <c16:uniqueId val="{00000000-AFC5-41D0-9D4F-43176352A05E}"/>
            </c:ext>
          </c:extLst>
        </c:ser>
        <c:ser>
          <c:idx val="1"/>
          <c:order val="1"/>
          <c:tx>
            <c:strRef>
              <c:f>Лист1!$A$60</c:f>
              <c:strCache>
                <c:ptCount val="1"/>
                <c:pt idx="0">
                  <c:v>Рентабельность собственного капитала (ROE)</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Лист1!$B$57:$D$57</c:f>
              <c:numCache>
                <c:formatCode>General</c:formatCode>
                <c:ptCount val="3"/>
                <c:pt idx="0">
                  <c:v>2015</c:v>
                </c:pt>
                <c:pt idx="1">
                  <c:v>2016</c:v>
                </c:pt>
                <c:pt idx="2">
                  <c:v>2017</c:v>
                </c:pt>
              </c:numCache>
            </c:numRef>
          </c:cat>
          <c:val>
            <c:numRef>
              <c:f>Лист1!$B$60:$D$60</c:f>
              <c:numCache>
                <c:formatCode>0%</c:formatCode>
                <c:ptCount val="3"/>
                <c:pt idx="0">
                  <c:v>0.4</c:v>
                </c:pt>
                <c:pt idx="1">
                  <c:v>0.29000000000000031</c:v>
                </c:pt>
                <c:pt idx="2">
                  <c:v>0.37000000000000038</c:v>
                </c:pt>
              </c:numCache>
            </c:numRef>
          </c:val>
          <c:extLst>
            <c:ext xmlns:c16="http://schemas.microsoft.com/office/drawing/2014/chart" uri="{C3380CC4-5D6E-409C-BE32-E72D297353CC}">
              <c16:uniqueId val="{00000001-AFC5-41D0-9D4F-43176352A05E}"/>
            </c:ext>
          </c:extLst>
        </c:ser>
        <c:ser>
          <c:idx val="2"/>
          <c:order val="2"/>
          <c:tx>
            <c:strRef>
              <c:f>Лист1!$A$61</c:f>
              <c:strCache>
                <c:ptCount val="1"/>
                <c:pt idx="0">
                  <c:v>Рентабельность активов (ROA)</c:v>
                </c:pt>
              </c:strCache>
            </c:strRef>
          </c:tx>
          <c:invertIfNegative val="0"/>
          <c:dLbls>
            <c:spPr>
              <a:noFill/>
              <a:ln>
                <a:noFill/>
              </a:ln>
              <a:effectLst/>
            </c:spPr>
            <c:showLegendKey val="0"/>
            <c:showVal val="1"/>
            <c:showCatName val="0"/>
            <c:showSerName val="0"/>
            <c:showPercent val="0"/>
            <c:showBubbleSize val="0"/>
            <c:showLeaderLines val="0"/>
            <c:extLst>
              <c:ext xmlns:c15="http://schemas.microsoft.com/office/drawing/2012/chart" uri="{CE6537A1-D6FC-4f65-9D91-7224C49458BB}">
                <c15:layout/>
                <c15:showLeaderLines val="0"/>
              </c:ext>
            </c:extLst>
          </c:dLbls>
          <c:cat>
            <c:numRef>
              <c:f>Лист1!$B$57:$D$57</c:f>
              <c:numCache>
                <c:formatCode>General</c:formatCode>
                <c:ptCount val="3"/>
                <c:pt idx="0">
                  <c:v>2015</c:v>
                </c:pt>
                <c:pt idx="1">
                  <c:v>2016</c:v>
                </c:pt>
                <c:pt idx="2">
                  <c:v>2017</c:v>
                </c:pt>
              </c:numCache>
            </c:numRef>
          </c:cat>
          <c:val>
            <c:numRef>
              <c:f>Лист1!$B$61:$D$61</c:f>
              <c:numCache>
                <c:formatCode>0.00%</c:formatCode>
                <c:ptCount val="3"/>
                <c:pt idx="0" formatCode="0%">
                  <c:v>0.19</c:v>
                </c:pt>
                <c:pt idx="1">
                  <c:v>0.15500000000000022</c:v>
                </c:pt>
                <c:pt idx="2" formatCode="0%">
                  <c:v>0.22</c:v>
                </c:pt>
              </c:numCache>
            </c:numRef>
          </c:val>
          <c:extLst>
            <c:ext xmlns:c16="http://schemas.microsoft.com/office/drawing/2014/chart" uri="{C3380CC4-5D6E-409C-BE32-E72D297353CC}">
              <c16:uniqueId val="{00000002-AFC5-41D0-9D4F-43176352A05E}"/>
            </c:ext>
          </c:extLst>
        </c:ser>
        <c:dLbls>
          <c:showLegendKey val="0"/>
          <c:showVal val="0"/>
          <c:showCatName val="0"/>
          <c:showSerName val="0"/>
          <c:showPercent val="0"/>
          <c:showBubbleSize val="0"/>
        </c:dLbls>
        <c:gapWidth val="150"/>
        <c:shape val="box"/>
        <c:axId val="186934272"/>
        <c:axId val="224461376"/>
        <c:axId val="0"/>
      </c:bar3DChart>
      <c:catAx>
        <c:axId val="186934272"/>
        <c:scaling>
          <c:orientation val="minMax"/>
        </c:scaling>
        <c:delete val="0"/>
        <c:axPos val="b"/>
        <c:title>
          <c:tx>
            <c:rich>
              <a:bodyPr/>
              <a:lstStyle/>
              <a:p>
                <a:pPr>
                  <a:defRPr/>
                </a:pPr>
                <a:r>
                  <a:rPr lang="ru-RU"/>
                  <a:t>года</a:t>
                </a:r>
              </a:p>
            </c:rich>
          </c:tx>
          <c:layout/>
          <c:overlay val="0"/>
        </c:title>
        <c:numFmt formatCode="General" sourceLinked="1"/>
        <c:majorTickMark val="none"/>
        <c:minorTickMark val="none"/>
        <c:tickLblPos val="nextTo"/>
        <c:crossAx val="224461376"/>
        <c:crosses val="autoZero"/>
        <c:auto val="1"/>
        <c:lblAlgn val="ctr"/>
        <c:lblOffset val="100"/>
        <c:noMultiLvlLbl val="0"/>
      </c:catAx>
      <c:valAx>
        <c:axId val="224461376"/>
        <c:scaling>
          <c:orientation val="minMax"/>
        </c:scaling>
        <c:delete val="0"/>
        <c:axPos val="l"/>
        <c:majorGridlines/>
        <c:title>
          <c:tx>
            <c:rich>
              <a:bodyPr/>
              <a:lstStyle/>
              <a:p>
                <a:pPr>
                  <a:defRPr/>
                </a:pPr>
                <a:r>
                  <a:rPr lang="en-US"/>
                  <a:t>%</a:t>
                </a:r>
              </a:p>
            </c:rich>
          </c:tx>
          <c:layout/>
          <c:overlay val="0"/>
        </c:title>
        <c:numFmt formatCode="0.00%" sourceLinked="1"/>
        <c:majorTickMark val="out"/>
        <c:minorTickMark val="none"/>
        <c:tickLblPos val="nextTo"/>
        <c:crossAx val="186934272"/>
        <c:crosses val="autoZero"/>
        <c:crossBetween val="between"/>
      </c:valAx>
    </c:plotArea>
    <c:legend>
      <c:legendPos val="r"/>
      <c:layout>
        <c:manualLayout>
          <c:xMode val="edge"/>
          <c:yMode val="edge"/>
          <c:x val="0.6483929704865331"/>
          <c:y val="0.10633233080524646"/>
          <c:w val="0.33915760529933814"/>
          <c:h val="0.64711389892573667"/>
        </c:manualLayout>
      </c:layout>
      <c:overlay val="0"/>
    </c:legend>
    <c:plotVisOnly val="1"/>
    <c:dispBlanksAs val="gap"/>
    <c:showDLblsOverMax val="0"/>
  </c:chart>
  <c:spPr>
    <a:ln>
      <a:noFill/>
    </a:ln>
  </c:spPr>
  <c:txPr>
    <a:bodyPr/>
    <a:lstStyle/>
    <a:p>
      <a:pPr>
        <a:defRPr sz="1050">
          <a:latin typeface="Times New Roman" pitchFamily="18" charset="0"/>
          <a:cs typeface="Times New Roman" pitchFamily="18" charset="0"/>
        </a:defRPr>
      </a:pPr>
      <a:endParaRPr lang="ru-RU"/>
    </a:p>
  </c:txPr>
  <c:externalData r:id="rId2">
    <c:autoUpdate val="0"/>
  </c:externalData>
</c:chartSpace>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word/theme/themeOverride1.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2.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word/theme/themeOverride3.xml><?xml version="1.0" encoding="utf-8"?>
<a:themeOverride xmlns:a="http://schemas.openxmlformats.org/drawingml/2006/main">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Override>
</file>

<file path=docProps/app.xml><?xml version="1.0" encoding="utf-8"?>
<Properties xmlns="http://schemas.openxmlformats.org/officeDocument/2006/extended-properties" xmlns:vt="http://schemas.openxmlformats.org/officeDocument/2006/docPropsVTypes">
  <Template>Normal</Template>
  <TotalTime>21</TotalTime>
  <Pages>8</Pages>
  <Words>2107</Words>
  <Characters>12013</Characters>
  <Application>Microsoft Office Word</Application>
  <DocSecurity>0</DocSecurity>
  <Lines>100</Lines>
  <Paragraphs>28</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14092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user-21 Слушаетель РАНХиГС</dc:creator>
  <cp:keywords/>
  <dc:description/>
  <cp:lastModifiedBy>Екатерина</cp:lastModifiedBy>
  <cp:revision>3</cp:revision>
  <dcterms:created xsi:type="dcterms:W3CDTF">2019-02-28T14:56:00Z</dcterms:created>
  <dcterms:modified xsi:type="dcterms:W3CDTF">2019-03-04T16:56:00Z</dcterms:modified>
</cp:coreProperties>
</file>