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78" w:rsidRDefault="00F74278" w:rsidP="002627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РОЛЬ СЛУЖБЫ БЕЗОПАСНОСТИ В ОБЕСПЕЧЕНИИ ЭКОНОМИЧЕСКОЙ БЕЗОПАСНОСТИ ПАО «СБЕРБАНК» </w:t>
      </w:r>
    </w:p>
    <w:p w:rsidR="00F74278" w:rsidRDefault="00F74278" w:rsidP="00F742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4278" w:rsidRDefault="005F0031" w:rsidP="00F7427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Джабраилова Р.Ш</w:t>
      </w:r>
      <w:r w:rsidR="00F74278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74278" w:rsidRDefault="00F74278" w:rsidP="00F7427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F74278" w:rsidRDefault="00F74278" w:rsidP="00F74278">
      <w:pPr>
        <w:pBdr>
          <w:top w:val="single" w:sz="4" w:space="1" w:color="auto"/>
          <w:bottom w:val="single" w:sz="4" w:space="1" w:color="auto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highlight w:val="yellow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Настоящая статья посвящена исследованию влияния содержания эфиров и кислот на антифрикционные свойства прокатных смазок, применяемых при горячей прокатке алюминия и алюминиевых сплавов. Коэффициент трения был получен в результате проведения экспериментов по методу предельных обжатий заготовки из сплава 3104. Этот метод позволяет проводить испытания с условиями намного более близкими 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</w:t>
      </w:r>
      <w:proofErr w:type="gram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производственным, чем тест на </w:t>
      </w:r>
      <w:proofErr w:type="spell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четырехвалковых</w:t>
      </w:r>
      <w:proofErr w:type="spell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машинах. Для построения эпюры распределения нормальных контактных напряжений в очаге деформации был произведен теоретический расчет при помощи программы </w:t>
      </w:r>
      <w:r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Deform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2 </w:t>
      </w:r>
      <w:r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D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. Были проведены практические эксперименты на лабораторном прокатном стане кварто для прокатки листов и ленты, которые позволили связать показатель коэффициента трения с содержанием эфиров и жирных кислот в прокатной смазке.</w:t>
      </w:r>
    </w:p>
    <w:p w:rsidR="00F74278" w:rsidRDefault="00F74278" w:rsidP="00F7427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Ключевые слова: коэффициент трения, прокатная смазка, прокатка, угол захвата, метод предельных обжатий, алюминиевые сплавы.</w:t>
      </w:r>
    </w:p>
    <w:p w:rsidR="00F74278" w:rsidRDefault="00F74278" w:rsidP="00F74278">
      <w:pPr>
        <w:spacing w:after="0" w:line="240" w:lineRule="auto"/>
        <w:rPr>
          <w:rFonts w:ascii="Times New Roman" w:hAnsi="Times New Roman"/>
          <w:i/>
          <w:sz w:val="20"/>
          <w:szCs w:val="20"/>
          <w:lang w:eastAsia="ru-RU"/>
        </w:rPr>
      </w:pPr>
    </w:p>
    <w:p w:rsidR="00F74278" w:rsidRPr="00F74278" w:rsidRDefault="00F74278" w:rsidP="00F74278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STUDY OF ALUMINUM ALLOY ROLLING OIL ANTIFRICTION PROPERTIES BY ULTIMATE REDUCTION METHOD</w:t>
      </w:r>
    </w:p>
    <w:p w:rsidR="00F74278" w:rsidRPr="00F74278" w:rsidRDefault="00F74278" w:rsidP="00F74278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74278" w:rsidRPr="005F0031" w:rsidRDefault="005F0031" w:rsidP="00F74278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 w:eastAsia="ru-RU"/>
        </w:rPr>
        <w:t>Dzhabrailova</w:t>
      </w:r>
      <w:proofErr w:type="spellEnd"/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 w:eastAsia="ru-RU"/>
        </w:rPr>
        <w:t>R</w:t>
      </w:r>
      <w:r w:rsidR="00F74278">
        <w:rPr>
          <w:rFonts w:ascii="Times New Roman" w:hAnsi="Times New Roman"/>
          <w:b/>
          <w:sz w:val="24"/>
          <w:szCs w:val="24"/>
          <w:lang w:val="en-US" w:eastAsia="ru-RU"/>
        </w:rPr>
        <w:t>.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Sh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proofErr w:type="gramEnd"/>
    </w:p>
    <w:p w:rsidR="00F74278" w:rsidRDefault="00F74278" w:rsidP="00F7427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 w:eastAsia="ru-RU"/>
        </w:rPr>
      </w:pPr>
    </w:p>
    <w:p w:rsidR="00F74278" w:rsidRDefault="00F74278" w:rsidP="00F74278">
      <w:pPr>
        <w:pBdr>
          <w:top w:val="single" w:sz="4" w:space="1" w:color="auto"/>
          <w:bottom w:val="single" w:sz="4" w:space="1" w:color="auto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highlight w:val="yellow"/>
          <w:lang w:val="en-US" w:eastAsia="ru-RU"/>
        </w:rPr>
      </w:pPr>
      <w:r>
        <w:rPr>
          <w:rFonts w:ascii="Times New Roman" w:hAnsi="Times New Roman"/>
          <w:b/>
          <w:sz w:val="20"/>
          <w:szCs w:val="20"/>
          <w:lang w:val="en-US" w:eastAsia="ru-RU"/>
        </w:rPr>
        <w:t xml:space="preserve">This article is dedicated to the study of the influence of esters and acids content on anti-friction properties of rolling oil used in the hot rolling of aluminum and aluminum alloys. The coefficient of friction was obtained as a result of experiments using alloy 3104 stock ultimate reduction method. This method enables test performance under conditions much similar to production ones than those of a four-high machine test. To create normal contact stress distribution curve in the deformation zone, theoretical computation was made using Deform 2 D software. Practical experiments were carried out on a laboratory four-high rolling mill for rolling sheets and strips, that allowed </w:t>
      </w:r>
      <w:proofErr w:type="gramStart"/>
      <w:r>
        <w:rPr>
          <w:rFonts w:ascii="Times New Roman" w:hAnsi="Times New Roman"/>
          <w:b/>
          <w:sz w:val="20"/>
          <w:szCs w:val="20"/>
          <w:lang w:val="en-US" w:eastAsia="ru-RU"/>
        </w:rPr>
        <w:t>to establish</w:t>
      </w:r>
      <w:proofErr w:type="gramEnd"/>
      <w:r>
        <w:rPr>
          <w:rFonts w:ascii="Times New Roman" w:hAnsi="Times New Roman"/>
          <w:b/>
          <w:sz w:val="20"/>
          <w:szCs w:val="20"/>
          <w:lang w:val="en-US" w:eastAsia="ru-RU"/>
        </w:rPr>
        <w:t xml:space="preserve"> a link between coefficient of friction value and the content of esters and fatty acids in the rolling oil.</w:t>
      </w:r>
    </w:p>
    <w:p w:rsidR="00F74278" w:rsidRDefault="00F74278" w:rsidP="00F7427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 w:eastAsia="ru-RU"/>
        </w:rPr>
        <w:t xml:space="preserve">Keywords: friction coefficient, rolling lubrication, bite angle, breakdown rate reduction practice, </w:t>
      </w:r>
      <w:proofErr w:type="gramStart"/>
      <w:r>
        <w:rPr>
          <w:rFonts w:ascii="Times New Roman" w:hAnsi="Times New Roman"/>
          <w:sz w:val="20"/>
          <w:szCs w:val="20"/>
          <w:lang w:val="en-US" w:eastAsia="ru-RU"/>
        </w:rPr>
        <w:t>aluminum</w:t>
      </w:r>
      <w:proofErr w:type="gramEnd"/>
      <w:r>
        <w:rPr>
          <w:rFonts w:ascii="Times New Roman" w:hAnsi="Times New Roman"/>
          <w:sz w:val="20"/>
          <w:szCs w:val="20"/>
          <w:lang w:val="en-US" w:eastAsia="ru-RU"/>
        </w:rPr>
        <w:t xml:space="preserve"> alloys.</w:t>
      </w:r>
    </w:p>
    <w:p w:rsidR="00F74278" w:rsidRDefault="00F74278" w:rsidP="00F7427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262782" w:rsidRPr="00262782" w:rsidRDefault="00F74278" w:rsidP="00262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278">
        <w:rPr>
          <w:rFonts w:ascii="Times New Roman" w:hAnsi="Times New Roman"/>
          <w:sz w:val="24"/>
          <w:szCs w:val="24"/>
        </w:rPr>
        <w:t xml:space="preserve">В </w:t>
      </w:r>
      <w:r w:rsidR="00367123">
        <w:rPr>
          <w:rFonts w:ascii="Times New Roman" w:hAnsi="Times New Roman"/>
          <w:sz w:val="24"/>
          <w:szCs w:val="24"/>
        </w:rPr>
        <w:t xml:space="preserve">настоящее время экономика России развивается в условиях влияния и под действием западных санкций и ответных мер, что оказывает как положительное, так и отрицательное влияние на экономическое положение страны. Так, начиная с сентября 2018 г. происходит падение стоимости российского рубля, которое повышает значимость обеспечения экономической безопасности. Продолжительный период рецессии экономики России постепенно </w:t>
      </w:r>
      <w:r w:rsidR="00262782">
        <w:rPr>
          <w:rFonts w:ascii="Times New Roman" w:hAnsi="Times New Roman"/>
          <w:sz w:val="24"/>
          <w:szCs w:val="24"/>
        </w:rPr>
        <w:t>завершается</w:t>
      </w:r>
      <w:r w:rsidR="00367123">
        <w:rPr>
          <w:rFonts w:ascii="Times New Roman" w:hAnsi="Times New Roman"/>
          <w:sz w:val="24"/>
          <w:szCs w:val="24"/>
        </w:rPr>
        <w:t>, и основные экономические показатели развития начинают улучшаться. К одному из таких показателей относится уровень ин</w:t>
      </w:r>
      <w:r w:rsidR="00367123" w:rsidRPr="00367123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367123">
        <w:rPr>
          <w:rFonts w:ascii="Times New Roman" w:eastAsia="Times New Roman" w:hAnsi="Times New Roman"/>
          <w:sz w:val="24"/>
          <w:szCs w:val="24"/>
          <w:lang w:eastAsia="ru-RU"/>
        </w:rPr>
        <w:t xml:space="preserve">ляции, которая в 2018 г. составила 2,5%, что в два раза меньше, чем уровень </w:t>
      </w:r>
      <w:r w:rsidR="00367123">
        <w:rPr>
          <w:rFonts w:ascii="Times New Roman" w:hAnsi="Times New Roman"/>
          <w:sz w:val="24"/>
          <w:szCs w:val="24"/>
        </w:rPr>
        <w:t>ин</w:t>
      </w:r>
      <w:r w:rsidR="00367123" w:rsidRPr="00367123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367123">
        <w:rPr>
          <w:rFonts w:ascii="Times New Roman" w:eastAsia="Times New Roman" w:hAnsi="Times New Roman"/>
          <w:sz w:val="24"/>
          <w:szCs w:val="24"/>
          <w:lang w:eastAsia="ru-RU"/>
        </w:rPr>
        <w:t xml:space="preserve">ляции за 2017 г. </w:t>
      </w:r>
      <w:r w:rsidR="006C5E55">
        <w:rPr>
          <w:rFonts w:ascii="Times New Roman" w:eastAsia="Times New Roman" w:hAnsi="Times New Roman"/>
          <w:sz w:val="24"/>
          <w:szCs w:val="24"/>
          <w:lang w:eastAsia="ru-RU"/>
        </w:rPr>
        <w:t xml:space="preserve">В 2018 г. продолжается увеличиваться средняя заработная плата населения в реальном выражении. Темп ее роста в 2018 г. составили 103,1% по сравнению со средней заработной платой населения в 2017 г. </w:t>
      </w:r>
      <w:r w:rsidR="00262782" w:rsidRPr="00262782">
        <w:rPr>
          <w:rFonts w:ascii="Times New Roman" w:eastAsia="Times New Roman" w:hAnsi="Times New Roman"/>
          <w:sz w:val="24"/>
          <w:szCs w:val="24"/>
          <w:lang w:eastAsia="ru-RU"/>
        </w:rPr>
        <w:t>[5]</w:t>
      </w:r>
      <w:r w:rsidR="0026278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5E55" w:rsidRPr="00262782" w:rsidRDefault="006C5E55" w:rsidP="00262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782">
        <w:rPr>
          <w:rFonts w:ascii="Times New Roman" w:eastAsia="Times New Roman" w:hAnsi="Times New Roman"/>
          <w:sz w:val="24"/>
          <w:szCs w:val="24"/>
          <w:lang w:eastAsia="ru-RU"/>
        </w:rPr>
        <w:t>Следует отметить, что рецессия экономики страны, наблюдающаяся в 2014-2016 гг., усилила проблемные стороны развития банковской системы России. В результате происходит ежегодное сокращение численности банков в экономике, снижение финансовой устойчивости ряда действующих коммерческих кредитных организаций.</w:t>
      </w:r>
    </w:p>
    <w:p w:rsidR="006C5E55" w:rsidRDefault="006C5E55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782">
        <w:rPr>
          <w:rFonts w:ascii="Times New Roman" w:hAnsi="Times New Roman"/>
          <w:sz w:val="24"/>
          <w:szCs w:val="24"/>
        </w:rPr>
        <w:t xml:space="preserve">Укрепление устойчивости российской государственности, международного авторитета и экономического суверенитета России </w:t>
      </w:r>
      <w:r w:rsidR="00262782">
        <w:rPr>
          <w:rFonts w:ascii="Times New Roman" w:hAnsi="Times New Roman"/>
          <w:sz w:val="24"/>
          <w:szCs w:val="24"/>
        </w:rPr>
        <w:t xml:space="preserve">в 2018 г. </w:t>
      </w:r>
      <w:r w:rsidRPr="00262782">
        <w:rPr>
          <w:rFonts w:ascii="Times New Roman" w:hAnsi="Times New Roman"/>
          <w:sz w:val="24"/>
          <w:szCs w:val="24"/>
        </w:rPr>
        <w:t>идет параллельно с усилением уже сложившихся угроз экономической безопасности Российской Федерации, а также появлением принципиально новых вызовов ее национальным интересам.</w:t>
      </w:r>
    </w:p>
    <w:p w:rsidR="00262782" w:rsidRDefault="00262782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сложившихся условиях экономическая безопасность каждого отдельного банка обеспечивает экономическую безопасность всей банковской системы России, что, в свою очередь, способствует укреплению экономической безопасности всей страны в целом.</w:t>
      </w:r>
    </w:p>
    <w:p w:rsidR="00262782" w:rsidRDefault="00262782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782">
        <w:rPr>
          <w:rFonts w:ascii="Times New Roman" w:hAnsi="Times New Roman"/>
          <w:sz w:val="24"/>
          <w:szCs w:val="24"/>
        </w:rPr>
        <w:lastRenderedPageBreak/>
        <w:t xml:space="preserve">По мнению </w:t>
      </w:r>
      <w:proofErr w:type="spellStart"/>
      <w:r w:rsidRPr="00262782">
        <w:rPr>
          <w:rFonts w:ascii="Times New Roman" w:hAnsi="Times New Roman"/>
          <w:sz w:val="24"/>
          <w:szCs w:val="24"/>
        </w:rPr>
        <w:t>Маханько</w:t>
      </w:r>
      <w:proofErr w:type="spellEnd"/>
      <w:r w:rsidRPr="00262782">
        <w:rPr>
          <w:rFonts w:ascii="Times New Roman" w:hAnsi="Times New Roman"/>
          <w:sz w:val="24"/>
          <w:szCs w:val="24"/>
        </w:rPr>
        <w:t xml:space="preserve"> Г.В. экономическая безопасность представляет собой способность, возможность и готовность некоторой экономической системы на основе действенного управления обеспечивать равновесие и устойчивость экономического роста, удовлетворение социальных запросов и защиту отечественных интересов в разных областях жизнедеятельности от внешних и внутренних угроз.</w:t>
      </w:r>
    </w:p>
    <w:p w:rsidR="00262782" w:rsidRDefault="00262782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 xml:space="preserve">Структуру экономической безопасности можно представить в виде схемы </w:t>
      </w:r>
      <w:r w:rsidR="007234DE" w:rsidRPr="007234DE">
        <w:rPr>
          <w:rFonts w:ascii="Times New Roman" w:hAnsi="Times New Roman"/>
          <w:sz w:val="24"/>
          <w:szCs w:val="24"/>
        </w:rPr>
        <w:t>на</w:t>
      </w:r>
      <w:r w:rsidRPr="007234DE">
        <w:rPr>
          <w:rFonts w:ascii="Times New Roman" w:hAnsi="Times New Roman"/>
          <w:sz w:val="24"/>
          <w:szCs w:val="24"/>
        </w:rPr>
        <w:t xml:space="preserve"> рис</w:t>
      </w:r>
      <w:r w:rsidR="007234DE" w:rsidRPr="007234DE">
        <w:rPr>
          <w:rFonts w:ascii="Times New Roman" w:hAnsi="Times New Roman"/>
          <w:sz w:val="24"/>
          <w:szCs w:val="24"/>
        </w:rPr>
        <w:t>унке</w:t>
      </w:r>
      <w:r w:rsidRPr="007234DE">
        <w:rPr>
          <w:rFonts w:ascii="Times New Roman" w:hAnsi="Times New Roman"/>
          <w:sz w:val="24"/>
          <w:szCs w:val="24"/>
        </w:rPr>
        <w:t xml:space="preserve"> 1.</w:t>
      </w:r>
    </w:p>
    <w:p w:rsidR="007234DE" w:rsidRPr="007234DE" w:rsidRDefault="005F0031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6" style="position:absolute;left:0;text-align:left;margin-left:124.05pt;margin-top:6pt;width:259.5pt;height:21.75pt;z-index:251658240">
            <v:textbox>
              <w:txbxContent>
                <w:p w:rsidR="007234DE" w:rsidRPr="007234DE" w:rsidRDefault="007234DE" w:rsidP="007234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34DE">
                    <w:rPr>
                      <w:rFonts w:ascii="Times New Roman" w:hAnsi="Times New Roman"/>
                    </w:rPr>
                    <w:t>Экономическая безопасность</w:t>
                  </w:r>
                </w:p>
              </w:txbxContent>
            </v:textbox>
          </v:rect>
        </w:pict>
      </w:r>
    </w:p>
    <w:p w:rsidR="00262782" w:rsidRDefault="00262782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4DE" w:rsidRPr="00262782" w:rsidRDefault="005F0031" w:rsidP="002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50.8pt;margin-top:.15pt;width:0;height:13.5pt;z-index:251664384" o:connectortype="straight"/>
        </w:pict>
      </w:r>
    </w:p>
    <w:p w:rsidR="00262782" w:rsidRDefault="005F0031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6" type="#_x0000_t32" style="position:absolute;left:0;text-align:left;margin-left:421.05pt;margin-top:-.15pt;width:0;height:14.25pt;z-index:251667456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7" type="#_x0000_t32" style="position:absolute;left:0;text-align:left;margin-left:309.3pt;margin-top:-.15pt;width:0;height:14.25pt;z-index:251668480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4" type="#_x0000_t32" style="position:absolute;left:0;text-align:left;margin-left:196.05pt;margin-top:-.15pt;width:0;height:14.25pt;z-index:251666432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3" type="#_x0000_t32" style="position:absolute;left:0;text-align:left;margin-left:76.8pt;margin-top:-.15pt;width:0;height:14.25pt;z-index:251665408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s1031" type="#_x0000_t32" style="position:absolute;left:0;text-align:left;margin-left:76.8pt;margin-top:-.15pt;width:344.25pt;height:0;z-index:251663360" o:connectortype="straight"/>
        </w:pict>
      </w:r>
    </w:p>
    <w:p w:rsidR="007234DE" w:rsidRDefault="005F0031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28" style="position:absolute;left:0;text-align:left;margin-left:372.3pt;margin-top:.3pt;width:93pt;height:31.5pt;z-index:251660288">
            <v:textbox>
              <w:txbxContent>
                <w:p w:rsidR="007234DE" w:rsidRPr="007234DE" w:rsidRDefault="007234DE" w:rsidP="007234DE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Техническая </w:t>
                  </w:r>
                  <w:r w:rsidRPr="007234DE">
                    <w:rPr>
                      <w:rFonts w:ascii="Times New Roman" w:hAnsi="Times New Roman"/>
                    </w:rPr>
                    <w:t>безопасность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27" style="position:absolute;left:0;text-align:left;margin-left:22.05pt;margin-top:.3pt;width:109.5pt;height:31.5pt;z-index:251659264">
            <v:textbox>
              <w:txbxContent>
                <w:p w:rsidR="007234DE" w:rsidRPr="007234DE" w:rsidRDefault="007234DE" w:rsidP="007234DE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234DE">
                    <w:rPr>
                      <w:rFonts w:ascii="Times New Roman" w:hAnsi="Times New Roman"/>
                    </w:rPr>
                    <w:t>Информационная безопасность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30" style="position:absolute;left:0;text-align:left;margin-left:147.3pt;margin-top:.3pt;width:96pt;height:31.5pt;z-index:251662336">
            <v:textbox>
              <w:txbxContent>
                <w:p w:rsidR="007234DE" w:rsidRPr="007234DE" w:rsidRDefault="007234DE" w:rsidP="007234DE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Техническая</w:t>
                  </w:r>
                  <w:r w:rsidRPr="007234DE">
                    <w:rPr>
                      <w:rFonts w:ascii="Times New Roman" w:hAnsi="Times New Roman"/>
                    </w:rPr>
                    <w:t xml:space="preserve"> безопасность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29" style="position:absolute;left:0;text-align:left;margin-left:260.55pt;margin-top:.3pt;width:93pt;height:31.5pt;z-index:251661312">
            <v:textbox>
              <w:txbxContent>
                <w:p w:rsidR="007234DE" w:rsidRPr="007234DE" w:rsidRDefault="007234DE" w:rsidP="007234DE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Финансовая</w:t>
                  </w:r>
                  <w:r w:rsidRPr="007234DE">
                    <w:rPr>
                      <w:rFonts w:ascii="Times New Roman" w:hAnsi="Times New Roman"/>
                    </w:rPr>
                    <w:t xml:space="preserve"> безопасность</w:t>
                  </w:r>
                </w:p>
              </w:txbxContent>
            </v:textbox>
          </v:rect>
        </w:pict>
      </w:r>
    </w:p>
    <w:p w:rsid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 xml:space="preserve">Рис. 1. Структура экономической безопасности бизнеса </w:t>
      </w: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 xml:space="preserve">Под информационной безопасностью понимаются меры по защите информации от несанкционированного доступа [7]. </w:t>
      </w: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>Кадровые элементы обеспечения экономической безопасности предприятия включают в себя работу с персоналом предприятия, нацеленную на предотвращение угроз негативного воздействия за счет недостаточной квалификации сотрудников, слабой организации системы управления персон</w:t>
      </w:r>
      <w:proofErr w:type="gramStart"/>
      <w:r w:rsidRPr="007234DE">
        <w:rPr>
          <w:rFonts w:ascii="Times New Roman" w:hAnsi="Times New Roman"/>
          <w:sz w:val="24"/>
          <w:szCs w:val="24"/>
        </w:rPr>
        <w:t>а-</w:t>
      </w:r>
      <w:proofErr w:type="gramEnd"/>
      <w:r w:rsidRPr="007234DE">
        <w:rPr>
          <w:rFonts w:ascii="Times New Roman" w:hAnsi="Times New Roman"/>
          <w:sz w:val="24"/>
          <w:szCs w:val="24"/>
        </w:rPr>
        <w:t xml:space="preserve"> лом, подбора, обучения и мотивации сотрудников предприятия [5]. </w:t>
      </w: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 xml:space="preserve">Техническая безопасность направлена на создание в хозяйствующем субъекте технологий, позволяющих предотвратить «утечку» конфиденциальной информации. </w:t>
      </w: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 xml:space="preserve">Финансовые элементы могут быть определены как совокупность работ по обеспечению максимально высокого уровня платежеспособности предприятия и ликвидности его активов, наиболее эффективной структуры капитала, повышению качества планирования и осуществления финансово- хозяйственной деятельности предприятия. </w:t>
      </w: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>Поэтому под комплексной системой обеспечения экономической безопасности бизнеса следует понимать совокупность взаимосвязанных мероприятий организационно-правового характера, осуществляемых в целях защиты предпринимательской деятельности от действий, которые могут привести к существенным экономическим потерям.</w:t>
      </w:r>
    </w:p>
    <w:p w:rsidR="007234DE" w:rsidRP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>Эффективное функционирование всех элементов экономической безопасности (в комплексе и по отдельности) возможно только при наличии на предприятии собственной высококвалифицированной службы безопасности.</w:t>
      </w:r>
    </w:p>
    <w:p w:rsid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DE">
        <w:rPr>
          <w:rFonts w:ascii="Times New Roman" w:hAnsi="Times New Roman"/>
          <w:sz w:val="24"/>
          <w:szCs w:val="24"/>
        </w:rPr>
        <w:t>Как показывает практика, отказ от использования на предприятии службы безопасности ведет к потере прибыли до 9 % [6]. Эти данные характеризуют лишь случаи умышленного нанесения ущерба собственными сотрудниками. Оценить реальные масштабы упущенной выгоды просто невозможно. Эффективная организация работы служб по управлению персоналом в обеспечении кадровой безопасности может почти на 60 % снизить прямые и предотвратить косвенные убытки компании, связанные с человеческим фактором [6].</w:t>
      </w:r>
    </w:p>
    <w:p w:rsidR="007234DE" w:rsidRDefault="0080205D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Крупнейшим банком страны является ПАО «Сбербанк», который ежегодно укрепляет свои лидирующие позиции на банковском рынке России.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05D">
        <w:rPr>
          <w:rFonts w:ascii="Times New Roman" w:hAnsi="Times New Roman"/>
          <w:sz w:val="24"/>
          <w:szCs w:val="24"/>
        </w:rPr>
        <w:t>Так, на долю ПАО «Сбербанк» приходится около 28,9 % всех активов и около 39,3% всего капитала банковского рынка России в 2017 г. Отметим, что как по размеру активов, так и капитала ПАО «Сбербанк» занимает 1 место среди всех банков России.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05D">
        <w:rPr>
          <w:rFonts w:ascii="Times New Roman" w:hAnsi="Times New Roman"/>
          <w:sz w:val="24"/>
          <w:szCs w:val="24"/>
        </w:rPr>
        <w:t>По объему выданных кредитов юридическим лицам ПАО «Сбербанк» принадлежит 32,4 % российского рынка, а вкладам юридических лиц – 20,9% российского рынка. Доля ПАО «Сбербанк» на рынке кредитования физических лиц составляет около 40,5 %, а вкладам – 46,1 %.По объему вкладов и выданных кредитов  ПАО «Сбербанк» занимает 1 место среди всех банков России.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Уже не первый год </w:t>
      </w:r>
      <w:r w:rsidRPr="0080205D">
        <w:rPr>
          <w:rFonts w:ascii="Times New Roman" w:hAnsi="Times New Roman"/>
          <w:sz w:val="24"/>
          <w:szCs w:val="24"/>
        </w:rPr>
        <w:t xml:space="preserve">ПАО «Сбербанк» 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возглавляет официальный список самых надежных банков по данным ЦБ. 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r w:rsidRPr="0080205D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5162550" cy="2333625"/>
            <wp:effectExtent l="0" t="0" r="0" b="0"/>
            <wp:docPr id="2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Рисунок 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– Динамика активной клиентской базы 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>ПАО «Сбербанк», млн. чел.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>Деятельность банка характеризуется постоянным ростом клиентской базы.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Отметим, некоторое снижение </w:t>
      </w:r>
      <w:proofErr w:type="spellStart"/>
      <w:r w:rsidRPr="0080205D">
        <w:rPr>
          <w:rFonts w:ascii="Times New Roman" w:hAnsi="Times New Roman"/>
          <w:color w:val="000000" w:themeColor="text1"/>
          <w:sz w:val="24"/>
          <w:szCs w:val="24"/>
        </w:rPr>
        <w:t>клиентопотока</w:t>
      </w:r>
      <w:proofErr w:type="spellEnd"/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в отделениях ПАО «Сбербанк» в 2018 г.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4972050" cy="2400300"/>
            <wp:effectExtent l="0" t="0" r="0" b="0"/>
            <wp:docPr id="10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Рисунок 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– Динамика </w:t>
      </w:r>
      <w:proofErr w:type="spellStart"/>
      <w:r w:rsidRPr="0080205D">
        <w:rPr>
          <w:rFonts w:ascii="Times New Roman" w:hAnsi="Times New Roman"/>
          <w:color w:val="000000" w:themeColor="text1"/>
          <w:sz w:val="24"/>
          <w:szCs w:val="24"/>
        </w:rPr>
        <w:t>клиентопотока</w:t>
      </w:r>
      <w:proofErr w:type="spellEnd"/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в отделениях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>ПАО «Сбербанк», млн. чел.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В таблице 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представим основные показатели деятельности банка за период с 2015 г. по 2017 г.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Таблица 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- Основные показатели деятельности ПАО «Сбербанк» за 2015 – 2017 гг., млрд. 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087"/>
        <w:gridCol w:w="1090"/>
        <w:gridCol w:w="1090"/>
        <w:gridCol w:w="1095"/>
        <w:gridCol w:w="1095"/>
        <w:gridCol w:w="1062"/>
        <w:gridCol w:w="1276"/>
      </w:tblGrid>
      <w:tr w:rsidR="0080205D" w:rsidRPr="0080205D" w:rsidTr="005860D6">
        <w:tc>
          <w:tcPr>
            <w:tcW w:w="1951" w:type="dxa"/>
            <w:vMerge w:val="restart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3267" w:type="dxa"/>
            <w:gridSpan w:val="3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</w:p>
        </w:tc>
        <w:tc>
          <w:tcPr>
            <w:tcW w:w="2190" w:type="dxa"/>
            <w:gridSpan w:val="2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Абсол</w:t>
            </w:r>
            <w:proofErr w:type="spellEnd"/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отклон</w:t>
            </w:r>
            <w:proofErr w:type="spellEnd"/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38" w:type="dxa"/>
            <w:gridSpan w:val="2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Темп прироста, %</w:t>
            </w:r>
          </w:p>
        </w:tc>
      </w:tr>
      <w:tr w:rsidR="0080205D" w:rsidRPr="0080205D" w:rsidTr="005860D6">
        <w:tc>
          <w:tcPr>
            <w:tcW w:w="1951" w:type="dxa"/>
            <w:vMerge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2016-2015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2017-2016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2016/ 2015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2017/ 2016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Активы 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22707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21721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23159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-986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1438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-4,34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6,62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Процентные доходы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1201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1302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39,98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8,41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Чистая прибыль 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498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654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128,44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31,33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Собственные средства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2328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2829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3359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21,52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18,73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Кредиты ФЛ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4966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5032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5717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13,61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Кредиты ЮЛ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14959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13633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14175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-1326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-8,86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3,98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Вклады ФЛ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12044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12450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13420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3,37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7,79</w:t>
            </w:r>
          </w:p>
        </w:tc>
      </w:tr>
      <w:tr w:rsidR="0080205D" w:rsidRPr="0080205D" w:rsidTr="005860D6">
        <w:tc>
          <w:tcPr>
            <w:tcW w:w="1951" w:type="dxa"/>
          </w:tcPr>
          <w:p w:rsidR="0080205D" w:rsidRPr="0080205D" w:rsidRDefault="0080205D" w:rsidP="0080205D">
            <w:pPr>
              <w:autoSpaceDE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Вклады ЮЛ</w:t>
            </w:r>
          </w:p>
        </w:tc>
        <w:tc>
          <w:tcPr>
            <w:tcW w:w="1087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7755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6235</w:t>
            </w:r>
          </w:p>
        </w:tc>
        <w:tc>
          <w:tcPr>
            <w:tcW w:w="1090" w:type="dxa"/>
            <w:vAlign w:val="center"/>
          </w:tcPr>
          <w:p w:rsidR="0080205D" w:rsidRPr="0080205D" w:rsidRDefault="0080205D" w:rsidP="0080205D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6394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-1520</w:t>
            </w:r>
          </w:p>
        </w:tc>
        <w:tc>
          <w:tcPr>
            <w:tcW w:w="1095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062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-19,60</w:t>
            </w:r>
          </w:p>
        </w:tc>
        <w:tc>
          <w:tcPr>
            <w:tcW w:w="1276" w:type="dxa"/>
            <w:vAlign w:val="center"/>
          </w:tcPr>
          <w:p w:rsidR="0080205D" w:rsidRPr="0080205D" w:rsidRDefault="0080205D" w:rsidP="00802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05D">
              <w:rPr>
                <w:rFonts w:ascii="Times New Roman" w:hAnsi="Times New Roman"/>
                <w:color w:val="000000"/>
                <w:sz w:val="24"/>
                <w:szCs w:val="24"/>
              </w:rPr>
              <w:t>2,55</w:t>
            </w:r>
          </w:p>
        </w:tc>
      </w:tr>
    </w:tbl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 данным таблицы 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видно, что в 2016 г. по сравнению с 2015 г. стоимость активов ПАО «Сбербанк» сократилась на 986 млрд. руб. или 4,34 %. В 2017 г. происходит их рост на 6,62 %.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>Чистая прибыль банка ежегодно увеличивается, как и чистые процентные доходы банка.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505450" cy="2828925"/>
            <wp:effectExtent l="0" t="0" r="0" b="0"/>
            <wp:docPr id="1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Рисунок 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0205D">
        <w:rPr>
          <w:rFonts w:ascii="Times New Roman" w:hAnsi="Times New Roman"/>
          <w:color w:val="000000" w:themeColor="text1"/>
          <w:sz w:val="24"/>
          <w:szCs w:val="24"/>
        </w:rPr>
        <w:t xml:space="preserve"> – Динамика чистых процентных доходов и чистой прибыли ПАО «Сбербанк», млрд. руб.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205D">
        <w:rPr>
          <w:rFonts w:ascii="Times New Roman" w:hAnsi="Times New Roman"/>
          <w:color w:val="000000"/>
          <w:sz w:val="24"/>
          <w:szCs w:val="24"/>
        </w:rPr>
        <w:t xml:space="preserve">Ежегодно увеличивается сумма выданных кредитов физическим лицам и сумма привлеченных вкладов от них. Что касается стоимости выданных кредитов юридическим лицам, то анализ показал их снижение в 2016 г. по сравнению с 2015 г. также сократились и сумма вкладов юридических лиц в 2016 г. на 19,60 %. Но в 2017 г. кредиты юридическим лицам увеличились на  3,98 %, а вклады </w:t>
      </w:r>
      <w:proofErr w:type="gramStart"/>
      <w:r w:rsidRPr="0080205D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80205D">
        <w:rPr>
          <w:rFonts w:ascii="Times New Roman" w:hAnsi="Times New Roman"/>
          <w:color w:val="000000"/>
          <w:sz w:val="24"/>
          <w:szCs w:val="24"/>
        </w:rPr>
        <w:t xml:space="preserve"> 2,55 %.</w:t>
      </w:r>
    </w:p>
    <w:p w:rsidR="0080205D" w:rsidRPr="0080205D" w:rsidRDefault="0080205D" w:rsidP="0080205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205D">
        <w:rPr>
          <w:rFonts w:ascii="Times New Roman" w:hAnsi="Times New Roman"/>
          <w:color w:val="000000"/>
          <w:sz w:val="24"/>
          <w:szCs w:val="24"/>
        </w:rPr>
        <w:t>Итак, в целом можно сказать, что ПАО «Сбербанк» представляет крупнейший банк страны, который по множеству показателей занимает лидирующее место среди российских банков. По основным показателям деятельности банка можно сделать вывод о ежегодном повышении эффективности его деятельности.</w:t>
      </w:r>
    </w:p>
    <w:p w:rsidR="0080205D" w:rsidRDefault="0080205D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205D" w:rsidRDefault="0080205D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205D" w:rsidRPr="007234DE" w:rsidRDefault="0080205D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34DE" w:rsidRDefault="007234DE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4278" w:rsidRDefault="00F74278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Список литературы </w:t>
      </w:r>
    </w:p>
    <w:p w:rsidR="00F74278" w:rsidRDefault="00F74278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1….</w:t>
      </w:r>
    </w:p>
    <w:p w:rsidR="00F74278" w:rsidRDefault="00F74278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2….</w:t>
      </w:r>
    </w:p>
    <w:p w:rsidR="00F74278" w:rsidRPr="00262782" w:rsidRDefault="00F74278" w:rsidP="00262782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62782" w:rsidRPr="00262782">
        <w:t xml:space="preserve"> </w:t>
      </w:r>
      <w:proofErr w:type="spellStart"/>
      <w:r w:rsidR="00262782" w:rsidRPr="00262782">
        <w:rPr>
          <w:rFonts w:ascii="Times New Roman" w:hAnsi="Times New Roman"/>
          <w:sz w:val="24"/>
          <w:szCs w:val="24"/>
        </w:rPr>
        <w:t>Маханько</w:t>
      </w:r>
      <w:proofErr w:type="spellEnd"/>
      <w:r w:rsidR="00262782" w:rsidRPr="00262782">
        <w:rPr>
          <w:rFonts w:ascii="Times New Roman" w:hAnsi="Times New Roman"/>
          <w:sz w:val="24"/>
          <w:szCs w:val="24"/>
        </w:rPr>
        <w:t xml:space="preserve"> Г.В. Экономическая безопасность и конкурентоспосо</w:t>
      </w:r>
      <w:r w:rsidR="00262782">
        <w:rPr>
          <w:rFonts w:ascii="Times New Roman" w:hAnsi="Times New Roman"/>
          <w:sz w:val="24"/>
          <w:szCs w:val="24"/>
        </w:rPr>
        <w:t>бность региона как важнейшая со</w:t>
      </w:r>
      <w:r w:rsidR="00262782" w:rsidRPr="00262782">
        <w:rPr>
          <w:rFonts w:ascii="Times New Roman" w:hAnsi="Times New Roman"/>
          <w:sz w:val="24"/>
          <w:szCs w:val="24"/>
        </w:rPr>
        <w:t xml:space="preserve">ставляющая экономической безопасности России // Научный журнал </w:t>
      </w:r>
      <w:proofErr w:type="spellStart"/>
      <w:r w:rsidR="00262782" w:rsidRPr="00262782">
        <w:rPr>
          <w:rFonts w:ascii="Times New Roman" w:hAnsi="Times New Roman"/>
          <w:sz w:val="24"/>
          <w:szCs w:val="24"/>
        </w:rPr>
        <w:t>КубГАУ</w:t>
      </w:r>
      <w:proofErr w:type="spellEnd"/>
      <w:r w:rsidR="00262782" w:rsidRPr="00262782">
        <w:rPr>
          <w:rFonts w:ascii="Times New Roman" w:hAnsi="Times New Roman"/>
          <w:sz w:val="24"/>
          <w:szCs w:val="24"/>
        </w:rPr>
        <w:t>. 2015. № 105(01).</w:t>
      </w:r>
    </w:p>
    <w:p w:rsidR="00F74278" w:rsidRDefault="00F74278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4….</w:t>
      </w:r>
    </w:p>
    <w:p w:rsidR="00F74278" w:rsidRDefault="00F74278" w:rsidP="00F74278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5….</w:t>
      </w:r>
    </w:p>
    <w:p w:rsidR="007234DE" w:rsidRPr="007234DE" w:rsidRDefault="007234DE" w:rsidP="007234DE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 w:rsidRPr="007234DE">
        <w:rPr>
          <w:rFonts w:ascii="Times New Roman" w:hAnsi="Times New Roman"/>
          <w:sz w:val="24"/>
          <w:szCs w:val="24"/>
        </w:rPr>
        <w:t>Чумарин</w:t>
      </w:r>
      <w:proofErr w:type="spellEnd"/>
      <w:r w:rsidRPr="007234DE">
        <w:rPr>
          <w:rFonts w:ascii="Times New Roman" w:hAnsi="Times New Roman"/>
          <w:sz w:val="24"/>
          <w:szCs w:val="24"/>
        </w:rPr>
        <w:t xml:space="preserve"> И. Персонал и безопасность компании // Менеджер по персоналу. [Электронный ресурс]. Режим доступа: http://hr-portal.ru/article/personal-i-bezopasnost-kompanii</w:t>
      </w:r>
    </w:p>
    <w:p w:rsidR="007234DE" w:rsidRDefault="007234DE" w:rsidP="007234DE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234DE">
        <w:rPr>
          <w:rFonts w:ascii="Times New Roman" w:hAnsi="Times New Roman"/>
          <w:color w:val="000000"/>
          <w:sz w:val="24"/>
          <w:szCs w:val="24"/>
        </w:rPr>
        <w:t xml:space="preserve">7. </w:t>
      </w:r>
      <w:proofErr w:type="spellStart"/>
      <w:r w:rsidRPr="007234DE">
        <w:rPr>
          <w:rFonts w:ascii="Times New Roman" w:hAnsi="Times New Roman"/>
          <w:color w:val="000000"/>
          <w:sz w:val="24"/>
          <w:szCs w:val="24"/>
        </w:rPr>
        <w:t>Хлутков</w:t>
      </w:r>
      <w:proofErr w:type="spellEnd"/>
      <w:r w:rsidRPr="007234DE">
        <w:rPr>
          <w:rFonts w:ascii="Times New Roman" w:hAnsi="Times New Roman"/>
          <w:color w:val="000000"/>
          <w:sz w:val="24"/>
          <w:szCs w:val="24"/>
        </w:rPr>
        <w:t xml:space="preserve"> А.Д. Роль службы безопасности предприятия в обеспечении экономической безопасности бизнеса // Известия Санкт-Петербургского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государственного университета. – 2015. - №2(92). – С. 34-40.</w:t>
      </w:r>
    </w:p>
    <w:p w:rsidR="00CD18F1" w:rsidRDefault="00CD18F1"/>
    <w:sectPr w:rsidR="00CD18F1" w:rsidSect="00F742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278"/>
    <w:rsid w:val="00262782"/>
    <w:rsid w:val="00367123"/>
    <w:rsid w:val="0053129B"/>
    <w:rsid w:val="005F0031"/>
    <w:rsid w:val="006C5E55"/>
    <w:rsid w:val="007234DE"/>
    <w:rsid w:val="0080205D"/>
    <w:rsid w:val="008358C6"/>
    <w:rsid w:val="00CD18F1"/>
    <w:rsid w:val="00F74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2"/>
        <o:r id="V:Rule4" type="connector" idref="#_x0000_s1036"/>
        <o:r id="V:Rule5" type="connector" idref="#_x0000_s1037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0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1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Лист1!$A$2:$A$9</c:f>
              <c:strCache>
                <c:ptCount val="8"/>
                <c:pt idx="0">
                  <c:v> 1 кв. 2017 г.</c:v>
                </c:pt>
                <c:pt idx="1">
                  <c:v> 2 кв. 2017 г.</c:v>
                </c:pt>
                <c:pt idx="2">
                  <c:v> 3 кв. 2017 г.</c:v>
                </c:pt>
                <c:pt idx="3">
                  <c:v>4 кв. 2017 г.</c:v>
                </c:pt>
                <c:pt idx="4">
                  <c:v> 1 кв. 2018 г.</c:v>
                </c:pt>
                <c:pt idx="5">
                  <c:v> 1 кв. 2018 г.</c:v>
                </c:pt>
                <c:pt idx="6">
                  <c:v> 1 кв. 2018 г.</c:v>
                </c:pt>
                <c:pt idx="7">
                  <c:v> 1 кв. 2018 г.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85.6</c:v>
                </c:pt>
                <c:pt idx="1">
                  <c:v>86.2</c:v>
                </c:pt>
                <c:pt idx="2">
                  <c:v>87.2</c:v>
                </c:pt>
                <c:pt idx="3">
                  <c:v>87.9</c:v>
                </c:pt>
                <c:pt idx="4">
                  <c:v>88.4</c:v>
                </c:pt>
                <c:pt idx="5">
                  <c:v>89.4</c:v>
                </c:pt>
                <c:pt idx="6">
                  <c:v>91.7</c:v>
                </c:pt>
                <c:pt idx="7">
                  <c:v>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9370240"/>
        <c:axId val="162784000"/>
      </c:barChart>
      <c:catAx>
        <c:axId val="1593702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62784000"/>
        <c:crosses val="autoZero"/>
        <c:auto val="1"/>
        <c:lblAlgn val="ctr"/>
        <c:lblOffset val="100"/>
        <c:noMultiLvlLbl val="0"/>
      </c:catAx>
      <c:valAx>
        <c:axId val="162784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937024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50">
          <a:latin typeface="Times New Roman" pitchFamily="18" charset="0"/>
          <a:ea typeface="Verdana" pitchFamily="34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49</c:v>
                </c:pt>
                <c:pt idx="1">
                  <c:v>52</c:v>
                </c:pt>
                <c:pt idx="2">
                  <c:v>61</c:v>
                </c:pt>
                <c:pt idx="3">
                  <c:v>56</c:v>
                </c:pt>
                <c:pt idx="4">
                  <c:v>57</c:v>
                </c:pt>
                <c:pt idx="5">
                  <c:v>57</c:v>
                </c:pt>
                <c:pt idx="6">
                  <c:v>58</c:v>
                </c:pt>
                <c:pt idx="7">
                  <c:v>62</c:v>
                </c:pt>
                <c:pt idx="8">
                  <c:v>60</c:v>
                </c:pt>
                <c:pt idx="9">
                  <c:v>63</c:v>
                </c:pt>
                <c:pt idx="10">
                  <c:v>65</c:v>
                </c:pt>
                <c:pt idx="11">
                  <c:v>68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 г.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 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48</c:v>
                </c:pt>
                <c:pt idx="1">
                  <c:v>51</c:v>
                </c:pt>
                <c:pt idx="2">
                  <c:v>56</c:v>
                </c:pt>
                <c:pt idx="3">
                  <c:v>55</c:v>
                </c:pt>
                <c:pt idx="4">
                  <c:v>56</c:v>
                </c:pt>
                <c:pt idx="5">
                  <c:v>52</c:v>
                </c:pt>
                <c:pt idx="6">
                  <c:v>53</c:v>
                </c:pt>
                <c:pt idx="7">
                  <c:v>54</c:v>
                </c:pt>
                <c:pt idx="8">
                  <c:v>52</c:v>
                </c:pt>
                <c:pt idx="9">
                  <c:v>58</c:v>
                </c:pt>
                <c:pt idx="10">
                  <c:v>57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738944"/>
        <c:axId val="162740480"/>
      </c:lineChart>
      <c:catAx>
        <c:axId val="162738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62740480"/>
        <c:crosses val="autoZero"/>
        <c:auto val="1"/>
        <c:lblAlgn val="ctr"/>
        <c:lblOffset val="100"/>
        <c:noMultiLvlLbl val="0"/>
      </c:catAx>
      <c:valAx>
        <c:axId val="162740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2738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50">
          <a:latin typeface="Times New Roman" pitchFamily="18" charset="0"/>
          <a:ea typeface="Verdana" pitchFamily="34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Чистые процентные доходы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2015 г.</c:v>
                </c:pt>
                <c:pt idx="1">
                  <c:v>2016 г.</c:v>
                </c:pt>
                <c:pt idx="2">
                  <c:v>2017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858</c:v>
                </c:pt>
                <c:pt idx="1">
                  <c:v>1201</c:v>
                </c:pt>
                <c:pt idx="2">
                  <c:v>1302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Чистая прибыль 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2015 г.</c:v>
                </c:pt>
                <c:pt idx="1">
                  <c:v>2016 г.</c:v>
                </c:pt>
                <c:pt idx="2">
                  <c:v>2017 г.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218</c:v>
                </c:pt>
                <c:pt idx="1">
                  <c:v>498</c:v>
                </c:pt>
                <c:pt idx="2">
                  <c:v>654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057408"/>
        <c:axId val="183059200"/>
      </c:lineChart>
      <c:catAx>
        <c:axId val="183057408"/>
        <c:scaling>
          <c:orientation val="minMax"/>
        </c:scaling>
        <c:delete val="0"/>
        <c:axPos val="b"/>
        <c:majorTickMark val="out"/>
        <c:minorTickMark val="none"/>
        <c:tickLblPos val="nextTo"/>
        <c:crossAx val="183059200"/>
        <c:crosses val="autoZero"/>
        <c:auto val="1"/>
        <c:lblAlgn val="ctr"/>
        <c:lblOffset val="100"/>
        <c:noMultiLvlLbl val="0"/>
      </c:catAx>
      <c:valAx>
        <c:axId val="183059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305740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50">
          <a:latin typeface="Times New Roman" pitchFamily="18" charset="0"/>
          <a:ea typeface="Verdana" pitchFamily="34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ara9696@icloud.com</cp:lastModifiedBy>
  <cp:revision>3</cp:revision>
  <dcterms:created xsi:type="dcterms:W3CDTF">2019-03-06T20:57:00Z</dcterms:created>
  <dcterms:modified xsi:type="dcterms:W3CDTF">2019-03-10T16:41:00Z</dcterms:modified>
</cp:coreProperties>
</file>