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858" w:rsidRDefault="002F7858" w:rsidP="002F7858">
      <w:pPr>
        <w:tabs>
          <w:tab w:val="left" w:pos="3627"/>
          <w:tab w:val="center" w:pos="4819"/>
        </w:tabs>
        <w:spacing w:line="360" w:lineRule="auto"/>
        <w:jc w:val="right"/>
        <w:rPr>
          <w:sz w:val="28"/>
          <w:szCs w:val="28"/>
        </w:rPr>
      </w:pPr>
      <w:r>
        <w:rPr>
          <w:sz w:val="28"/>
          <w:szCs w:val="28"/>
        </w:rPr>
        <w:t>Трофимова Юлия Сергеевна</w:t>
      </w:r>
    </w:p>
    <w:p w:rsidR="002F7858" w:rsidRDefault="002F7858" w:rsidP="002F7858">
      <w:pPr>
        <w:tabs>
          <w:tab w:val="left" w:pos="3627"/>
          <w:tab w:val="center" w:pos="4819"/>
        </w:tabs>
        <w:spacing w:line="360" w:lineRule="auto"/>
        <w:jc w:val="right"/>
        <w:rPr>
          <w:sz w:val="28"/>
          <w:szCs w:val="28"/>
        </w:rPr>
      </w:pPr>
      <w:r>
        <w:rPr>
          <w:sz w:val="28"/>
          <w:szCs w:val="28"/>
        </w:rPr>
        <w:t xml:space="preserve">студентка Калужского филиала </w:t>
      </w:r>
      <w:proofErr w:type="spellStart"/>
      <w:r>
        <w:rPr>
          <w:sz w:val="28"/>
          <w:szCs w:val="28"/>
        </w:rPr>
        <w:t>РАНХиГС</w:t>
      </w:r>
      <w:proofErr w:type="spellEnd"/>
    </w:p>
    <w:p w:rsidR="002F7858" w:rsidRDefault="002F7858" w:rsidP="00C200D1">
      <w:pPr>
        <w:tabs>
          <w:tab w:val="left" w:pos="3627"/>
          <w:tab w:val="center" w:pos="4819"/>
        </w:tabs>
        <w:spacing w:line="360" w:lineRule="auto"/>
        <w:jc w:val="center"/>
        <w:rPr>
          <w:sz w:val="28"/>
          <w:szCs w:val="28"/>
        </w:rPr>
      </w:pPr>
    </w:p>
    <w:p w:rsidR="002F7858" w:rsidRDefault="00C200D1" w:rsidP="00C200D1">
      <w:pPr>
        <w:tabs>
          <w:tab w:val="left" w:pos="3627"/>
          <w:tab w:val="center" w:pos="4819"/>
        </w:tabs>
        <w:spacing w:line="360" w:lineRule="auto"/>
        <w:jc w:val="center"/>
        <w:rPr>
          <w:sz w:val="28"/>
          <w:szCs w:val="28"/>
        </w:rPr>
      </w:pPr>
      <w:r w:rsidRPr="002F7858">
        <w:rPr>
          <w:sz w:val="28"/>
          <w:szCs w:val="28"/>
        </w:rPr>
        <w:t>Оценка</w:t>
      </w:r>
      <w:r w:rsidR="002F7858" w:rsidRPr="002F7858">
        <w:rPr>
          <w:sz w:val="28"/>
          <w:szCs w:val="28"/>
        </w:rPr>
        <w:t xml:space="preserve"> платежеспособности организации </w:t>
      </w:r>
    </w:p>
    <w:p w:rsidR="00C200D1" w:rsidRPr="002F7858" w:rsidRDefault="002F7858" w:rsidP="00C200D1">
      <w:pPr>
        <w:tabs>
          <w:tab w:val="left" w:pos="3627"/>
          <w:tab w:val="center" w:pos="4819"/>
        </w:tabs>
        <w:spacing w:line="360" w:lineRule="auto"/>
        <w:jc w:val="center"/>
        <w:rPr>
          <w:sz w:val="28"/>
          <w:szCs w:val="28"/>
        </w:rPr>
      </w:pPr>
      <w:r>
        <w:rPr>
          <w:sz w:val="28"/>
          <w:szCs w:val="28"/>
        </w:rPr>
        <w:t>(</w:t>
      </w:r>
      <w:r w:rsidRPr="002F7858">
        <w:rPr>
          <w:sz w:val="28"/>
          <w:szCs w:val="28"/>
        </w:rPr>
        <w:t>на примере ООО «Строй Сервис» г. Калуги)</w:t>
      </w:r>
    </w:p>
    <w:p w:rsidR="00C200D1" w:rsidRDefault="00C200D1" w:rsidP="00C200D1">
      <w:pPr>
        <w:spacing w:line="360" w:lineRule="auto"/>
      </w:pPr>
    </w:p>
    <w:p w:rsidR="00C200D1" w:rsidRDefault="00C200D1" w:rsidP="00C200D1">
      <w:pPr>
        <w:spacing w:line="360" w:lineRule="auto"/>
        <w:ind w:firstLine="851"/>
        <w:jc w:val="both"/>
        <w:rPr>
          <w:bCs/>
          <w:color w:val="000000"/>
          <w:sz w:val="28"/>
          <w:szCs w:val="28"/>
        </w:rPr>
      </w:pPr>
      <w:r>
        <w:rPr>
          <w:bCs/>
          <w:color w:val="000000"/>
          <w:sz w:val="28"/>
          <w:szCs w:val="28"/>
        </w:rPr>
        <w:t xml:space="preserve">В современных экономических условиях деятельность каждого хозяйствующего субъекта является предметом внимания обширного круга участников рыночных отношений, заинтересованных в результатах его функционирования. </w:t>
      </w:r>
    </w:p>
    <w:p w:rsidR="00C200D1" w:rsidRDefault="00C200D1" w:rsidP="00C200D1">
      <w:pPr>
        <w:pStyle w:val="a5"/>
        <w:spacing w:line="360" w:lineRule="auto"/>
        <w:ind w:left="0" w:firstLine="851"/>
        <w:jc w:val="both"/>
        <w:textAlignment w:val="top"/>
        <w:rPr>
          <w:color w:val="000000"/>
          <w:sz w:val="28"/>
          <w:szCs w:val="28"/>
        </w:rPr>
      </w:pPr>
      <w:r>
        <w:rPr>
          <w:color w:val="000000"/>
          <w:sz w:val="28"/>
          <w:szCs w:val="28"/>
        </w:rPr>
        <w:t xml:space="preserve">Система экономической безопасности каждой организации индивидуальна. Экономическая безопасность организации </w:t>
      </w:r>
      <w:proofErr w:type="gramStart"/>
      <w:r>
        <w:rPr>
          <w:color w:val="000000"/>
          <w:sz w:val="28"/>
          <w:szCs w:val="28"/>
        </w:rPr>
        <w:t>-э</w:t>
      </w:r>
      <w:proofErr w:type="gramEnd"/>
      <w:r>
        <w:rPr>
          <w:color w:val="000000"/>
          <w:sz w:val="28"/>
          <w:szCs w:val="28"/>
        </w:rPr>
        <w:t>то количественная и качественная характеристика свойств организации, отражающая способность «</w:t>
      </w:r>
      <w:proofErr w:type="spellStart"/>
      <w:r>
        <w:rPr>
          <w:color w:val="000000"/>
          <w:sz w:val="28"/>
          <w:szCs w:val="28"/>
        </w:rPr>
        <w:t>самовыживания</w:t>
      </w:r>
      <w:proofErr w:type="spellEnd"/>
      <w:r>
        <w:rPr>
          <w:color w:val="000000"/>
          <w:sz w:val="28"/>
          <w:szCs w:val="28"/>
        </w:rPr>
        <w:t>» и развития в условиях возникновения внешних и внутренних угроз. Экономическая безопасность организации требует постоянного проведения оценки имущества и ее финансово-экономического состояния, при этом средством проведения оценки является анализ хозяйственно-финансовой деятельности</w:t>
      </w:r>
      <w:bookmarkStart w:id="0" w:name="_GoBack"/>
      <w:bookmarkEnd w:id="0"/>
      <w:r>
        <w:rPr>
          <w:color w:val="000000"/>
          <w:sz w:val="28"/>
          <w:szCs w:val="28"/>
        </w:rPr>
        <w:t>. В его основе должно лежать разностороннее изучение технико-технологического уровня обеспечения производства, соответствия качества стандартам и оценка конкурентоспособности выпускаемой продукции, наличие в организации необходимых материальных запасов, финансовых и трудовых ресурсов, а также поиск резервов повышения экономической эффективности и выявления факторов, воздействующих на них.</w:t>
      </w:r>
    </w:p>
    <w:p w:rsidR="00C200D1" w:rsidRDefault="00C200D1" w:rsidP="00C200D1">
      <w:pPr>
        <w:pStyle w:val="a5"/>
        <w:spacing w:line="360" w:lineRule="auto"/>
        <w:ind w:left="0" w:firstLine="851"/>
        <w:jc w:val="both"/>
        <w:textAlignment w:val="top"/>
        <w:rPr>
          <w:color w:val="000000"/>
          <w:sz w:val="28"/>
          <w:szCs w:val="28"/>
        </w:rPr>
      </w:pPr>
      <w:r>
        <w:rPr>
          <w:color w:val="000000"/>
          <w:sz w:val="28"/>
          <w:szCs w:val="28"/>
        </w:rPr>
        <w:t xml:space="preserve">Уровень экономической безопасности хозяйствующего субъекта напрямую зависит от его финансового состояния, важной составляющей которого является платежеспособность организации.  </w:t>
      </w:r>
      <w:r>
        <w:rPr>
          <w:bCs/>
          <w:color w:val="000000"/>
          <w:sz w:val="28"/>
          <w:szCs w:val="28"/>
        </w:rPr>
        <w:t xml:space="preserve">Управление организацией – комплексный и сложный процесс, суть которого сводится к поиску и принятию эффективных и наиболее целесообразных решений и их практическому осуществлению. В условиях высокой степени </w:t>
      </w:r>
      <w:r>
        <w:rPr>
          <w:bCs/>
          <w:color w:val="000000"/>
          <w:sz w:val="28"/>
          <w:szCs w:val="28"/>
        </w:rPr>
        <w:lastRenderedPageBreak/>
        <w:t xml:space="preserve">неопределенности, высокой скорости совершаемых хозяйственных операций, сложности условий функционирования субъектов хозяйствования, принятие эффективного управленческого решения затруднено. </w:t>
      </w:r>
    </w:p>
    <w:p w:rsidR="00C200D1" w:rsidRDefault="00C200D1" w:rsidP="00C200D1">
      <w:pPr>
        <w:spacing w:line="360" w:lineRule="auto"/>
        <w:ind w:firstLine="720"/>
        <w:jc w:val="both"/>
        <w:rPr>
          <w:bCs/>
          <w:color w:val="000000"/>
          <w:sz w:val="28"/>
          <w:szCs w:val="28"/>
        </w:rPr>
      </w:pPr>
      <w:r>
        <w:rPr>
          <w:bCs/>
          <w:color w:val="000000"/>
          <w:sz w:val="28"/>
          <w:szCs w:val="28"/>
        </w:rPr>
        <w:t xml:space="preserve">В данной ситуации наиболее объективным и доступным источником информации, характеризующим финансово-экономическое положение дел организации, результат ее текущего, финансового и инвестиционного развития, выступает оценка  платежеспособности. </w:t>
      </w:r>
    </w:p>
    <w:p w:rsidR="00C200D1" w:rsidRDefault="00C200D1" w:rsidP="00C200D1">
      <w:pPr>
        <w:spacing w:line="360" w:lineRule="auto"/>
        <w:ind w:firstLine="851"/>
        <w:jc w:val="both"/>
        <w:rPr>
          <w:sz w:val="28"/>
          <w:szCs w:val="28"/>
        </w:rPr>
      </w:pPr>
      <w:r>
        <w:rPr>
          <w:sz w:val="28"/>
          <w:szCs w:val="28"/>
        </w:rPr>
        <w:t>В современных условиях процесс успешного функционирования и экономического развития российских предприятий во многом зависит от совершенствования их деятельности в области обеспечения экономической безопасности.</w:t>
      </w:r>
    </w:p>
    <w:p w:rsidR="00C200D1" w:rsidRDefault="00C200D1" w:rsidP="00C200D1">
      <w:pPr>
        <w:spacing w:line="360" w:lineRule="auto"/>
        <w:ind w:firstLine="851"/>
        <w:jc w:val="both"/>
        <w:textAlignment w:val="baseline"/>
        <w:rPr>
          <w:sz w:val="28"/>
          <w:szCs w:val="28"/>
        </w:rPr>
      </w:pPr>
      <w:r>
        <w:rPr>
          <w:sz w:val="28"/>
          <w:szCs w:val="28"/>
        </w:rPr>
        <w:t xml:space="preserve">Главным в определении экономической безопасности предприятия является то, что: </w:t>
      </w:r>
    </w:p>
    <w:p w:rsidR="00C200D1" w:rsidRDefault="00C200D1" w:rsidP="00C200D1">
      <w:pPr>
        <w:spacing w:line="360" w:lineRule="auto"/>
        <w:ind w:firstLine="851"/>
        <w:jc w:val="both"/>
        <w:textAlignment w:val="baseline"/>
        <w:rPr>
          <w:sz w:val="28"/>
          <w:szCs w:val="28"/>
        </w:rPr>
      </w:pPr>
      <w:r>
        <w:rPr>
          <w:sz w:val="28"/>
          <w:szCs w:val="28"/>
        </w:rPr>
        <w:t xml:space="preserve">- состояние защищенности имеет динамический характер; </w:t>
      </w:r>
    </w:p>
    <w:p w:rsidR="00C200D1" w:rsidRDefault="00C200D1" w:rsidP="00C200D1">
      <w:pPr>
        <w:spacing w:line="360" w:lineRule="auto"/>
        <w:ind w:firstLine="851"/>
        <w:jc w:val="both"/>
        <w:textAlignment w:val="baseline"/>
        <w:rPr>
          <w:sz w:val="28"/>
          <w:szCs w:val="28"/>
        </w:rPr>
      </w:pPr>
      <w:r>
        <w:rPr>
          <w:sz w:val="28"/>
          <w:szCs w:val="28"/>
        </w:rPr>
        <w:t xml:space="preserve">- внутренние угрозы не менее опасны, чем внешние; </w:t>
      </w:r>
    </w:p>
    <w:p w:rsidR="00C200D1" w:rsidRDefault="00C200D1" w:rsidP="00C200D1">
      <w:pPr>
        <w:spacing w:line="360" w:lineRule="auto"/>
        <w:ind w:firstLine="851"/>
        <w:jc w:val="both"/>
        <w:textAlignment w:val="baseline"/>
        <w:rPr>
          <w:sz w:val="28"/>
          <w:szCs w:val="28"/>
        </w:rPr>
      </w:pPr>
      <w:r>
        <w:rPr>
          <w:sz w:val="28"/>
          <w:szCs w:val="28"/>
        </w:rPr>
        <w:t>- система экономической безопасности предприятия должна взаимодействовать на правовой основе с государственной системой обеспечения безопасности.</w:t>
      </w:r>
    </w:p>
    <w:p w:rsidR="00C200D1" w:rsidRDefault="00C200D1" w:rsidP="00C200D1">
      <w:pPr>
        <w:spacing w:line="360" w:lineRule="auto"/>
        <w:ind w:firstLine="851"/>
        <w:jc w:val="both"/>
        <w:textAlignment w:val="top"/>
        <w:rPr>
          <w:color w:val="000000"/>
          <w:sz w:val="28"/>
          <w:szCs w:val="28"/>
        </w:rPr>
      </w:pPr>
      <w:r>
        <w:rPr>
          <w:color w:val="000000"/>
          <w:sz w:val="28"/>
          <w:szCs w:val="28"/>
        </w:rPr>
        <w:t xml:space="preserve">Обеспечение экономической безопасности регулируют правовые нормы, которые характеризуются качественными параметрами и критериями, то есть пороговыми значениями. Оно осуществляется государственными и негосударственными субъектами и является направленным на бесперебойное функционирование всей отрасли. Экономическая безопасность предприятий на современном этапе сильно зависит от обеспечения стабильных и благоприятных условий для развития отрасли. Она также обеспечивается единством целей и методов государственной политики на всех уровнях: </w:t>
      </w:r>
      <w:proofErr w:type="gramStart"/>
      <w:r>
        <w:rPr>
          <w:color w:val="000000"/>
          <w:sz w:val="28"/>
          <w:szCs w:val="28"/>
        </w:rPr>
        <w:t>от</w:t>
      </w:r>
      <w:proofErr w:type="gramEnd"/>
      <w:r>
        <w:rPr>
          <w:color w:val="000000"/>
          <w:sz w:val="28"/>
          <w:szCs w:val="28"/>
        </w:rPr>
        <w:t xml:space="preserve"> федерального до местного.</w:t>
      </w:r>
    </w:p>
    <w:p w:rsidR="00C200D1" w:rsidRDefault="00C200D1" w:rsidP="00C200D1">
      <w:pPr>
        <w:spacing w:line="360" w:lineRule="auto"/>
        <w:ind w:firstLine="851"/>
        <w:jc w:val="both"/>
        <w:textAlignment w:val="top"/>
        <w:rPr>
          <w:color w:val="000000"/>
          <w:sz w:val="28"/>
          <w:szCs w:val="28"/>
        </w:rPr>
      </w:pPr>
      <w:r>
        <w:rPr>
          <w:color w:val="000000"/>
          <w:sz w:val="28"/>
          <w:szCs w:val="28"/>
        </w:rPr>
        <w:t xml:space="preserve">Уровень экономической безопасности предприятия зависит от того, насколько эффективно его руководство способно предотвратить появление </w:t>
      </w:r>
      <w:r>
        <w:rPr>
          <w:color w:val="000000"/>
          <w:sz w:val="28"/>
          <w:szCs w:val="28"/>
        </w:rPr>
        <w:lastRenderedPageBreak/>
        <w:t>внутренних и внешних угроз и ликвидировать вредные последствия отдельных отрицательных составляющих внешней и внутренней среды.</w:t>
      </w:r>
    </w:p>
    <w:p w:rsidR="00C200D1" w:rsidRDefault="00C200D1" w:rsidP="00C200D1">
      <w:pPr>
        <w:spacing w:line="360" w:lineRule="auto"/>
        <w:ind w:firstLine="851"/>
        <w:jc w:val="both"/>
        <w:textAlignment w:val="top"/>
        <w:rPr>
          <w:color w:val="000000"/>
          <w:sz w:val="28"/>
          <w:szCs w:val="28"/>
        </w:rPr>
      </w:pPr>
      <w:r>
        <w:rPr>
          <w:color w:val="000000"/>
          <w:sz w:val="28"/>
          <w:szCs w:val="28"/>
        </w:rPr>
        <w:t>Основная цель управления экономической безопасностью предприятия - обеспечение его устойчивого и эффективного функционирования в текущих условиях, создание потенциала развития и роста в будущем.</w:t>
      </w:r>
    </w:p>
    <w:p w:rsidR="00C200D1" w:rsidRDefault="00C200D1" w:rsidP="00C200D1">
      <w:pPr>
        <w:spacing w:line="360" w:lineRule="auto"/>
        <w:ind w:firstLine="851"/>
        <w:jc w:val="both"/>
        <w:textAlignment w:val="top"/>
        <w:rPr>
          <w:color w:val="000000"/>
          <w:sz w:val="28"/>
          <w:szCs w:val="28"/>
        </w:rPr>
      </w:pPr>
      <w:r>
        <w:rPr>
          <w:color w:val="000000"/>
          <w:sz w:val="28"/>
          <w:szCs w:val="28"/>
        </w:rPr>
        <w:t>К основным функциональным целям управления экономической безопасностью предприятия относят:</w:t>
      </w:r>
    </w:p>
    <w:p w:rsidR="00C200D1" w:rsidRDefault="00C200D1" w:rsidP="00C200D1">
      <w:pPr>
        <w:spacing w:line="360" w:lineRule="auto"/>
        <w:ind w:firstLine="851"/>
        <w:jc w:val="both"/>
        <w:textAlignment w:val="top"/>
        <w:rPr>
          <w:color w:val="000000"/>
          <w:sz w:val="28"/>
          <w:szCs w:val="28"/>
        </w:rPr>
      </w:pPr>
      <w:r>
        <w:rPr>
          <w:color w:val="000000"/>
          <w:sz w:val="28"/>
          <w:szCs w:val="28"/>
        </w:rPr>
        <w:t>— формирование необходимых корпоративных ресурсов (капитал, персонал, права, информация, технологии);</w:t>
      </w:r>
    </w:p>
    <w:p w:rsidR="00C200D1" w:rsidRDefault="00C200D1" w:rsidP="00C200D1">
      <w:pPr>
        <w:spacing w:line="360" w:lineRule="auto"/>
        <w:ind w:firstLine="851"/>
        <w:jc w:val="both"/>
        <w:textAlignment w:val="top"/>
        <w:rPr>
          <w:color w:val="000000"/>
          <w:sz w:val="28"/>
          <w:szCs w:val="28"/>
        </w:rPr>
      </w:pPr>
      <w:r>
        <w:rPr>
          <w:color w:val="000000"/>
          <w:sz w:val="28"/>
          <w:szCs w:val="28"/>
        </w:rPr>
        <w:t>— стратегическое и тактическое планирование финансово-хозяйственной деятельности предприятия;</w:t>
      </w:r>
    </w:p>
    <w:p w:rsidR="00C200D1" w:rsidRDefault="00C200D1" w:rsidP="00C200D1">
      <w:pPr>
        <w:spacing w:line="360" w:lineRule="auto"/>
        <w:ind w:firstLine="851"/>
        <w:jc w:val="both"/>
        <w:textAlignment w:val="top"/>
        <w:rPr>
          <w:color w:val="000000"/>
          <w:sz w:val="28"/>
          <w:szCs w:val="28"/>
        </w:rPr>
      </w:pPr>
      <w:r>
        <w:rPr>
          <w:color w:val="000000"/>
          <w:sz w:val="28"/>
          <w:szCs w:val="28"/>
        </w:rPr>
        <w:t>— тактическое планирование экономической безопасности по ее функциональным составляющим;</w:t>
      </w:r>
    </w:p>
    <w:p w:rsidR="00C200D1" w:rsidRDefault="00C200D1" w:rsidP="00C200D1">
      <w:pPr>
        <w:spacing w:line="360" w:lineRule="auto"/>
        <w:ind w:firstLine="851"/>
        <w:jc w:val="both"/>
        <w:textAlignment w:val="top"/>
        <w:rPr>
          <w:color w:val="000000"/>
          <w:sz w:val="28"/>
          <w:szCs w:val="28"/>
        </w:rPr>
      </w:pPr>
      <w:r>
        <w:rPr>
          <w:color w:val="000000"/>
          <w:sz w:val="28"/>
          <w:szCs w:val="28"/>
        </w:rPr>
        <w:t>— осуществление функционального анализа уровня экономической безопасности.</w:t>
      </w:r>
    </w:p>
    <w:p w:rsidR="00C200D1" w:rsidRDefault="00C200D1" w:rsidP="00C200D1">
      <w:pPr>
        <w:spacing w:line="360" w:lineRule="auto"/>
        <w:ind w:firstLine="851"/>
        <w:jc w:val="both"/>
        <w:textAlignment w:val="top"/>
        <w:rPr>
          <w:color w:val="000000"/>
          <w:sz w:val="28"/>
          <w:szCs w:val="28"/>
        </w:rPr>
      </w:pPr>
      <w:r>
        <w:rPr>
          <w:color w:val="000000"/>
          <w:sz w:val="28"/>
          <w:szCs w:val="28"/>
        </w:rPr>
        <w:t>Выполнение каждой из вышеперечисленных целей экономической безопасности предприятия существенно для достижения ее главной цели. Кроме того, каждая из функциональных целей экономической безопасности имеет собственную структуру подцелей, обусловливаемую функциональной целесообразностью и характером работы предприятия.</w:t>
      </w:r>
    </w:p>
    <w:p w:rsidR="00C200D1" w:rsidRDefault="00C200D1" w:rsidP="00C200D1">
      <w:pPr>
        <w:spacing w:line="360" w:lineRule="auto"/>
        <w:ind w:firstLine="851"/>
        <w:jc w:val="both"/>
        <w:textAlignment w:val="top"/>
        <w:rPr>
          <w:color w:val="000000"/>
          <w:sz w:val="28"/>
          <w:szCs w:val="28"/>
        </w:rPr>
      </w:pPr>
      <w:r>
        <w:rPr>
          <w:color w:val="000000"/>
          <w:sz w:val="28"/>
          <w:szCs w:val="28"/>
        </w:rPr>
        <w:t>Реализация направлений обеспечения экономической безопасности предприятия создает условия не только для стабильности его функционирования, но и повышения эффективности его финансово-хозяйственной деятельности, а также способствует повышению экономического потенциала отраслей экономики и экономики страны в целом.</w:t>
      </w:r>
    </w:p>
    <w:p w:rsidR="00C200D1" w:rsidRDefault="00C200D1" w:rsidP="00C200D1">
      <w:pPr>
        <w:pStyle w:val="a5"/>
        <w:ind w:left="0"/>
        <w:jc w:val="center"/>
        <w:rPr>
          <w:sz w:val="28"/>
          <w:szCs w:val="28"/>
        </w:rPr>
      </w:pPr>
    </w:p>
    <w:p w:rsidR="00C200D1" w:rsidRDefault="002F7858" w:rsidP="002F7858">
      <w:pPr>
        <w:pStyle w:val="a5"/>
        <w:tabs>
          <w:tab w:val="left" w:pos="1260"/>
        </w:tabs>
        <w:spacing w:line="360" w:lineRule="auto"/>
        <w:ind w:left="0"/>
        <w:jc w:val="both"/>
        <w:rPr>
          <w:color w:val="212121"/>
          <w:sz w:val="28"/>
          <w:szCs w:val="28"/>
          <w:shd w:val="clear" w:color="auto" w:fill="FFFFFF"/>
        </w:rPr>
      </w:pPr>
      <w:r>
        <w:rPr>
          <w:sz w:val="28"/>
          <w:szCs w:val="28"/>
        </w:rPr>
        <w:tab/>
      </w:r>
      <w:r w:rsidR="00C200D1">
        <w:rPr>
          <w:color w:val="212121"/>
          <w:sz w:val="28"/>
          <w:szCs w:val="28"/>
          <w:shd w:val="clear" w:color="auto" w:fill="FFFFFF"/>
        </w:rPr>
        <w:t xml:space="preserve">Розничная торговля строительными материалами в России в последнее время испытывает отрицательное воздействие падения </w:t>
      </w:r>
      <w:r w:rsidR="00C200D1">
        <w:rPr>
          <w:color w:val="212121"/>
          <w:sz w:val="28"/>
          <w:szCs w:val="28"/>
          <w:shd w:val="clear" w:color="auto" w:fill="FFFFFF"/>
        </w:rPr>
        <w:lastRenderedPageBreak/>
        <w:t xml:space="preserve">строительной отрасли и с 2014 года показывает снижение. В 2016 году рынок розничной торговли отделочными и строительными материалами снизился почти на 8% и составил 1,418 млрд. рублей. На падение рынка розничной торговли отделочными и строительными материалами значительно повлияло снижение доходов населения. В результате кризисных явлений в экономике начиная с 2014 года произошло снижение объемов ввода нового жилья и соответственно снижение расходов на </w:t>
      </w:r>
      <w:proofErr w:type="gramStart"/>
      <w:r w:rsidR="00C200D1">
        <w:rPr>
          <w:color w:val="212121"/>
          <w:sz w:val="28"/>
          <w:szCs w:val="28"/>
          <w:shd w:val="clear" w:color="auto" w:fill="FFFFFF"/>
        </w:rPr>
        <w:t>ремонт</w:t>
      </w:r>
      <w:proofErr w:type="gramEnd"/>
      <w:r w:rsidR="00C200D1">
        <w:rPr>
          <w:color w:val="212121"/>
          <w:sz w:val="28"/>
          <w:szCs w:val="28"/>
          <w:shd w:val="clear" w:color="auto" w:fill="FFFFFF"/>
        </w:rPr>
        <w:t xml:space="preserve"> и отделку жилых и нежилых помещений.</w:t>
      </w:r>
    </w:p>
    <w:p w:rsidR="00C200D1" w:rsidRDefault="00C200D1" w:rsidP="00C200D1">
      <w:pPr>
        <w:spacing w:line="360" w:lineRule="auto"/>
        <w:ind w:firstLine="851"/>
        <w:jc w:val="both"/>
        <w:rPr>
          <w:color w:val="212121"/>
          <w:sz w:val="28"/>
          <w:szCs w:val="28"/>
          <w:shd w:val="clear" w:color="auto" w:fill="FFFFFF"/>
        </w:rPr>
      </w:pPr>
      <w:r>
        <w:rPr>
          <w:color w:val="212121"/>
          <w:sz w:val="28"/>
          <w:szCs w:val="28"/>
          <w:shd w:val="clear" w:color="auto" w:fill="FFFFFF"/>
        </w:rPr>
        <w:t>Однако не по всем сегментам рынка наблюдается снижение оборотов – в 2016-2017 гг. зафиксировано увеличение спроса в сегменте отделочных материалов. Снижению оборотов рынка в основном способствовало сокращение продаж в сегменте строительных материалов, на которое в свою очередь способствовало значительное снижение строительства индивидуальных жилых домов населением.</w:t>
      </w:r>
    </w:p>
    <w:p w:rsidR="00C200D1" w:rsidRDefault="00C200D1" w:rsidP="00C200D1">
      <w:pPr>
        <w:spacing w:line="360" w:lineRule="auto"/>
        <w:ind w:firstLine="851"/>
        <w:jc w:val="both"/>
        <w:rPr>
          <w:color w:val="212121"/>
          <w:sz w:val="28"/>
          <w:szCs w:val="28"/>
          <w:shd w:val="clear" w:color="auto" w:fill="FFFFFF"/>
        </w:rPr>
      </w:pPr>
      <w:r>
        <w:rPr>
          <w:color w:val="212121"/>
          <w:sz w:val="28"/>
          <w:szCs w:val="28"/>
          <w:shd w:val="clear" w:color="auto" w:fill="FFFFFF"/>
        </w:rPr>
        <w:t>Стоит отметить, что рынок розничной торговли строительными материалами показывает большую устойчивость, чем строительный рынок. Дополнительную устойчивость рынку розничной торговли отделочными и строительными материалами придает наличие сегмента ремонта жилых и нежилых помещений «вторичного» рынка.</w:t>
      </w:r>
    </w:p>
    <w:p w:rsidR="00C200D1" w:rsidRDefault="00C200D1" w:rsidP="00C200D1">
      <w:pPr>
        <w:spacing w:line="360" w:lineRule="auto"/>
        <w:ind w:firstLine="851"/>
        <w:jc w:val="both"/>
        <w:rPr>
          <w:sz w:val="28"/>
          <w:szCs w:val="28"/>
        </w:rPr>
      </w:pPr>
      <w:r>
        <w:rPr>
          <w:color w:val="212121"/>
          <w:sz w:val="28"/>
          <w:szCs w:val="28"/>
          <w:shd w:val="clear" w:color="auto" w:fill="FFFFFF"/>
        </w:rPr>
        <w:t>Несмотря на общее снижение объемов российского рынка, в некоторых российских регионах рынок розничной торговли отделочными и строительными материалами показывает стремительный рост. В первую очередь это связано с высокими темпами строительства в данных регионах.</w:t>
      </w:r>
    </w:p>
    <w:p w:rsidR="00C200D1" w:rsidRDefault="00C200D1" w:rsidP="00C200D1">
      <w:pPr>
        <w:pStyle w:val="a5"/>
        <w:shd w:val="clear" w:color="auto" w:fill="FFFFFF"/>
        <w:spacing w:line="360" w:lineRule="auto"/>
        <w:ind w:left="0" w:firstLine="851"/>
        <w:jc w:val="both"/>
        <w:rPr>
          <w:color w:val="212121"/>
          <w:sz w:val="28"/>
          <w:szCs w:val="28"/>
        </w:rPr>
      </w:pPr>
      <w:r>
        <w:rPr>
          <w:color w:val="212121"/>
          <w:sz w:val="28"/>
          <w:szCs w:val="28"/>
        </w:rPr>
        <w:t xml:space="preserve">Основными форматами розничного рынка отделочных и строительных материалов на российском рынке в последнее время стали гипермаркет, супермаркет (или универсальный строительный магазин), строительный торговый центр и набирающий в последнее время популярность формат </w:t>
      </w:r>
      <w:proofErr w:type="gramStart"/>
      <w:r>
        <w:rPr>
          <w:color w:val="212121"/>
          <w:sz w:val="28"/>
          <w:szCs w:val="28"/>
        </w:rPr>
        <w:t>интернет-магазина</w:t>
      </w:r>
      <w:proofErr w:type="gramEnd"/>
      <w:r>
        <w:rPr>
          <w:color w:val="212121"/>
          <w:sz w:val="28"/>
          <w:szCs w:val="28"/>
        </w:rPr>
        <w:t xml:space="preserve">. В 2016 году доля </w:t>
      </w:r>
      <w:proofErr w:type="gramStart"/>
      <w:r>
        <w:rPr>
          <w:color w:val="212121"/>
          <w:sz w:val="28"/>
          <w:szCs w:val="28"/>
        </w:rPr>
        <w:t>интернет-продаж</w:t>
      </w:r>
      <w:proofErr w:type="gramEnd"/>
      <w:r>
        <w:rPr>
          <w:color w:val="212121"/>
          <w:sz w:val="28"/>
          <w:szCs w:val="28"/>
        </w:rPr>
        <w:t xml:space="preserve"> строительных и отделочных материалов на российском рынке составила уже 11%. Также набирают популярность и специализированные магазины – </w:t>
      </w:r>
      <w:r>
        <w:rPr>
          <w:color w:val="212121"/>
          <w:sz w:val="28"/>
          <w:szCs w:val="28"/>
        </w:rPr>
        <w:lastRenderedPageBreak/>
        <w:t>магазины керамической плитки, магазины сантехники, магазины дверей и т.д. На рынке розничной торговли отделочными и строительными материалами в России широкое распространение получила сетевая форма торговли.</w:t>
      </w:r>
    </w:p>
    <w:p w:rsidR="00C200D1" w:rsidRDefault="00C200D1" w:rsidP="00C200D1">
      <w:pPr>
        <w:pStyle w:val="a5"/>
        <w:shd w:val="clear" w:color="auto" w:fill="FFFFFF"/>
        <w:spacing w:line="360" w:lineRule="auto"/>
        <w:ind w:left="0" w:firstLine="851"/>
        <w:jc w:val="both"/>
        <w:rPr>
          <w:color w:val="212121"/>
          <w:sz w:val="28"/>
          <w:szCs w:val="28"/>
        </w:rPr>
      </w:pPr>
      <w:r>
        <w:rPr>
          <w:color w:val="212121"/>
          <w:sz w:val="28"/>
          <w:szCs w:val="28"/>
        </w:rPr>
        <w:t xml:space="preserve">Крупнейшими игроками российского розничного рынка отделочных и строительных материалов в 2018 году стали торговые сети </w:t>
      </w:r>
      <w:proofErr w:type="spellStart"/>
      <w:r>
        <w:rPr>
          <w:color w:val="212121"/>
          <w:sz w:val="28"/>
          <w:szCs w:val="28"/>
        </w:rPr>
        <w:t>Leroy</w:t>
      </w:r>
      <w:proofErr w:type="spellEnd"/>
      <w:r>
        <w:rPr>
          <w:color w:val="212121"/>
          <w:sz w:val="28"/>
          <w:szCs w:val="28"/>
        </w:rPr>
        <w:t xml:space="preserve"> </w:t>
      </w:r>
      <w:proofErr w:type="spellStart"/>
      <w:r>
        <w:rPr>
          <w:color w:val="212121"/>
          <w:sz w:val="28"/>
          <w:szCs w:val="28"/>
        </w:rPr>
        <w:t>Merlin</w:t>
      </w:r>
      <w:proofErr w:type="spellEnd"/>
      <w:r>
        <w:rPr>
          <w:color w:val="212121"/>
          <w:sz w:val="28"/>
          <w:szCs w:val="28"/>
        </w:rPr>
        <w:t xml:space="preserve">, OBI, Петрович СТД, </w:t>
      </w:r>
      <w:proofErr w:type="spellStart"/>
      <w:r>
        <w:rPr>
          <w:color w:val="212121"/>
          <w:sz w:val="28"/>
          <w:szCs w:val="28"/>
        </w:rPr>
        <w:t>Castorama</w:t>
      </w:r>
      <w:proofErr w:type="spellEnd"/>
      <w:r>
        <w:rPr>
          <w:color w:val="212121"/>
          <w:sz w:val="28"/>
          <w:szCs w:val="28"/>
        </w:rPr>
        <w:t xml:space="preserve">, Сатурн, Максидом, </w:t>
      </w:r>
      <w:proofErr w:type="spellStart"/>
      <w:r>
        <w:rPr>
          <w:color w:val="212121"/>
          <w:sz w:val="28"/>
          <w:szCs w:val="28"/>
        </w:rPr>
        <w:t>Бауцентр</w:t>
      </w:r>
      <w:proofErr w:type="spellEnd"/>
      <w:r>
        <w:rPr>
          <w:color w:val="212121"/>
          <w:sz w:val="28"/>
          <w:szCs w:val="28"/>
        </w:rPr>
        <w:t xml:space="preserve">, К-Раута, Строительный двор и Аксон. Значительно упрочили свои позиции в 2018 году Петрович СТД, </w:t>
      </w:r>
      <w:proofErr w:type="spellStart"/>
      <w:r>
        <w:rPr>
          <w:color w:val="212121"/>
          <w:sz w:val="28"/>
          <w:szCs w:val="28"/>
        </w:rPr>
        <w:t>Leroy</w:t>
      </w:r>
      <w:proofErr w:type="spellEnd"/>
      <w:r>
        <w:rPr>
          <w:color w:val="212121"/>
          <w:sz w:val="28"/>
          <w:szCs w:val="28"/>
        </w:rPr>
        <w:t xml:space="preserve"> </w:t>
      </w:r>
      <w:proofErr w:type="spellStart"/>
      <w:r>
        <w:rPr>
          <w:color w:val="212121"/>
          <w:sz w:val="28"/>
          <w:szCs w:val="28"/>
        </w:rPr>
        <w:t>Merlin</w:t>
      </w:r>
      <w:proofErr w:type="spellEnd"/>
      <w:r>
        <w:rPr>
          <w:color w:val="212121"/>
          <w:sz w:val="28"/>
          <w:szCs w:val="28"/>
        </w:rPr>
        <w:t xml:space="preserve"> и </w:t>
      </w:r>
      <w:proofErr w:type="spellStart"/>
      <w:r>
        <w:rPr>
          <w:color w:val="212121"/>
          <w:sz w:val="28"/>
          <w:szCs w:val="28"/>
        </w:rPr>
        <w:t>Бауцентр</w:t>
      </w:r>
      <w:proofErr w:type="spellEnd"/>
      <w:r>
        <w:rPr>
          <w:color w:val="212121"/>
          <w:sz w:val="28"/>
          <w:szCs w:val="28"/>
        </w:rPr>
        <w:t>.</w:t>
      </w:r>
    </w:p>
    <w:p w:rsidR="00C200D1" w:rsidRDefault="00C200D1" w:rsidP="00C200D1">
      <w:pPr>
        <w:pStyle w:val="a5"/>
        <w:shd w:val="clear" w:color="auto" w:fill="FFFFFF"/>
        <w:spacing w:line="360" w:lineRule="auto"/>
        <w:ind w:left="0" w:firstLine="851"/>
        <w:jc w:val="both"/>
        <w:rPr>
          <w:color w:val="212121"/>
          <w:sz w:val="28"/>
          <w:szCs w:val="28"/>
        </w:rPr>
      </w:pPr>
      <w:r>
        <w:rPr>
          <w:color w:val="212121"/>
          <w:sz w:val="28"/>
          <w:szCs w:val="28"/>
        </w:rPr>
        <w:t xml:space="preserve">В ближайшей перспективе рынок розничной торговли отделочными и строительными материалами в основном будет повторять тенденции строительного рынка,  а так как по строительному рынку ожидается снижение объемов продаж в ближайшие годы, то и роста торговли отделочными и строительными материалами ждать не следует. Ситуацию может изменить увеличение объемов строительства, но его раньше 2021 ожидать не приходится. В сложившихся условиях в бизнесе по торговле отделочными и строительными материалами возрастает </w:t>
      </w:r>
      <w:proofErr w:type="gramStart"/>
      <w:r>
        <w:rPr>
          <w:color w:val="212121"/>
          <w:sz w:val="28"/>
          <w:szCs w:val="28"/>
        </w:rPr>
        <w:t>конкуренция</w:t>
      </w:r>
      <w:proofErr w:type="gramEnd"/>
      <w:r>
        <w:rPr>
          <w:color w:val="212121"/>
          <w:sz w:val="28"/>
          <w:szCs w:val="28"/>
        </w:rPr>
        <w:t xml:space="preserve"> и повышаются барьеры для входа в отрасль новых игроков. Небольшая рентабельность не позволит компаниям с низкой эффективностью (неудачное месторасположение, неудачная концепция, плохо подобранный ассортимент, неудовлетворительный сервис, недостаточный складской запас, высокие логистические издержки) зарабатывать на рынке розничной торговли отделочными и строительными материалами.</w:t>
      </w:r>
    </w:p>
    <w:p w:rsidR="00C200D1" w:rsidRDefault="00C200D1" w:rsidP="00C200D1">
      <w:pPr>
        <w:shd w:val="clear" w:color="auto" w:fill="FFFFFF" w:themeFill="background1"/>
        <w:spacing w:line="360" w:lineRule="auto"/>
        <w:ind w:firstLine="851"/>
        <w:jc w:val="both"/>
        <w:rPr>
          <w:color w:val="212121"/>
          <w:sz w:val="28"/>
          <w:szCs w:val="28"/>
        </w:rPr>
      </w:pPr>
      <w:r>
        <w:rPr>
          <w:color w:val="212121"/>
          <w:sz w:val="28"/>
          <w:szCs w:val="28"/>
        </w:rPr>
        <w:t>Среди множества видов продукции подавляющее количество покупателей интересуют строительные материалы. Популярность объясняется широкой сферой применения, начиная от ремонтных работ в квартирах и частных домах, заканчивая возведением торговых центров, зданий общественного назначения и целых жилых кварталов.</w:t>
      </w:r>
    </w:p>
    <w:p w:rsidR="00C200D1" w:rsidRDefault="00C200D1" w:rsidP="00C200D1">
      <w:pPr>
        <w:shd w:val="clear" w:color="auto" w:fill="FFFFFF" w:themeFill="background1"/>
        <w:spacing w:line="360" w:lineRule="auto"/>
        <w:ind w:firstLine="851"/>
        <w:jc w:val="both"/>
        <w:rPr>
          <w:color w:val="212121"/>
          <w:sz w:val="28"/>
          <w:szCs w:val="28"/>
        </w:rPr>
      </w:pPr>
      <w:r>
        <w:rPr>
          <w:color w:val="212121"/>
          <w:sz w:val="28"/>
          <w:szCs w:val="28"/>
        </w:rPr>
        <w:t xml:space="preserve">Каждый покупатель, прежде чем остановить свой выбор на той или иной продукции желает, как можно подробнее узнать ее технические </w:t>
      </w:r>
      <w:r>
        <w:rPr>
          <w:color w:val="212121"/>
          <w:sz w:val="28"/>
          <w:szCs w:val="28"/>
        </w:rPr>
        <w:lastRenderedPageBreak/>
        <w:t>характеристики и ценовой диапазон на рынке строительных материалов. Это позволяет принять правильное решение и купить действительно эффективный в использовании товар.</w:t>
      </w:r>
    </w:p>
    <w:p w:rsidR="00C200D1" w:rsidRDefault="00C200D1" w:rsidP="00C200D1">
      <w:pPr>
        <w:spacing w:line="360" w:lineRule="auto"/>
        <w:ind w:firstLine="851"/>
        <w:jc w:val="both"/>
        <w:rPr>
          <w:sz w:val="28"/>
          <w:szCs w:val="28"/>
          <w:shd w:val="clear" w:color="auto" w:fill="FFFFFF"/>
        </w:rPr>
      </w:pPr>
      <w:r>
        <w:rPr>
          <w:sz w:val="28"/>
          <w:szCs w:val="28"/>
          <w:shd w:val="clear" w:color="auto" w:fill="FFFFFF"/>
        </w:rPr>
        <w:t>Основным видом деятельност</w:t>
      </w:r>
      <w:proofErr w:type="gramStart"/>
      <w:r>
        <w:rPr>
          <w:sz w:val="28"/>
          <w:szCs w:val="28"/>
          <w:shd w:val="clear" w:color="auto" w:fill="FFFFFF"/>
        </w:rPr>
        <w:t>и ООО</w:t>
      </w:r>
      <w:proofErr w:type="gramEnd"/>
      <w:r>
        <w:rPr>
          <w:sz w:val="28"/>
          <w:szCs w:val="28"/>
          <w:shd w:val="clear" w:color="auto" w:fill="FFFFFF"/>
        </w:rPr>
        <w:t xml:space="preserve"> «Строй Сервис» торговля розничная строительными материалами, не включенными в другие группировки, в специализированных магазинах, а также:</w:t>
      </w:r>
    </w:p>
    <w:p w:rsidR="00C200D1" w:rsidRDefault="00C200D1" w:rsidP="00C200D1">
      <w:pPr>
        <w:spacing w:line="360" w:lineRule="auto"/>
        <w:ind w:firstLine="851"/>
        <w:jc w:val="both"/>
        <w:rPr>
          <w:sz w:val="28"/>
          <w:szCs w:val="28"/>
          <w:shd w:val="clear" w:color="auto" w:fill="FFFFFF"/>
        </w:rPr>
      </w:pPr>
      <w:r>
        <w:rPr>
          <w:sz w:val="28"/>
          <w:szCs w:val="28"/>
          <w:shd w:val="clear" w:color="auto" w:fill="FFFFFF"/>
        </w:rPr>
        <w:t xml:space="preserve"> - торговля розничная пиломатериалами в специализированных магазинах;</w:t>
      </w:r>
    </w:p>
    <w:p w:rsidR="00C200D1" w:rsidRDefault="00C200D1" w:rsidP="00C200D1">
      <w:pPr>
        <w:spacing w:line="360" w:lineRule="auto"/>
        <w:ind w:firstLine="851"/>
        <w:jc w:val="both"/>
        <w:rPr>
          <w:sz w:val="28"/>
          <w:szCs w:val="28"/>
          <w:shd w:val="clear" w:color="auto" w:fill="FFFFFF"/>
        </w:rPr>
      </w:pPr>
      <w:r>
        <w:rPr>
          <w:sz w:val="28"/>
          <w:szCs w:val="28"/>
          <w:shd w:val="clear" w:color="auto" w:fill="FFFFFF"/>
        </w:rPr>
        <w:t xml:space="preserve"> - торговля розничная кирпичом в  специализированных магазинах;</w:t>
      </w:r>
    </w:p>
    <w:p w:rsidR="00C200D1" w:rsidRDefault="00C200D1" w:rsidP="00C200D1">
      <w:pPr>
        <w:spacing w:line="360" w:lineRule="auto"/>
        <w:ind w:firstLine="851"/>
        <w:jc w:val="both"/>
        <w:rPr>
          <w:sz w:val="28"/>
          <w:szCs w:val="28"/>
          <w:shd w:val="clear" w:color="auto" w:fill="FFFFFF"/>
        </w:rPr>
      </w:pPr>
      <w:r>
        <w:rPr>
          <w:sz w:val="28"/>
          <w:szCs w:val="28"/>
          <w:shd w:val="clear" w:color="auto" w:fill="FFFFFF"/>
        </w:rPr>
        <w:t xml:space="preserve">- торговля розничная металлическими и неметаллическими  конструкциями в  специализированных магазинах и </w:t>
      </w:r>
      <w:proofErr w:type="gramStart"/>
      <w:r>
        <w:rPr>
          <w:sz w:val="28"/>
          <w:szCs w:val="28"/>
          <w:shd w:val="clear" w:color="auto" w:fill="FFFFFF"/>
        </w:rPr>
        <w:t>другое</w:t>
      </w:r>
      <w:proofErr w:type="gramEnd"/>
      <w:r>
        <w:rPr>
          <w:sz w:val="28"/>
          <w:szCs w:val="28"/>
          <w:shd w:val="clear" w:color="auto" w:fill="FFFFFF"/>
        </w:rPr>
        <w:t xml:space="preserve">. </w:t>
      </w:r>
    </w:p>
    <w:p w:rsidR="00C200D1" w:rsidRDefault="00C200D1" w:rsidP="00C200D1">
      <w:pPr>
        <w:spacing w:line="360" w:lineRule="auto"/>
        <w:ind w:firstLine="540"/>
        <w:jc w:val="both"/>
        <w:rPr>
          <w:sz w:val="28"/>
          <w:szCs w:val="28"/>
        </w:rPr>
      </w:pPr>
      <w:r>
        <w:rPr>
          <w:sz w:val="28"/>
          <w:szCs w:val="28"/>
        </w:rPr>
        <w:t>Для оценки уровня платежеспособност</w:t>
      </w:r>
      <w:proofErr w:type="gramStart"/>
      <w:r>
        <w:rPr>
          <w:sz w:val="28"/>
          <w:szCs w:val="28"/>
        </w:rPr>
        <w:t>и ООО</w:t>
      </w:r>
      <w:proofErr w:type="gramEnd"/>
      <w:r>
        <w:rPr>
          <w:sz w:val="28"/>
          <w:szCs w:val="28"/>
        </w:rPr>
        <w:t xml:space="preserve"> «Строй Сервис»  необходимо активы и пассивы организации сгруппировать в следующую таблицу (таблица 1).</w:t>
      </w:r>
    </w:p>
    <w:p w:rsidR="00C200D1" w:rsidRDefault="00C200D1" w:rsidP="00C200D1">
      <w:pPr>
        <w:spacing w:line="360" w:lineRule="auto"/>
        <w:jc w:val="both"/>
      </w:pPr>
      <w:r>
        <w:rPr>
          <w:sz w:val="28"/>
          <w:szCs w:val="28"/>
        </w:rPr>
        <w:t>Таблица 1 - Сравнительный аналитический баланс организации</w:t>
      </w:r>
    </w:p>
    <w:tbl>
      <w:tblPr>
        <w:tblStyle w:val="a7"/>
        <w:tblW w:w="10080" w:type="dxa"/>
        <w:tblInd w:w="-432" w:type="dxa"/>
        <w:tblLayout w:type="fixed"/>
        <w:tblLook w:val="01E0" w:firstRow="1" w:lastRow="1" w:firstColumn="1" w:lastColumn="1" w:noHBand="0" w:noVBand="0"/>
      </w:tblPr>
      <w:tblGrid>
        <w:gridCol w:w="1980"/>
        <w:gridCol w:w="1080"/>
        <w:gridCol w:w="1080"/>
        <w:gridCol w:w="1080"/>
        <w:gridCol w:w="2160"/>
        <w:gridCol w:w="900"/>
        <w:gridCol w:w="900"/>
        <w:gridCol w:w="900"/>
      </w:tblGrid>
      <w:tr w:rsidR="00C200D1">
        <w:tc>
          <w:tcPr>
            <w:tcW w:w="1980" w:type="dxa"/>
            <w:vMerge w:val="restart"/>
            <w:tcBorders>
              <w:top w:val="single" w:sz="4" w:space="0" w:color="auto"/>
              <w:left w:val="single" w:sz="4" w:space="0" w:color="auto"/>
              <w:bottom w:val="single" w:sz="4" w:space="0" w:color="auto"/>
              <w:right w:val="single" w:sz="4" w:space="0" w:color="auto"/>
            </w:tcBorders>
            <w:hideMark/>
          </w:tcPr>
          <w:p w:rsidR="00C200D1" w:rsidRDefault="00C200D1">
            <w:pPr>
              <w:jc w:val="center"/>
              <w:rPr>
                <w:sz w:val="22"/>
                <w:szCs w:val="22"/>
                <w:lang w:eastAsia="en-US"/>
              </w:rPr>
            </w:pPr>
            <w:r>
              <w:rPr>
                <w:sz w:val="22"/>
                <w:szCs w:val="22"/>
                <w:lang w:eastAsia="en-US"/>
              </w:rPr>
              <w:t>Группировка активов</w:t>
            </w:r>
          </w:p>
        </w:tc>
        <w:tc>
          <w:tcPr>
            <w:tcW w:w="3240" w:type="dxa"/>
            <w:gridSpan w:val="3"/>
            <w:tcBorders>
              <w:top w:val="single" w:sz="4" w:space="0" w:color="auto"/>
              <w:left w:val="single" w:sz="4" w:space="0" w:color="auto"/>
              <w:bottom w:val="single" w:sz="4" w:space="0" w:color="auto"/>
              <w:right w:val="single" w:sz="4" w:space="0" w:color="auto"/>
            </w:tcBorders>
            <w:hideMark/>
          </w:tcPr>
          <w:p w:rsidR="00C200D1" w:rsidRDefault="00C200D1">
            <w:pPr>
              <w:jc w:val="center"/>
              <w:rPr>
                <w:sz w:val="22"/>
                <w:szCs w:val="22"/>
                <w:lang w:eastAsia="en-US"/>
              </w:rPr>
            </w:pPr>
            <w:r>
              <w:rPr>
                <w:sz w:val="22"/>
                <w:szCs w:val="22"/>
                <w:lang w:eastAsia="en-US"/>
              </w:rPr>
              <w:t>Годы</w:t>
            </w:r>
          </w:p>
        </w:tc>
        <w:tc>
          <w:tcPr>
            <w:tcW w:w="2160" w:type="dxa"/>
            <w:vMerge w:val="restart"/>
            <w:tcBorders>
              <w:top w:val="single" w:sz="4" w:space="0" w:color="auto"/>
              <w:left w:val="single" w:sz="4" w:space="0" w:color="auto"/>
              <w:bottom w:val="single" w:sz="4" w:space="0" w:color="auto"/>
              <w:right w:val="single" w:sz="4" w:space="0" w:color="auto"/>
            </w:tcBorders>
            <w:hideMark/>
          </w:tcPr>
          <w:p w:rsidR="00C200D1" w:rsidRDefault="00C200D1">
            <w:pPr>
              <w:jc w:val="center"/>
              <w:rPr>
                <w:sz w:val="22"/>
                <w:szCs w:val="22"/>
                <w:lang w:eastAsia="en-US"/>
              </w:rPr>
            </w:pPr>
            <w:r>
              <w:rPr>
                <w:sz w:val="22"/>
                <w:szCs w:val="22"/>
                <w:lang w:eastAsia="en-US"/>
              </w:rPr>
              <w:t>Группировка пассивов</w:t>
            </w:r>
          </w:p>
        </w:tc>
        <w:tc>
          <w:tcPr>
            <w:tcW w:w="2700" w:type="dxa"/>
            <w:gridSpan w:val="3"/>
            <w:tcBorders>
              <w:top w:val="single" w:sz="4" w:space="0" w:color="auto"/>
              <w:left w:val="single" w:sz="4" w:space="0" w:color="auto"/>
              <w:bottom w:val="single" w:sz="4" w:space="0" w:color="auto"/>
              <w:right w:val="single" w:sz="4" w:space="0" w:color="auto"/>
            </w:tcBorders>
            <w:hideMark/>
          </w:tcPr>
          <w:p w:rsidR="00C200D1" w:rsidRDefault="00C200D1">
            <w:pPr>
              <w:jc w:val="center"/>
              <w:rPr>
                <w:sz w:val="22"/>
                <w:szCs w:val="22"/>
                <w:lang w:eastAsia="en-US"/>
              </w:rPr>
            </w:pPr>
            <w:r>
              <w:rPr>
                <w:sz w:val="22"/>
                <w:szCs w:val="22"/>
                <w:lang w:eastAsia="en-US"/>
              </w:rPr>
              <w:t>Годы</w:t>
            </w:r>
          </w:p>
        </w:tc>
      </w:tr>
      <w:tr w:rsidR="00C200D1">
        <w:tc>
          <w:tcPr>
            <w:tcW w:w="1980" w:type="dxa"/>
            <w:vMerge/>
            <w:tcBorders>
              <w:top w:val="single" w:sz="4" w:space="0" w:color="auto"/>
              <w:left w:val="single" w:sz="4" w:space="0" w:color="auto"/>
              <w:bottom w:val="single" w:sz="4" w:space="0" w:color="auto"/>
              <w:right w:val="single" w:sz="4" w:space="0" w:color="auto"/>
            </w:tcBorders>
            <w:vAlign w:val="center"/>
            <w:hideMark/>
          </w:tcPr>
          <w:p w:rsidR="00C200D1" w:rsidRDefault="00C200D1">
            <w:pPr>
              <w:rPr>
                <w:sz w:val="22"/>
                <w:szCs w:val="22"/>
                <w:lang w:eastAsia="en-US"/>
              </w:rPr>
            </w:pPr>
          </w:p>
        </w:tc>
        <w:tc>
          <w:tcPr>
            <w:tcW w:w="1080"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sz w:val="22"/>
                <w:szCs w:val="22"/>
                <w:lang w:eastAsia="en-US"/>
              </w:rPr>
            </w:pPr>
            <w:r>
              <w:rPr>
                <w:sz w:val="22"/>
                <w:szCs w:val="22"/>
                <w:lang w:eastAsia="en-US"/>
              </w:rPr>
              <w:t>2016</w:t>
            </w:r>
          </w:p>
        </w:tc>
        <w:tc>
          <w:tcPr>
            <w:tcW w:w="1080"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sz w:val="22"/>
                <w:szCs w:val="22"/>
                <w:lang w:eastAsia="en-US"/>
              </w:rPr>
            </w:pPr>
            <w:r>
              <w:rPr>
                <w:sz w:val="22"/>
                <w:szCs w:val="22"/>
                <w:lang w:eastAsia="en-US"/>
              </w:rPr>
              <w:t>2017</w:t>
            </w:r>
          </w:p>
        </w:tc>
        <w:tc>
          <w:tcPr>
            <w:tcW w:w="1080"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sz w:val="22"/>
                <w:szCs w:val="22"/>
                <w:lang w:eastAsia="en-US"/>
              </w:rPr>
            </w:pPr>
            <w:r>
              <w:rPr>
                <w:sz w:val="22"/>
                <w:szCs w:val="22"/>
                <w:lang w:eastAsia="en-US"/>
              </w:rPr>
              <w:t>2018</w:t>
            </w:r>
          </w:p>
        </w:tc>
        <w:tc>
          <w:tcPr>
            <w:tcW w:w="2160" w:type="dxa"/>
            <w:vMerge/>
            <w:tcBorders>
              <w:top w:val="single" w:sz="4" w:space="0" w:color="auto"/>
              <w:left w:val="single" w:sz="4" w:space="0" w:color="auto"/>
              <w:bottom w:val="single" w:sz="4" w:space="0" w:color="auto"/>
              <w:right w:val="single" w:sz="4" w:space="0" w:color="auto"/>
            </w:tcBorders>
            <w:vAlign w:val="center"/>
            <w:hideMark/>
          </w:tcPr>
          <w:p w:rsidR="00C200D1" w:rsidRDefault="00C200D1">
            <w:pPr>
              <w:rPr>
                <w:sz w:val="22"/>
                <w:szCs w:val="22"/>
                <w:lang w:eastAsia="en-US"/>
              </w:rPr>
            </w:pPr>
          </w:p>
        </w:tc>
        <w:tc>
          <w:tcPr>
            <w:tcW w:w="900"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sz w:val="22"/>
                <w:szCs w:val="22"/>
                <w:lang w:eastAsia="en-US"/>
              </w:rPr>
            </w:pPr>
            <w:r>
              <w:rPr>
                <w:sz w:val="22"/>
                <w:szCs w:val="22"/>
                <w:lang w:eastAsia="en-US"/>
              </w:rPr>
              <w:t>2016</w:t>
            </w:r>
          </w:p>
        </w:tc>
        <w:tc>
          <w:tcPr>
            <w:tcW w:w="900"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sz w:val="22"/>
                <w:szCs w:val="22"/>
                <w:lang w:eastAsia="en-US"/>
              </w:rPr>
            </w:pPr>
            <w:r>
              <w:rPr>
                <w:sz w:val="22"/>
                <w:szCs w:val="22"/>
                <w:lang w:eastAsia="en-US"/>
              </w:rPr>
              <w:t>2017</w:t>
            </w:r>
          </w:p>
        </w:tc>
        <w:tc>
          <w:tcPr>
            <w:tcW w:w="900"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sz w:val="22"/>
                <w:szCs w:val="22"/>
                <w:lang w:eastAsia="en-US"/>
              </w:rPr>
            </w:pPr>
            <w:r>
              <w:rPr>
                <w:sz w:val="22"/>
                <w:szCs w:val="22"/>
                <w:lang w:eastAsia="en-US"/>
              </w:rPr>
              <w:t>2018</w:t>
            </w:r>
          </w:p>
        </w:tc>
      </w:tr>
      <w:tr w:rsidR="00C200D1">
        <w:tc>
          <w:tcPr>
            <w:tcW w:w="1980" w:type="dxa"/>
            <w:tcBorders>
              <w:top w:val="single" w:sz="4" w:space="0" w:color="auto"/>
              <w:left w:val="single" w:sz="4" w:space="0" w:color="auto"/>
              <w:bottom w:val="single" w:sz="4" w:space="0" w:color="auto"/>
              <w:right w:val="single" w:sz="4" w:space="0" w:color="auto"/>
            </w:tcBorders>
            <w:hideMark/>
          </w:tcPr>
          <w:p w:rsidR="00C200D1" w:rsidRDefault="00C200D1">
            <w:pPr>
              <w:jc w:val="both"/>
              <w:rPr>
                <w:sz w:val="22"/>
                <w:szCs w:val="22"/>
                <w:lang w:eastAsia="en-US"/>
              </w:rPr>
            </w:pPr>
            <w:r>
              <w:rPr>
                <w:sz w:val="22"/>
                <w:szCs w:val="22"/>
                <w:lang w:eastAsia="en-US"/>
              </w:rPr>
              <w:t>Наиболее ликвидные активы  А</w:t>
            </w:r>
            <w:proofErr w:type="gramStart"/>
            <w:r>
              <w:rPr>
                <w:sz w:val="22"/>
                <w:szCs w:val="22"/>
                <w:vertAlign w:val="subscript"/>
                <w:lang w:eastAsia="en-US"/>
              </w:rPr>
              <w:t>1</w:t>
            </w:r>
            <w:proofErr w:type="gramEnd"/>
          </w:p>
        </w:tc>
        <w:tc>
          <w:tcPr>
            <w:tcW w:w="1080"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sz w:val="22"/>
                <w:szCs w:val="22"/>
                <w:lang w:eastAsia="en-US"/>
              </w:rPr>
            </w:pPr>
            <w:r>
              <w:rPr>
                <w:sz w:val="22"/>
                <w:szCs w:val="22"/>
                <w:lang w:eastAsia="en-US"/>
              </w:rPr>
              <w:t>5</w:t>
            </w:r>
          </w:p>
        </w:tc>
        <w:tc>
          <w:tcPr>
            <w:tcW w:w="1080"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sz w:val="22"/>
                <w:szCs w:val="22"/>
                <w:lang w:eastAsia="en-US"/>
              </w:rPr>
            </w:pPr>
            <w:r>
              <w:rPr>
                <w:sz w:val="22"/>
                <w:szCs w:val="22"/>
                <w:lang w:eastAsia="en-US"/>
              </w:rPr>
              <w:t>52</w:t>
            </w:r>
          </w:p>
        </w:tc>
        <w:tc>
          <w:tcPr>
            <w:tcW w:w="1080"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sz w:val="22"/>
                <w:szCs w:val="22"/>
                <w:lang w:eastAsia="en-US"/>
              </w:rPr>
            </w:pPr>
            <w:r>
              <w:rPr>
                <w:sz w:val="22"/>
                <w:szCs w:val="22"/>
                <w:lang w:eastAsia="en-US"/>
              </w:rPr>
              <w:t>1052</w:t>
            </w:r>
          </w:p>
        </w:tc>
        <w:tc>
          <w:tcPr>
            <w:tcW w:w="2160" w:type="dxa"/>
            <w:tcBorders>
              <w:top w:val="single" w:sz="4" w:space="0" w:color="auto"/>
              <w:left w:val="single" w:sz="4" w:space="0" w:color="auto"/>
              <w:bottom w:val="single" w:sz="4" w:space="0" w:color="auto"/>
              <w:right w:val="single" w:sz="4" w:space="0" w:color="auto"/>
            </w:tcBorders>
            <w:hideMark/>
          </w:tcPr>
          <w:p w:rsidR="00C200D1" w:rsidRDefault="00C200D1">
            <w:pPr>
              <w:jc w:val="both"/>
              <w:rPr>
                <w:sz w:val="22"/>
                <w:szCs w:val="22"/>
                <w:vertAlign w:val="subscript"/>
                <w:lang w:eastAsia="en-US"/>
              </w:rPr>
            </w:pPr>
            <w:r>
              <w:rPr>
                <w:sz w:val="22"/>
                <w:szCs w:val="22"/>
                <w:lang w:eastAsia="en-US"/>
              </w:rPr>
              <w:t>Наиболее срочные обязательства – П</w:t>
            </w:r>
            <w:proofErr w:type="gramStart"/>
            <w:r>
              <w:rPr>
                <w:sz w:val="22"/>
                <w:szCs w:val="22"/>
                <w:vertAlign w:val="subscript"/>
                <w:lang w:eastAsia="en-US"/>
              </w:rPr>
              <w:t>1</w:t>
            </w:r>
            <w:proofErr w:type="gramEnd"/>
          </w:p>
        </w:tc>
        <w:tc>
          <w:tcPr>
            <w:tcW w:w="900"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sz w:val="22"/>
                <w:szCs w:val="22"/>
                <w:lang w:eastAsia="en-US"/>
              </w:rPr>
            </w:pPr>
            <w:r>
              <w:rPr>
                <w:sz w:val="22"/>
                <w:szCs w:val="22"/>
                <w:lang w:eastAsia="en-US"/>
              </w:rPr>
              <w:t>5718</w:t>
            </w:r>
          </w:p>
        </w:tc>
        <w:tc>
          <w:tcPr>
            <w:tcW w:w="900"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sz w:val="22"/>
                <w:szCs w:val="22"/>
                <w:lang w:eastAsia="en-US"/>
              </w:rPr>
            </w:pPr>
            <w:r>
              <w:rPr>
                <w:sz w:val="22"/>
                <w:szCs w:val="22"/>
                <w:lang w:eastAsia="en-US"/>
              </w:rPr>
              <w:t>27567</w:t>
            </w:r>
          </w:p>
        </w:tc>
        <w:tc>
          <w:tcPr>
            <w:tcW w:w="900"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sz w:val="22"/>
                <w:szCs w:val="22"/>
                <w:lang w:eastAsia="en-US"/>
              </w:rPr>
            </w:pPr>
            <w:r>
              <w:rPr>
                <w:sz w:val="22"/>
                <w:szCs w:val="22"/>
                <w:lang w:eastAsia="en-US"/>
              </w:rPr>
              <w:t>25 721</w:t>
            </w:r>
          </w:p>
        </w:tc>
      </w:tr>
      <w:tr w:rsidR="00C200D1">
        <w:tc>
          <w:tcPr>
            <w:tcW w:w="1980" w:type="dxa"/>
            <w:tcBorders>
              <w:top w:val="single" w:sz="4" w:space="0" w:color="auto"/>
              <w:left w:val="single" w:sz="4" w:space="0" w:color="auto"/>
              <w:bottom w:val="single" w:sz="4" w:space="0" w:color="auto"/>
              <w:right w:val="single" w:sz="4" w:space="0" w:color="auto"/>
            </w:tcBorders>
            <w:hideMark/>
          </w:tcPr>
          <w:p w:rsidR="00C200D1" w:rsidRDefault="00C200D1">
            <w:pPr>
              <w:jc w:val="both"/>
              <w:rPr>
                <w:sz w:val="22"/>
                <w:szCs w:val="22"/>
                <w:lang w:eastAsia="en-US"/>
              </w:rPr>
            </w:pPr>
            <w:r>
              <w:rPr>
                <w:sz w:val="22"/>
                <w:szCs w:val="22"/>
                <w:lang w:eastAsia="en-US"/>
              </w:rPr>
              <w:t>Быстрореализуемый активы – А</w:t>
            </w:r>
            <w:proofErr w:type="gramStart"/>
            <w:r>
              <w:rPr>
                <w:sz w:val="22"/>
                <w:szCs w:val="22"/>
                <w:vertAlign w:val="subscript"/>
                <w:lang w:eastAsia="en-US"/>
              </w:rPr>
              <w:t>2</w:t>
            </w:r>
            <w:proofErr w:type="gramEnd"/>
          </w:p>
        </w:tc>
        <w:tc>
          <w:tcPr>
            <w:tcW w:w="1080"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sz w:val="22"/>
                <w:szCs w:val="22"/>
                <w:lang w:eastAsia="en-US"/>
              </w:rPr>
            </w:pPr>
            <w:r>
              <w:rPr>
                <w:sz w:val="22"/>
                <w:szCs w:val="22"/>
                <w:lang w:eastAsia="en-US"/>
              </w:rPr>
              <w:t>5646</w:t>
            </w:r>
          </w:p>
        </w:tc>
        <w:tc>
          <w:tcPr>
            <w:tcW w:w="1080"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sz w:val="22"/>
                <w:szCs w:val="22"/>
                <w:lang w:eastAsia="en-US"/>
              </w:rPr>
            </w:pPr>
            <w:r>
              <w:rPr>
                <w:sz w:val="22"/>
                <w:szCs w:val="22"/>
                <w:lang w:eastAsia="en-US"/>
              </w:rPr>
              <w:t>24 870</w:t>
            </w:r>
          </w:p>
        </w:tc>
        <w:tc>
          <w:tcPr>
            <w:tcW w:w="1080"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sz w:val="22"/>
                <w:szCs w:val="22"/>
                <w:lang w:eastAsia="en-US"/>
              </w:rPr>
            </w:pPr>
            <w:r>
              <w:rPr>
                <w:sz w:val="22"/>
                <w:szCs w:val="22"/>
                <w:lang w:eastAsia="en-US"/>
              </w:rPr>
              <w:t>16 644</w:t>
            </w:r>
          </w:p>
        </w:tc>
        <w:tc>
          <w:tcPr>
            <w:tcW w:w="2160" w:type="dxa"/>
            <w:tcBorders>
              <w:top w:val="single" w:sz="4" w:space="0" w:color="auto"/>
              <w:left w:val="single" w:sz="4" w:space="0" w:color="auto"/>
              <w:bottom w:val="single" w:sz="4" w:space="0" w:color="auto"/>
              <w:right w:val="single" w:sz="4" w:space="0" w:color="auto"/>
            </w:tcBorders>
            <w:hideMark/>
          </w:tcPr>
          <w:p w:rsidR="00C200D1" w:rsidRDefault="00C200D1">
            <w:pPr>
              <w:jc w:val="both"/>
              <w:rPr>
                <w:sz w:val="22"/>
                <w:szCs w:val="22"/>
                <w:vertAlign w:val="subscript"/>
                <w:lang w:eastAsia="en-US"/>
              </w:rPr>
            </w:pPr>
            <w:r>
              <w:rPr>
                <w:sz w:val="22"/>
                <w:szCs w:val="22"/>
                <w:lang w:eastAsia="en-US"/>
              </w:rPr>
              <w:t>Краткосрочные пассивы – П</w:t>
            </w:r>
            <w:proofErr w:type="gramStart"/>
            <w:r>
              <w:rPr>
                <w:sz w:val="22"/>
                <w:szCs w:val="22"/>
                <w:vertAlign w:val="subscript"/>
                <w:lang w:eastAsia="en-US"/>
              </w:rPr>
              <w:t>2</w:t>
            </w:r>
            <w:proofErr w:type="gramEnd"/>
          </w:p>
        </w:tc>
        <w:tc>
          <w:tcPr>
            <w:tcW w:w="900"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sz w:val="22"/>
                <w:szCs w:val="22"/>
                <w:lang w:eastAsia="en-US"/>
              </w:rPr>
            </w:pPr>
            <w:r>
              <w:rPr>
                <w:sz w:val="22"/>
                <w:szCs w:val="22"/>
                <w:lang w:eastAsia="en-US"/>
              </w:rPr>
              <w:t>-</w:t>
            </w:r>
          </w:p>
        </w:tc>
        <w:tc>
          <w:tcPr>
            <w:tcW w:w="900"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sz w:val="22"/>
                <w:szCs w:val="22"/>
                <w:lang w:eastAsia="en-US"/>
              </w:rPr>
            </w:pPr>
            <w:r>
              <w:rPr>
                <w:sz w:val="22"/>
                <w:szCs w:val="22"/>
                <w:lang w:eastAsia="en-US"/>
              </w:rPr>
              <w:t>-</w:t>
            </w:r>
          </w:p>
        </w:tc>
        <w:tc>
          <w:tcPr>
            <w:tcW w:w="900"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sz w:val="22"/>
                <w:szCs w:val="22"/>
                <w:lang w:eastAsia="en-US"/>
              </w:rPr>
            </w:pPr>
            <w:r>
              <w:rPr>
                <w:sz w:val="22"/>
                <w:szCs w:val="22"/>
                <w:lang w:eastAsia="en-US"/>
              </w:rPr>
              <w:t>-</w:t>
            </w:r>
          </w:p>
        </w:tc>
      </w:tr>
      <w:tr w:rsidR="00C200D1">
        <w:tc>
          <w:tcPr>
            <w:tcW w:w="1980" w:type="dxa"/>
            <w:tcBorders>
              <w:top w:val="single" w:sz="4" w:space="0" w:color="auto"/>
              <w:left w:val="single" w:sz="4" w:space="0" w:color="auto"/>
              <w:bottom w:val="single" w:sz="4" w:space="0" w:color="auto"/>
              <w:right w:val="single" w:sz="4" w:space="0" w:color="auto"/>
            </w:tcBorders>
            <w:hideMark/>
          </w:tcPr>
          <w:p w:rsidR="00C200D1" w:rsidRDefault="00C200D1">
            <w:pPr>
              <w:jc w:val="both"/>
              <w:rPr>
                <w:sz w:val="22"/>
                <w:szCs w:val="22"/>
                <w:vertAlign w:val="subscript"/>
                <w:lang w:eastAsia="en-US"/>
              </w:rPr>
            </w:pPr>
            <w:r>
              <w:rPr>
                <w:sz w:val="22"/>
                <w:szCs w:val="22"/>
                <w:lang w:eastAsia="en-US"/>
              </w:rPr>
              <w:t>Медленнореализуемые активы  - А</w:t>
            </w:r>
            <w:r>
              <w:rPr>
                <w:sz w:val="22"/>
                <w:szCs w:val="22"/>
                <w:vertAlign w:val="subscript"/>
                <w:lang w:eastAsia="en-US"/>
              </w:rPr>
              <w:t>3</w:t>
            </w:r>
          </w:p>
        </w:tc>
        <w:tc>
          <w:tcPr>
            <w:tcW w:w="1080"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sz w:val="22"/>
                <w:szCs w:val="22"/>
                <w:lang w:eastAsia="en-US"/>
              </w:rPr>
            </w:pPr>
            <w:r>
              <w:rPr>
                <w:sz w:val="22"/>
                <w:szCs w:val="22"/>
                <w:lang w:eastAsia="en-US"/>
              </w:rPr>
              <w:t>1712</w:t>
            </w:r>
          </w:p>
        </w:tc>
        <w:tc>
          <w:tcPr>
            <w:tcW w:w="1080"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sz w:val="22"/>
                <w:szCs w:val="22"/>
                <w:lang w:eastAsia="en-US"/>
              </w:rPr>
            </w:pPr>
            <w:r>
              <w:rPr>
                <w:sz w:val="22"/>
                <w:szCs w:val="22"/>
                <w:lang w:eastAsia="en-US"/>
              </w:rPr>
              <w:t>4467</w:t>
            </w:r>
          </w:p>
        </w:tc>
        <w:tc>
          <w:tcPr>
            <w:tcW w:w="1080"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sz w:val="22"/>
                <w:szCs w:val="22"/>
                <w:lang w:eastAsia="en-US"/>
              </w:rPr>
            </w:pPr>
            <w:r>
              <w:rPr>
                <w:sz w:val="22"/>
                <w:szCs w:val="22"/>
                <w:lang w:eastAsia="en-US"/>
              </w:rPr>
              <w:t>8706</w:t>
            </w:r>
          </w:p>
        </w:tc>
        <w:tc>
          <w:tcPr>
            <w:tcW w:w="2160" w:type="dxa"/>
            <w:tcBorders>
              <w:top w:val="single" w:sz="4" w:space="0" w:color="auto"/>
              <w:left w:val="single" w:sz="4" w:space="0" w:color="auto"/>
              <w:bottom w:val="single" w:sz="4" w:space="0" w:color="auto"/>
              <w:right w:val="single" w:sz="4" w:space="0" w:color="auto"/>
            </w:tcBorders>
            <w:hideMark/>
          </w:tcPr>
          <w:p w:rsidR="00C200D1" w:rsidRDefault="00C200D1">
            <w:pPr>
              <w:jc w:val="both"/>
              <w:rPr>
                <w:sz w:val="22"/>
                <w:szCs w:val="22"/>
                <w:lang w:eastAsia="en-US"/>
              </w:rPr>
            </w:pPr>
            <w:r>
              <w:rPr>
                <w:sz w:val="22"/>
                <w:szCs w:val="22"/>
                <w:lang w:eastAsia="en-US"/>
              </w:rPr>
              <w:t>Долгосрочные пассивы – П</w:t>
            </w:r>
            <w:r>
              <w:rPr>
                <w:sz w:val="22"/>
                <w:szCs w:val="22"/>
                <w:vertAlign w:val="subscript"/>
                <w:lang w:eastAsia="en-US"/>
              </w:rPr>
              <w:t>3</w:t>
            </w:r>
          </w:p>
        </w:tc>
        <w:tc>
          <w:tcPr>
            <w:tcW w:w="900"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sz w:val="22"/>
                <w:szCs w:val="22"/>
                <w:lang w:eastAsia="en-US"/>
              </w:rPr>
            </w:pPr>
            <w:r>
              <w:rPr>
                <w:sz w:val="22"/>
                <w:szCs w:val="22"/>
                <w:lang w:eastAsia="en-US"/>
              </w:rPr>
              <w:t>-</w:t>
            </w:r>
          </w:p>
        </w:tc>
        <w:tc>
          <w:tcPr>
            <w:tcW w:w="900"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sz w:val="22"/>
                <w:szCs w:val="22"/>
                <w:lang w:eastAsia="en-US"/>
              </w:rPr>
            </w:pPr>
            <w:r>
              <w:rPr>
                <w:sz w:val="22"/>
                <w:szCs w:val="22"/>
                <w:lang w:eastAsia="en-US"/>
              </w:rPr>
              <w:t>-</w:t>
            </w:r>
          </w:p>
        </w:tc>
        <w:tc>
          <w:tcPr>
            <w:tcW w:w="900"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sz w:val="22"/>
                <w:szCs w:val="22"/>
                <w:lang w:eastAsia="en-US"/>
              </w:rPr>
            </w:pPr>
            <w:r>
              <w:rPr>
                <w:sz w:val="22"/>
                <w:szCs w:val="22"/>
                <w:lang w:eastAsia="en-US"/>
              </w:rPr>
              <w:t>-</w:t>
            </w:r>
          </w:p>
        </w:tc>
      </w:tr>
      <w:tr w:rsidR="00C200D1">
        <w:tc>
          <w:tcPr>
            <w:tcW w:w="1980" w:type="dxa"/>
            <w:tcBorders>
              <w:top w:val="single" w:sz="4" w:space="0" w:color="auto"/>
              <w:left w:val="single" w:sz="4" w:space="0" w:color="auto"/>
              <w:bottom w:val="single" w:sz="4" w:space="0" w:color="auto"/>
              <w:right w:val="single" w:sz="4" w:space="0" w:color="auto"/>
            </w:tcBorders>
            <w:hideMark/>
          </w:tcPr>
          <w:p w:rsidR="00C200D1" w:rsidRDefault="00C200D1">
            <w:pPr>
              <w:jc w:val="both"/>
              <w:rPr>
                <w:sz w:val="22"/>
                <w:szCs w:val="22"/>
                <w:vertAlign w:val="subscript"/>
                <w:lang w:eastAsia="en-US"/>
              </w:rPr>
            </w:pPr>
            <w:r>
              <w:rPr>
                <w:sz w:val="22"/>
                <w:szCs w:val="22"/>
                <w:lang w:eastAsia="en-US"/>
              </w:rPr>
              <w:t>Труднореализуемые активы  - А</w:t>
            </w:r>
            <w:proofErr w:type="gramStart"/>
            <w:r>
              <w:rPr>
                <w:sz w:val="22"/>
                <w:szCs w:val="22"/>
                <w:vertAlign w:val="subscript"/>
                <w:lang w:eastAsia="en-US"/>
              </w:rPr>
              <w:t>4</w:t>
            </w:r>
            <w:proofErr w:type="gramEnd"/>
          </w:p>
        </w:tc>
        <w:tc>
          <w:tcPr>
            <w:tcW w:w="1080"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sz w:val="22"/>
                <w:szCs w:val="22"/>
                <w:lang w:eastAsia="en-US"/>
              </w:rPr>
            </w:pPr>
            <w:r>
              <w:rPr>
                <w:sz w:val="22"/>
                <w:szCs w:val="22"/>
                <w:lang w:eastAsia="en-US"/>
              </w:rPr>
              <w:t>74</w:t>
            </w:r>
          </w:p>
        </w:tc>
        <w:tc>
          <w:tcPr>
            <w:tcW w:w="1080"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sz w:val="22"/>
                <w:szCs w:val="22"/>
                <w:lang w:eastAsia="en-US"/>
              </w:rPr>
            </w:pPr>
            <w:r>
              <w:rPr>
                <w:sz w:val="22"/>
                <w:szCs w:val="22"/>
                <w:lang w:eastAsia="en-US"/>
              </w:rPr>
              <w:t>92</w:t>
            </w:r>
          </w:p>
        </w:tc>
        <w:tc>
          <w:tcPr>
            <w:tcW w:w="1080"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sz w:val="22"/>
                <w:szCs w:val="22"/>
                <w:lang w:eastAsia="en-US"/>
              </w:rPr>
            </w:pPr>
            <w:r>
              <w:rPr>
                <w:sz w:val="22"/>
                <w:szCs w:val="22"/>
                <w:lang w:eastAsia="en-US"/>
              </w:rPr>
              <w:t>1 331</w:t>
            </w:r>
          </w:p>
        </w:tc>
        <w:tc>
          <w:tcPr>
            <w:tcW w:w="2160" w:type="dxa"/>
            <w:tcBorders>
              <w:top w:val="single" w:sz="4" w:space="0" w:color="auto"/>
              <w:left w:val="single" w:sz="4" w:space="0" w:color="auto"/>
              <w:bottom w:val="single" w:sz="4" w:space="0" w:color="auto"/>
              <w:right w:val="single" w:sz="4" w:space="0" w:color="auto"/>
            </w:tcBorders>
            <w:hideMark/>
          </w:tcPr>
          <w:p w:rsidR="00C200D1" w:rsidRDefault="00C200D1">
            <w:pPr>
              <w:jc w:val="both"/>
              <w:rPr>
                <w:sz w:val="22"/>
                <w:szCs w:val="22"/>
                <w:vertAlign w:val="subscript"/>
                <w:lang w:eastAsia="en-US"/>
              </w:rPr>
            </w:pPr>
            <w:r>
              <w:rPr>
                <w:sz w:val="22"/>
                <w:szCs w:val="22"/>
                <w:lang w:eastAsia="en-US"/>
              </w:rPr>
              <w:t>Постоянные пассивы – П</w:t>
            </w:r>
            <w:proofErr w:type="gramStart"/>
            <w:r>
              <w:rPr>
                <w:sz w:val="22"/>
                <w:szCs w:val="22"/>
                <w:vertAlign w:val="subscript"/>
                <w:lang w:eastAsia="en-US"/>
              </w:rPr>
              <w:t>4</w:t>
            </w:r>
            <w:proofErr w:type="gramEnd"/>
          </w:p>
        </w:tc>
        <w:tc>
          <w:tcPr>
            <w:tcW w:w="900"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sz w:val="22"/>
                <w:szCs w:val="22"/>
                <w:lang w:eastAsia="en-US"/>
              </w:rPr>
            </w:pPr>
            <w:r>
              <w:rPr>
                <w:sz w:val="22"/>
                <w:szCs w:val="22"/>
                <w:lang w:eastAsia="en-US"/>
              </w:rPr>
              <w:t>1719</w:t>
            </w:r>
          </w:p>
        </w:tc>
        <w:tc>
          <w:tcPr>
            <w:tcW w:w="900"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sz w:val="22"/>
                <w:szCs w:val="22"/>
                <w:lang w:eastAsia="en-US"/>
              </w:rPr>
            </w:pPr>
            <w:r>
              <w:rPr>
                <w:sz w:val="22"/>
                <w:szCs w:val="22"/>
                <w:lang w:eastAsia="en-US"/>
              </w:rPr>
              <w:t>1905</w:t>
            </w:r>
          </w:p>
        </w:tc>
        <w:tc>
          <w:tcPr>
            <w:tcW w:w="900"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sz w:val="22"/>
                <w:szCs w:val="22"/>
                <w:lang w:eastAsia="en-US"/>
              </w:rPr>
            </w:pPr>
            <w:r>
              <w:rPr>
                <w:sz w:val="22"/>
                <w:szCs w:val="22"/>
                <w:lang w:eastAsia="en-US"/>
              </w:rPr>
              <w:t>2012</w:t>
            </w:r>
          </w:p>
        </w:tc>
      </w:tr>
      <w:tr w:rsidR="00C200D1">
        <w:tc>
          <w:tcPr>
            <w:tcW w:w="1980"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sz w:val="22"/>
                <w:szCs w:val="22"/>
                <w:lang w:eastAsia="en-US"/>
              </w:rPr>
            </w:pPr>
            <w:r>
              <w:rPr>
                <w:sz w:val="22"/>
                <w:szCs w:val="22"/>
                <w:lang w:eastAsia="en-US"/>
              </w:rPr>
              <w:t>Валюта баланса</w:t>
            </w:r>
          </w:p>
        </w:tc>
        <w:tc>
          <w:tcPr>
            <w:tcW w:w="1080"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sz w:val="22"/>
                <w:szCs w:val="22"/>
                <w:lang w:eastAsia="en-US"/>
              </w:rPr>
            </w:pPr>
            <w:r>
              <w:rPr>
                <w:sz w:val="22"/>
                <w:szCs w:val="22"/>
                <w:lang w:eastAsia="en-US"/>
              </w:rPr>
              <w:t>7 437</w:t>
            </w:r>
          </w:p>
        </w:tc>
        <w:tc>
          <w:tcPr>
            <w:tcW w:w="1080"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sz w:val="22"/>
                <w:szCs w:val="22"/>
                <w:lang w:eastAsia="en-US"/>
              </w:rPr>
            </w:pPr>
            <w:r>
              <w:rPr>
                <w:sz w:val="22"/>
                <w:szCs w:val="22"/>
                <w:lang w:eastAsia="en-US"/>
              </w:rPr>
              <w:t>29 481</w:t>
            </w:r>
          </w:p>
        </w:tc>
        <w:tc>
          <w:tcPr>
            <w:tcW w:w="1080"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sz w:val="22"/>
                <w:szCs w:val="22"/>
                <w:lang w:eastAsia="en-US"/>
              </w:rPr>
            </w:pPr>
            <w:r>
              <w:rPr>
                <w:sz w:val="22"/>
                <w:szCs w:val="22"/>
                <w:lang w:eastAsia="en-US"/>
              </w:rPr>
              <w:t>27 773</w:t>
            </w:r>
          </w:p>
        </w:tc>
        <w:tc>
          <w:tcPr>
            <w:tcW w:w="2160"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sz w:val="22"/>
                <w:szCs w:val="22"/>
                <w:lang w:eastAsia="en-US"/>
              </w:rPr>
            </w:pPr>
            <w:r>
              <w:rPr>
                <w:sz w:val="22"/>
                <w:szCs w:val="22"/>
                <w:lang w:eastAsia="en-US"/>
              </w:rPr>
              <w:t>Валюта баланса</w:t>
            </w:r>
          </w:p>
        </w:tc>
        <w:tc>
          <w:tcPr>
            <w:tcW w:w="900"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sz w:val="22"/>
                <w:szCs w:val="22"/>
                <w:lang w:eastAsia="en-US"/>
              </w:rPr>
            </w:pPr>
            <w:r>
              <w:rPr>
                <w:sz w:val="22"/>
                <w:szCs w:val="22"/>
                <w:lang w:eastAsia="en-US"/>
              </w:rPr>
              <w:t>7 429</w:t>
            </w:r>
          </w:p>
        </w:tc>
        <w:tc>
          <w:tcPr>
            <w:tcW w:w="900"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sz w:val="22"/>
                <w:szCs w:val="22"/>
                <w:lang w:eastAsia="en-US"/>
              </w:rPr>
            </w:pPr>
            <w:r>
              <w:rPr>
                <w:sz w:val="22"/>
                <w:szCs w:val="22"/>
                <w:lang w:eastAsia="en-US"/>
              </w:rPr>
              <w:t>29 467</w:t>
            </w:r>
          </w:p>
        </w:tc>
        <w:tc>
          <w:tcPr>
            <w:tcW w:w="900"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sz w:val="22"/>
                <w:szCs w:val="22"/>
                <w:lang w:eastAsia="en-US"/>
              </w:rPr>
            </w:pPr>
            <w:r>
              <w:rPr>
                <w:sz w:val="22"/>
                <w:szCs w:val="22"/>
                <w:lang w:eastAsia="en-US"/>
              </w:rPr>
              <w:t>27 733</w:t>
            </w:r>
          </w:p>
        </w:tc>
      </w:tr>
    </w:tbl>
    <w:p w:rsidR="00C200D1" w:rsidRDefault="00C200D1" w:rsidP="00C200D1">
      <w:pPr>
        <w:spacing w:line="360" w:lineRule="auto"/>
        <w:ind w:firstLine="540"/>
        <w:jc w:val="both"/>
      </w:pPr>
    </w:p>
    <w:p w:rsidR="00C200D1" w:rsidRDefault="00C200D1" w:rsidP="00C200D1">
      <w:pPr>
        <w:spacing w:line="360" w:lineRule="auto"/>
        <w:ind w:firstLine="540"/>
        <w:jc w:val="both"/>
        <w:rPr>
          <w:sz w:val="28"/>
          <w:szCs w:val="28"/>
        </w:rPr>
      </w:pPr>
      <w:r>
        <w:rPr>
          <w:sz w:val="28"/>
          <w:szCs w:val="28"/>
        </w:rPr>
        <w:t xml:space="preserve">За исследуемую динамику лет в организации наблюдается изменение практически всех статей сравнительного аналитического баланса, за исключением срок пассива – «краткосрочные обязательства» и «долгосрочные обязательства». </w:t>
      </w:r>
    </w:p>
    <w:p w:rsidR="00C200D1" w:rsidRDefault="00C200D1" w:rsidP="00C200D1">
      <w:pPr>
        <w:spacing w:line="360" w:lineRule="auto"/>
        <w:ind w:firstLine="540"/>
        <w:jc w:val="both"/>
        <w:rPr>
          <w:sz w:val="28"/>
          <w:szCs w:val="28"/>
        </w:rPr>
      </w:pPr>
      <w:r>
        <w:rPr>
          <w:sz w:val="28"/>
          <w:szCs w:val="28"/>
        </w:rPr>
        <w:t>С одной стороны,  такая ситуация носит положительный характер, поскольку делает организацию менее зависимой в долгосрочной и краткосрочной  перспективе, а с другой – использование только собственных сре</w:t>
      </w:r>
      <w:proofErr w:type="gramStart"/>
      <w:r>
        <w:rPr>
          <w:sz w:val="28"/>
          <w:szCs w:val="28"/>
        </w:rPr>
        <w:t>дств  дл</w:t>
      </w:r>
      <w:proofErr w:type="gramEnd"/>
      <w:r>
        <w:rPr>
          <w:sz w:val="28"/>
          <w:szCs w:val="28"/>
        </w:rPr>
        <w:t xml:space="preserve">я осуществления  текущей деятельности не всегда является </w:t>
      </w:r>
      <w:r>
        <w:rPr>
          <w:sz w:val="28"/>
          <w:szCs w:val="28"/>
        </w:rPr>
        <w:lastRenderedPageBreak/>
        <w:t>экономически обоснованным. Кроме того, необходимо учитывать, что специфика отрасли, в которой работает ООО «Строй Сервис», подвержена фактору сезонности.</w:t>
      </w:r>
    </w:p>
    <w:p w:rsidR="00C200D1" w:rsidRDefault="00C200D1" w:rsidP="00C200D1">
      <w:pPr>
        <w:spacing w:line="360" w:lineRule="auto"/>
        <w:ind w:firstLine="540"/>
        <w:jc w:val="both"/>
        <w:rPr>
          <w:sz w:val="28"/>
          <w:szCs w:val="28"/>
        </w:rPr>
      </w:pPr>
      <w:r>
        <w:rPr>
          <w:sz w:val="28"/>
          <w:szCs w:val="28"/>
        </w:rPr>
        <w:t>Кроме того, сопоставление  отдельных статей сравнительного аналитического баланса дает возможность  проанализировать степень покрытия обязательств организации ее текущими активами.</w:t>
      </w:r>
    </w:p>
    <w:p w:rsidR="00C200D1" w:rsidRDefault="00C200D1" w:rsidP="00C200D1">
      <w:pPr>
        <w:spacing w:line="360" w:lineRule="auto"/>
        <w:ind w:firstLine="540"/>
        <w:jc w:val="both"/>
        <w:rPr>
          <w:sz w:val="28"/>
          <w:szCs w:val="28"/>
        </w:rPr>
      </w:pPr>
      <w:r>
        <w:rPr>
          <w:sz w:val="28"/>
          <w:szCs w:val="28"/>
        </w:rPr>
        <w:t xml:space="preserve">Степень выполнения  необходимых  условий для признания бухгалтерского  баланса  </w:t>
      </w:r>
      <w:proofErr w:type="gramStart"/>
      <w:r>
        <w:rPr>
          <w:sz w:val="28"/>
          <w:szCs w:val="28"/>
        </w:rPr>
        <w:t>абсолютно ликвидным</w:t>
      </w:r>
      <w:proofErr w:type="gramEnd"/>
      <w:r>
        <w:rPr>
          <w:sz w:val="28"/>
          <w:szCs w:val="28"/>
        </w:rPr>
        <w:t xml:space="preserve"> представлена в виде таблицы 2.</w:t>
      </w:r>
    </w:p>
    <w:p w:rsidR="00C200D1" w:rsidRDefault="00C200D1" w:rsidP="00C200D1">
      <w:pPr>
        <w:spacing w:line="360" w:lineRule="auto"/>
        <w:jc w:val="both"/>
        <w:rPr>
          <w:sz w:val="28"/>
          <w:szCs w:val="28"/>
        </w:rPr>
      </w:pPr>
      <w:r>
        <w:rPr>
          <w:sz w:val="28"/>
          <w:szCs w:val="28"/>
        </w:rPr>
        <w:t>Таблица 2 - Анализ ликвидности баланса организации</w:t>
      </w:r>
    </w:p>
    <w:tbl>
      <w:tblPr>
        <w:tblStyle w:val="a7"/>
        <w:tblW w:w="0" w:type="auto"/>
        <w:tblLook w:val="01E0" w:firstRow="1" w:lastRow="1" w:firstColumn="1" w:lastColumn="1" w:noHBand="0" w:noVBand="0"/>
      </w:tblPr>
      <w:tblGrid>
        <w:gridCol w:w="2426"/>
        <w:gridCol w:w="2381"/>
        <w:gridCol w:w="2382"/>
        <w:gridCol w:w="2382"/>
      </w:tblGrid>
      <w:tr w:rsidR="00C200D1">
        <w:tc>
          <w:tcPr>
            <w:tcW w:w="2426" w:type="dxa"/>
            <w:vMerge w:val="restart"/>
            <w:tcBorders>
              <w:top w:val="single" w:sz="4" w:space="0" w:color="auto"/>
              <w:left w:val="single" w:sz="4" w:space="0" w:color="auto"/>
              <w:bottom w:val="single" w:sz="4" w:space="0" w:color="auto"/>
              <w:right w:val="single" w:sz="4" w:space="0" w:color="auto"/>
            </w:tcBorders>
            <w:hideMark/>
          </w:tcPr>
          <w:p w:rsidR="00C200D1" w:rsidRDefault="00C200D1">
            <w:pPr>
              <w:jc w:val="center"/>
              <w:rPr>
                <w:lang w:eastAsia="en-US"/>
              </w:rPr>
            </w:pPr>
            <w:r>
              <w:rPr>
                <w:lang w:eastAsia="en-US"/>
              </w:rPr>
              <w:t>Оптимальные условия соотношения активов и пассивов</w:t>
            </w:r>
          </w:p>
        </w:tc>
        <w:tc>
          <w:tcPr>
            <w:tcW w:w="7145" w:type="dxa"/>
            <w:gridSpan w:val="3"/>
            <w:tcBorders>
              <w:top w:val="single" w:sz="4" w:space="0" w:color="auto"/>
              <w:left w:val="single" w:sz="4" w:space="0" w:color="auto"/>
              <w:bottom w:val="single" w:sz="4" w:space="0" w:color="auto"/>
              <w:right w:val="single" w:sz="4" w:space="0" w:color="auto"/>
            </w:tcBorders>
            <w:hideMark/>
          </w:tcPr>
          <w:p w:rsidR="00C200D1" w:rsidRDefault="00C200D1">
            <w:pPr>
              <w:jc w:val="center"/>
              <w:rPr>
                <w:lang w:eastAsia="en-US"/>
              </w:rPr>
            </w:pPr>
            <w:r>
              <w:rPr>
                <w:lang w:eastAsia="en-US"/>
              </w:rPr>
              <w:t xml:space="preserve">Выполнение условий по годам </w:t>
            </w:r>
          </w:p>
        </w:tc>
      </w:tr>
      <w:tr w:rsidR="00C200D1">
        <w:tc>
          <w:tcPr>
            <w:tcW w:w="0" w:type="auto"/>
            <w:vMerge/>
            <w:tcBorders>
              <w:top w:val="single" w:sz="4" w:space="0" w:color="auto"/>
              <w:left w:val="single" w:sz="4" w:space="0" w:color="auto"/>
              <w:bottom w:val="single" w:sz="4" w:space="0" w:color="auto"/>
              <w:right w:val="single" w:sz="4" w:space="0" w:color="auto"/>
            </w:tcBorders>
            <w:vAlign w:val="center"/>
            <w:hideMark/>
          </w:tcPr>
          <w:p w:rsidR="00C200D1" w:rsidRDefault="00C200D1">
            <w:pPr>
              <w:rPr>
                <w:lang w:eastAsia="en-US"/>
              </w:rPr>
            </w:pPr>
          </w:p>
        </w:tc>
        <w:tc>
          <w:tcPr>
            <w:tcW w:w="2381"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lang w:eastAsia="en-US"/>
              </w:rPr>
            </w:pPr>
            <w:r>
              <w:rPr>
                <w:lang w:eastAsia="en-US"/>
              </w:rPr>
              <w:t>2016 г.</w:t>
            </w:r>
          </w:p>
        </w:tc>
        <w:tc>
          <w:tcPr>
            <w:tcW w:w="2382"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lang w:eastAsia="en-US"/>
              </w:rPr>
            </w:pPr>
            <w:r>
              <w:rPr>
                <w:lang w:eastAsia="en-US"/>
              </w:rPr>
              <w:t>2017 г.</w:t>
            </w:r>
          </w:p>
        </w:tc>
        <w:tc>
          <w:tcPr>
            <w:tcW w:w="2382"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lang w:eastAsia="en-US"/>
              </w:rPr>
            </w:pPr>
            <w:r>
              <w:rPr>
                <w:lang w:eastAsia="en-US"/>
              </w:rPr>
              <w:t>2018 г.</w:t>
            </w:r>
          </w:p>
        </w:tc>
      </w:tr>
      <w:tr w:rsidR="00C200D1">
        <w:tc>
          <w:tcPr>
            <w:tcW w:w="2426"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lang w:eastAsia="en-US"/>
              </w:rPr>
            </w:pPr>
            <w:r>
              <w:rPr>
                <w:lang w:eastAsia="en-US"/>
              </w:rPr>
              <w:t>А</w:t>
            </w:r>
            <w:proofErr w:type="gramStart"/>
            <w:r>
              <w:rPr>
                <w:lang w:eastAsia="en-US"/>
              </w:rPr>
              <w:t>1</w:t>
            </w:r>
            <w:proofErr w:type="gramEnd"/>
            <w:r>
              <w:rPr>
                <w:position w:val="-4"/>
                <w:lang w:eastAsia="en-US"/>
              </w:rPr>
              <w:object w:dxaOrig="21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2pt" o:ole="" fillcolor="window">
                  <v:imagedata r:id="rId9" o:title=""/>
                </v:shape>
                <o:OLEObject Type="Embed" ProgID="Equation.3" ShapeID="_x0000_i1025" DrawAspect="Content" ObjectID="_1620113798" r:id="rId10"/>
              </w:object>
            </w:r>
            <w:r>
              <w:rPr>
                <w:lang w:eastAsia="en-US"/>
              </w:rPr>
              <w:t xml:space="preserve">П1   </w:t>
            </w:r>
          </w:p>
        </w:tc>
        <w:tc>
          <w:tcPr>
            <w:tcW w:w="2381"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lang w:eastAsia="en-US"/>
              </w:rPr>
            </w:pPr>
            <w:r>
              <w:rPr>
                <w:lang w:eastAsia="en-US"/>
              </w:rPr>
              <w:t xml:space="preserve">нет </w:t>
            </w:r>
          </w:p>
        </w:tc>
        <w:tc>
          <w:tcPr>
            <w:tcW w:w="2382"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lang w:eastAsia="en-US"/>
              </w:rPr>
            </w:pPr>
            <w:r>
              <w:rPr>
                <w:lang w:eastAsia="en-US"/>
              </w:rPr>
              <w:t>нет</w:t>
            </w:r>
          </w:p>
        </w:tc>
        <w:tc>
          <w:tcPr>
            <w:tcW w:w="2382"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lang w:eastAsia="en-US"/>
              </w:rPr>
            </w:pPr>
            <w:r>
              <w:rPr>
                <w:lang w:eastAsia="en-US"/>
              </w:rPr>
              <w:t>нет</w:t>
            </w:r>
          </w:p>
        </w:tc>
      </w:tr>
      <w:tr w:rsidR="00C200D1">
        <w:tc>
          <w:tcPr>
            <w:tcW w:w="2426"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lang w:eastAsia="en-US"/>
              </w:rPr>
            </w:pPr>
            <w:r>
              <w:rPr>
                <w:lang w:eastAsia="en-US"/>
              </w:rPr>
              <w:t>А</w:t>
            </w:r>
            <w:proofErr w:type="gramStart"/>
            <w:r>
              <w:rPr>
                <w:lang w:eastAsia="en-US"/>
              </w:rPr>
              <w:t>2</w:t>
            </w:r>
            <w:proofErr w:type="gramEnd"/>
            <w:r>
              <w:rPr>
                <w:position w:val="-4"/>
                <w:lang w:eastAsia="en-US"/>
              </w:rPr>
              <w:object w:dxaOrig="210" w:dyaOrig="240">
                <v:shape id="_x0000_i1026" type="#_x0000_t75" style="width:10.5pt;height:12pt" o:ole="" fillcolor="window">
                  <v:imagedata r:id="rId9" o:title=""/>
                </v:shape>
                <o:OLEObject Type="Embed" ProgID="Equation.3" ShapeID="_x0000_i1026" DrawAspect="Content" ObjectID="_1620113799" r:id="rId11"/>
              </w:object>
            </w:r>
            <w:r>
              <w:rPr>
                <w:lang w:eastAsia="en-US"/>
              </w:rPr>
              <w:t xml:space="preserve">П2       </w:t>
            </w:r>
          </w:p>
        </w:tc>
        <w:tc>
          <w:tcPr>
            <w:tcW w:w="2381"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lang w:eastAsia="en-US"/>
              </w:rPr>
            </w:pPr>
            <w:r>
              <w:rPr>
                <w:lang w:eastAsia="en-US"/>
              </w:rPr>
              <w:t>да</w:t>
            </w:r>
          </w:p>
        </w:tc>
        <w:tc>
          <w:tcPr>
            <w:tcW w:w="2382"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lang w:eastAsia="en-US"/>
              </w:rPr>
            </w:pPr>
            <w:r>
              <w:rPr>
                <w:lang w:eastAsia="en-US"/>
              </w:rPr>
              <w:t>да</w:t>
            </w:r>
          </w:p>
        </w:tc>
        <w:tc>
          <w:tcPr>
            <w:tcW w:w="2382"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lang w:eastAsia="en-US"/>
              </w:rPr>
            </w:pPr>
            <w:r>
              <w:rPr>
                <w:lang w:eastAsia="en-US"/>
              </w:rPr>
              <w:t>да</w:t>
            </w:r>
          </w:p>
        </w:tc>
      </w:tr>
      <w:tr w:rsidR="00C200D1">
        <w:tc>
          <w:tcPr>
            <w:tcW w:w="2426"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lang w:eastAsia="en-US"/>
              </w:rPr>
            </w:pPr>
            <w:r>
              <w:rPr>
                <w:lang w:eastAsia="en-US"/>
              </w:rPr>
              <w:t>А3</w:t>
            </w:r>
            <w:r>
              <w:rPr>
                <w:position w:val="-4"/>
                <w:lang w:eastAsia="en-US"/>
              </w:rPr>
              <w:object w:dxaOrig="210" w:dyaOrig="240">
                <v:shape id="_x0000_i1027" type="#_x0000_t75" style="width:10.5pt;height:12pt" o:ole="" fillcolor="window">
                  <v:imagedata r:id="rId9" o:title=""/>
                </v:shape>
                <o:OLEObject Type="Embed" ProgID="Equation.3" ShapeID="_x0000_i1027" DrawAspect="Content" ObjectID="_1620113800" r:id="rId12"/>
              </w:object>
            </w:r>
            <w:r>
              <w:rPr>
                <w:lang w:eastAsia="en-US"/>
              </w:rPr>
              <w:t>П3</w:t>
            </w:r>
          </w:p>
        </w:tc>
        <w:tc>
          <w:tcPr>
            <w:tcW w:w="2381"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lang w:eastAsia="en-US"/>
              </w:rPr>
            </w:pPr>
            <w:r>
              <w:rPr>
                <w:lang w:eastAsia="en-US"/>
              </w:rPr>
              <w:t>да</w:t>
            </w:r>
          </w:p>
        </w:tc>
        <w:tc>
          <w:tcPr>
            <w:tcW w:w="2382"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lang w:eastAsia="en-US"/>
              </w:rPr>
            </w:pPr>
            <w:r>
              <w:rPr>
                <w:lang w:eastAsia="en-US"/>
              </w:rPr>
              <w:t>да</w:t>
            </w:r>
          </w:p>
        </w:tc>
        <w:tc>
          <w:tcPr>
            <w:tcW w:w="2382"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lang w:eastAsia="en-US"/>
              </w:rPr>
            </w:pPr>
            <w:r>
              <w:rPr>
                <w:lang w:eastAsia="en-US"/>
              </w:rPr>
              <w:t>да</w:t>
            </w:r>
          </w:p>
        </w:tc>
      </w:tr>
      <w:tr w:rsidR="00C200D1">
        <w:tc>
          <w:tcPr>
            <w:tcW w:w="2426"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lang w:eastAsia="en-US"/>
              </w:rPr>
            </w:pPr>
            <w:r>
              <w:rPr>
                <w:lang w:eastAsia="en-US"/>
              </w:rPr>
              <w:t>А</w:t>
            </w:r>
            <w:proofErr w:type="gramStart"/>
            <w:r>
              <w:rPr>
                <w:lang w:eastAsia="en-US"/>
              </w:rPr>
              <w:t>4</w:t>
            </w:r>
            <w:proofErr w:type="gramEnd"/>
            <w:r>
              <w:rPr>
                <w:position w:val="-4"/>
                <w:lang w:eastAsia="en-US"/>
              </w:rPr>
              <w:object w:dxaOrig="210" w:dyaOrig="225">
                <v:shape id="_x0000_i1028" type="#_x0000_t75" style="width:10.5pt;height:11.25pt" o:ole="" fillcolor="window">
                  <v:imagedata r:id="rId13" o:title=""/>
                </v:shape>
                <o:OLEObject Type="Embed" ProgID="Equation.3" ShapeID="_x0000_i1028" DrawAspect="Content" ObjectID="_1620113801" r:id="rId14"/>
              </w:object>
            </w:r>
            <w:r>
              <w:rPr>
                <w:lang w:eastAsia="en-US"/>
              </w:rPr>
              <w:t>П4</w:t>
            </w:r>
          </w:p>
        </w:tc>
        <w:tc>
          <w:tcPr>
            <w:tcW w:w="2381"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lang w:eastAsia="en-US"/>
              </w:rPr>
            </w:pPr>
            <w:r>
              <w:rPr>
                <w:lang w:eastAsia="en-US"/>
              </w:rPr>
              <w:t>да</w:t>
            </w:r>
          </w:p>
        </w:tc>
        <w:tc>
          <w:tcPr>
            <w:tcW w:w="2382"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lang w:eastAsia="en-US"/>
              </w:rPr>
            </w:pPr>
            <w:r>
              <w:rPr>
                <w:lang w:eastAsia="en-US"/>
              </w:rPr>
              <w:t>да</w:t>
            </w:r>
          </w:p>
        </w:tc>
        <w:tc>
          <w:tcPr>
            <w:tcW w:w="2382" w:type="dxa"/>
            <w:tcBorders>
              <w:top w:val="single" w:sz="4" w:space="0" w:color="auto"/>
              <w:left w:val="single" w:sz="4" w:space="0" w:color="auto"/>
              <w:bottom w:val="single" w:sz="4" w:space="0" w:color="auto"/>
              <w:right w:val="single" w:sz="4" w:space="0" w:color="auto"/>
            </w:tcBorders>
            <w:hideMark/>
          </w:tcPr>
          <w:p w:rsidR="00C200D1" w:rsidRDefault="00C200D1">
            <w:pPr>
              <w:jc w:val="center"/>
              <w:rPr>
                <w:lang w:eastAsia="en-US"/>
              </w:rPr>
            </w:pPr>
            <w:r>
              <w:rPr>
                <w:lang w:eastAsia="en-US"/>
              </w:rPr>
              <w:t>да</w:t>
            </w:r>
          </w:p>
        </w:tc>
      </w:tr>
    </w:tbl>
    <w:p w:rsidR="00C200D1" w:rsidRDefault="00C200D1" w:rsidP="00C200D1">
      <w:pPr>
        <w:spacing w:line="360" w:lineRule="auto"/>
        <w:ind w:firstLine="540"/>
        <w:jc w:val="center"/>
      </w:pPr>
    </w:p>
    <w:p w:rsidR="00C200D1" w:rsidRDefault="00C200D1" w:rsidP="00C200D1">
      <w:pPr>
        <w:spacing w:line="360" w:lineRule="auto"/>
        <w:ind w:firstLine="540"/>
        <w:jc w:val="both"/>
        <w:rPr>
          <w:sz w:val="28"/>
          <w:szCs w:val="28"/>
        </w:rPr>
      </w:pPr>
      <w:r>
        <w:rPr>
          <w:sz w:val="28"/>
          <w:szCs w:val="28"/>
        </w:rPr>
        <w:t xml:space="preserve">Данные таблицы отражают результаты  сложившейся тенденции изменения статей актива и  пассива и свидетельствуют  о том, что  организация характеризуется недостатком наличных денежных средств. При этом положительным моментом в деятельности Общества является выполнение последнего условия, которое означает, что все внеоборотные активы организации приобретены за счет собственных средств.  В связи с тем, что не выполняется одной из необходимых условий, можно сделать вывод, что бухгалтерский баланс ООО «Строй Сервис»  отличается </w:t>
      </w:r>
      <w:proofErr w:type="gramStart"/>
      <w:r>
        <w:rPr>
          <w:sz w:val="28"/>
          <w:szCs w:val="28"/>
        </w:rPr>
        <w:t>от</w:t>
      </w:r>
      <w:proofErr w:type="gramEnd"/>
      <w:r>
        <w:rPr>
          <w:sz w:val="28"/>
          <w:szCs w:val="28"/>
        </w:rPr>
        <w:t xml:space="preserve"> абсолютно ликвидного. Это в свою очередь, может привести к нарушению платежеспособности организации.</w:t>
      </w:r>
    </w:p>
    <w:p w:rsidR="00C200D1" w:rsidRDefault="00C200D1" w:rsidP="00C200D1">
      <w:pPr>
        <w:spacing w:line="360" w:lineRule="auto"/>
        <w:ind w:firstLine="540"/>
        <w:jc w:val="both"/>
        <w:rPr>
          <w:sz w:val="28"/>
          <w:szCs w:val="28"/>
        </w:rPr>
      </w:pPr>
      <w:r>
        <w:rPr>
          <w:sz w:val="28"/>
          <w:szCs w:val="28"/>
        </w:rPr>
        <w:t>Показатели  платежеспособности организации можно проанализировать по данным рисунка 1.</w:t>
      </w:r>
    </w:p>
    <w:p w:rsidR="00C200D1" w:rsidRDefault="00C200D1" w:rsidP="00C200D1">
      <w:pPr>
        <w:spacing w:line="360" w:lineRule="auto"/>
        <w:jc w:val="both"/>
        <w:rPr>
          <w:sz w:val="28"/>
          <w:szCs w:val="28"/>
        </w:rPr>
      </w:pPr>
      <w:r>
        <w:rPr>
          <w:noProof/>
        </w:rPr>
        <w:lastRenderedPageBreak/>
        <w:drawing>
          <wp:inline distT="0" distB="0" distL="0" distR="0">
            <wp:extent cx="5610225" cy="2533650"/>
            <wp:effectExtent l="0" t="0" r="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200D1" w:rsidRDefault="00C200D1" w:rsidP="00C200D1">
      <w:pPr>
        <w:spacing w:line="360" w:lineRule="auto"/>
        <w:ind w:firstLine="540"/>
        <w:jc w:val="center"/>
        <w:rPr>
          <w:sz w:val="28"/>
          <w:szCs w:val="28"/>
        </w:rPr>
      </w:pPr>
      <w:r>
        <w:rPr>
          <w:sz w:val="28"/>
          <w:szCs w:val="28"/>
        </w:rPr>
        <w:t>Рисунок 1 -  Показатели ликвидности организации, тыс. руб.</w:t>
      </w:r>
    </w:p>
    <w:p w:rsidR="00C200D1" w:rsidRDefault="00C200D1" w:rsidP="00C200D1">
      <w:pPr>
        <w:spacing w:line="360" w:lineRule="auto"/>
        <w:ind w:firstLine="540"/>
        <w:jc w:val="both"/>
        <w:rPr>
          <w:sz w:val="16"/>
          <w:szCs w:val="16"/>
        </w:rPr>
      </w:pPr>
    </w:p>
    <w:p w:rsidR="00C200D1" w:rsidRDefault="00C200D1" w:rsidP="00C200D1">
      <w:pPr>
        <w:spacing w:line="360" w:lineRule="auto"/>
        <w:ind w:firstLine="540"/>
        <w:jc w:val="both"/>
        <w:rPr>
          <w:sz w:val="28"/>
          <w:szCs w:val="28"/>
        </w:rPr>
      </w:pPr>
      <w:r>
        <w:rPr>
          <w:sz w:val="28"/>
          <w:szCs w:val="28"/>
        </w:rPr>
        <w:t>Из приведенного рисунка видно, чт</w:t>
      </w:r>
      <w:proofErr w:type="gramStart"/>
      <w:r>
        <w:rPr>
          <w:sz w:val="28"/>
          <w:szCs w:val="28"/>
        </w:rPr>
        <w:t>о ООО</w:t>
      </w:r>
      <w:proofErr w:type="gramEnd"/>
      <w:r>
        <w:rPr>
          <w:sz w:val="28"/>
          <w:szCs w:val="28"/>
        </w:rPr>
        <w:t xml:space="preserve"> «Строй Сервис» характеризуется отсутствием  текущей платежеспособности, что проявляется в отрицательных значениях показателя текущей ликвидности и обусловлено  значительными  объемами  кредиторской задолженности по сравнению с объемами денежных средств и дебиторской задолженности. Отсутствие  долгосрочных обязательств  определяет  наличие перспективной ликвидности организации.</w:t>
      </w:r>
    </w:p>
    <w:p w:rsidR="00C200D1" w:rsidRDefault="00C200D1" w:rsidP="00C200D1">
      <w:pPr>
        <w:spacing w:line="360" w:lineRule="auto"/>
        <w:ind w:firstLine="540"/>
        <w:jc w:val="both"/>
        <w:rPr>
          <w:sz w:val="28"/>
          <w:szCs w:val="28"/>
        </w:rPr>
      </w:pPr>
      <w:r>
        <w:rPr>
          <w:sz w:val="28"/>
          <w:szCs w:val="28"/>
        </w:rPr>
        <w:t>Для того</w:t>
      </w:r>
      <w:proofErr w:type="gramStart"/>
      <w:r>
        <w:rPr>
          <w:sz w:val="28"/>
          <w:szCs w:val="28"/>
        </w:rPr>
        <w:t>,</w:t>
      </w:r>
      <w:proofErr w:type="gramEnd"/>
      <w:r>
        <w:rPr>
          <w:sz w:val="28"/>
          <w:szCs w:val="28"/>
        </w:rPr>
        <w:t xml:space="preserve"> чтобы  оценить изменение в чистой кредитной позиции  организации необходимо  рассчитать и проанализировать ликвидный денежный поток  (рисунок 2).</w:t>
      </w:r>
    </w:p>
    <w:p w:rsidR="00C200D1" w:rsidRDefault="00C200D1" w:rsidP="00C200D1">
      <w:pPr>
        <w:spacing w:line="360" w:lineRule="auto"/>
        <w:ind w:firstLine="540"/>
        <w:jc w:val="both"/>
        <w:rPr>
          <w:sz w:val="28"/>
          <w:szCs w:val="28"/>
        </w:rPr>
      </w:pPr>
      <w:r>
        <w:rPr>
          <w:noProof/>
        </w:rPr>
        <w:drawing>
          <wp:inline distT="0" distB="0" distL="0" distR="0">
            <wp:extent cx="4572000" cy="1752600"/>
            <wp:effectExtent l="0" t="0" r="0" b="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C200D1" w:rsidRDefault="00C200D1" w:rsidP="00C200D1">
      <w:pPr>
        <w:spacing w:line="360" w:lineRule="auto"/>
        <w:ind w:firstLine="540"/>
        <w:jc w:val="center"/>
        <w:rPr>
          <w:sz w:val="28"/>
          <w:szCs w:val="28"/>
        </w:rPr>
      </w:pPr>
      <w:r>
        <w:rPr>
          <w:sz w:val="28"/>
          <w:szCs w:val="28"/>
        </w:rPr>
        <w:t>Рисунок 2 – Динамика показателя ликвидного денежного потока, тыс. руб.</w:t>
      </w:r>
    </w:p>
    <w:p w:rsidR="00C200D1" w:rsidRDefault="00C200D1" w:rsidP="00C200D1">
      <w:pPr>
        <w:spacing w:line="360" w:lineRule="auto"/>
        <w:ind w:firstLine="540"/>
        <w:jc w:val="both"/>
        <w:rPr>
          <w:sz w:val="28"/>
          <w:szCs w:val="28"/>
        </w:rPr>
      </w:pPr>
      <w:r>
        <w:rPr>
          <w:sz w:val="28"/>
          <w:szCs w:val="28"/>
        </w:rPr>
        <w:t>Из приведенного рисунка видно, чт</w:t>
      </w:r>
      <w:proofErr w:type="gramStart"/>
      <w:r>
        <w:rPr>
          <w:sz w:val="28"/>
          <w:szCs w:val="28"/>
        </w:rPr>
        <w:t>о ООО</w:t>
      </w:r>
      <w:proofErr w:type="gramEnd"/>
      <w:r>
        <w:rPr>
          <w:sz w:val="28"/>
          <w:szCs w:val="28"/>
        </w:rPr>
        <w:t xml:space="preserve"> «Строй Сервис»  характеризуется  отрицательной величиной ликвидного денежного потока, </w:t>
      </w:r>
      <w:r>
        <w:rPr>
          <w:sz w:val="28"/>
          <w:szCs w:val="28"/>
        </w:rPr>
        <w:lastRenderedPageBreak/>
        <w:t>что свидетельствует о дефицитном сальдо денежных средств для осуществления необходимых выплат.</w:t>
      </w:r>
    </w:p>
    <w:p w:rsidR="00C200D1" w:rsidRDefault="00C200D1" w:rsidP="00C200D1">
      <w:pPr>
        <w:spacing w:line="360" w:lineRule="auto"/>
        <w:ind w:firstLine="540"/>
        <w:jc w:val="both"/>
        <w:rPr>
          <w:sz w:val="28"/>
          <w:szCs w:val="28"/>
        </w:rPr>
      </w:pPr>
      <w:r>
        <w:rPr>
          <w:sz w:val="28"/>
          <w:szCs w:val="28"/>
        </w:rPr>
        <w:t>Для оценки степени платежеспособности организации рассмотрим показатели, представленные в таблице 3.</w:t>
      </w:r>
    </w:p>
    <w:p w:rsidR="00C200D1" w:rsidRDefault="00C200D1" w:rsidP="00C200D1">
      <w:pPr>
        <w:spacing w:line="360" w:lineRule="auto"/>
        <w:jc w:val="both"/>
        <w:rPr>
          <w:sz w:val="28"/>
          <w:szCs w:val="28"/>
        </w:rPr>
      </w:pPr>
      <w:r>
        <w:rPr>
          <w:sz w:val="28"/>
          <w:szCs w:val="28"/>
        </w:rPr>
        <w:t>Таблица 3 – Показатели платежеспособности организации</w:t>
      </w:r>
    </w:p>
    <w:tbl>
      <w:tblPr>
        <w:tblW w:w="98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74"/>
        <w:gridCol w:w="1380"/>
        <w:gridCol w:w="1379"/>
        <w:gridCol w:w="1379"/>
        <w:gridCol w:w="1354"/>
        <w:gridCol w:w="1444"/>
      </w:tblGrid>
      <w:tr w:rsidR="00C200D1">
        <w:trPr>
          <w:trHeight w:val="341"/>
        </w:trPr>
        <w:tc>
          <w:tcPr>
            <w:tcW w:w="2874" w:type="dxa"/>
            <w:vMerge w:val="restart"/>
            <w:tcBorders>
              <w:top w:val="single" w:sz="4" w:space="0" w:color="auto"/>
              <w:left w:val="single" w:sz="4" w:space="0" w:color="auto"/>
              <w:bottom w:val="single" w:sz="4" w:space="0" w:color="auto"/>
              <w:right w:val="single" w:sz="4" w:space="0" w:color="auto"/>
            </w:tcBorders>
            <w:hideMark/>
          </w:tcPr>
          <w:p w:rsidR="00C200D1" w:rsidRDefault="00C200D1">
            <w:pPr>
              <w:spacing w:line="276" w:lineRule="auto"/>
              <w:jc w:val="center"/>
              <w:rPr>
                <w:sz w:val="22"/>
                <w:szCs w:val="22"/>
                <w:lang w:eastAsia="en-US"/>
              </w:rPr>
            </w:pPr>
            <w:r>
              <w:rPr>
                <w:sz w:val="22"/>
                <w:szCs w:val="22"/>
                <w:lang w:eastAsia="en-US"/>
              </w:rPr>
              <w:t xml:space="preserve">Показатели </w:t>
            </w:r>
          </w:p>
        </w:tc>
        <w:tc>
          <w:tcPr>
            <w:tcW w:w="4140" w:type="dxa"/>
            <w:gridSpan w:val="3"/>
            <w:tcBorders>
              <w:top w:val="single" w:sz="4" w:space="0" w:color="auto"/>
              <w:left w:val="single" w:sz="4" w:space="0" w:color="auto"/>
              <w:bottom w:val="single" w:sz="4" w:space="0" w:color="auto"/>
              <w:right w:val="single" w:sz="4" w:space="0" w:color="auto"/>
            </w:tcBorders>
            <w:hideMark/>
          </w:tcPr>
          <w:p w:rsidR="00C200D1" w:rsidRDefault="00C200D1">
            <w:pPr>
              <w:spacing w:line="276" w:lineRule="auto"/>
              <w:jc w:val="center"/>
              <w:rPr>
                <w:sz w:val="22"/>
                <w:szCs w:val="22"/>
                <w:lang w:eastAsia="en-US"/>
              </w:rPr>
            </w:pPr>
            <w:r>
              <w:rPr>
                <w:sz w:val="22"/>
                <w:szCs w:val="22"/>
                <w:lang w:eastAsia="en-US"/>
              </w:rPr>
              <w:t xml:space="preserve">Годы </w:t>
            </w:r>
          </w:p>
        </w:tc>
        <w:tc>
          <w:tcPr>
            <w:tcW w:w="2800" w:type="dxa"/>
            <w:gridSpan w:val="2"/>
            <w:tcBorders>
              <w:top w:val="single" w:sz="4" w:space="0" w:color="auto"/>
              <w:left w:val="single" w:sz="4" w:space="0" w:color="auto"/>
              <w:bottom w:val="single" w:sz="4" w:space="0" w:color="auto"/>
              <w:right w:val="single" w:sz="4" w:space="0" w:color="auto"/>
            </w:tcBorders>
            <w:hideMark/>
          </w:tcPr>
          <w:p w:rsidR="00C200D1" w:rsidRDefault="00C200D1">
            <w:pPr>
              <w:spacing w:line="276" w:lineRule="auto"/>
              <w:jc w:val="center"/>
              <w:rPr>
                <w:sz w:val="22"/>
                <w:szCs w:val="22"/>
                <w:lang w:eastAsia="en-US"/>
              </w:rPr>
            </w:pPr>
            <w:r>
              <w:rPr>
                <w:sz w:val="22"/>
                <w:szCs w:val="22"/>
                <w:lang w:eastAsia="en-US"/>
              </w:rPr>
              <w:t xml:space="preserve">Изменение 2018 г. </w:t>
            </w:r>
            <w:proofErr w:type="gramStart"/>
            <w:r>
              <w:rPr>
                <w:sz w:val="22"/>
                <w:szCs w:val="22"/>
                <w:lang w:eastAsia="en-US"/>
              </w:rPr>
              <w:t>в</w:t>
            </w:r>
            <w:proofErr w:type="gramEnd"/>
            <w:r>
              <w:rPr>
                <w:sz w:val="22"/>
                <w:szCs w:val="22"/>
                <w:lang w:eastAsia="en-US"/>
              </w:rPr>
              <w:t xml:space="preserve"> (±) к </w:t>
            </w:r>
          </w:p>
        </w:tc>
      </w:tr>
      <w:tr w:rsidR="00C200D1">
        <w:tc>
          <w:tcPr>
            <w:tcW w:w="2874" w:type="dxa"/>
            <w:vMerge/>
            <w:tcBorders>
              <w:top w:val="single" w:sz="4" w:space="0" w:color="auto"/>
              <w:left w:val="single" w:sz="4" w:space="0" w:color="auto"/>
              <w:bottom w:val="single" w:sz="4" w:space="0" w:color="auto"/>
              <w:right w:val="single" w:sz="4" w:space="0" w:color="auto"/>
            </w:tcBorders>
            <w:vAlign w:val="center"/>
            <w:hideMark/>
          </w:tcPr>
          <w:p w:rsidR="00C200D1" w:rsidRDefault="00C200D1">
            <w:pPr>
              <w:rPr>
                <w:sz w:val="22"/>
                <w:szCs w:val="22"/>
                <w:lang w:eastAsia="en-US"/>
              </w:rPr>
            </w:pPr>
          </w:p>
        </w:tc>
        <w:tc>
          <w:tcPr>
            <w:tcW w:w="1380" w:type="dxa"/>
            <w:tcBorders>
              <w:top w:val="single" w:sz="4" w:space="0" w:color="auto"/>
              <w:left w:val="single" w:sz="4" w:space="0" w:color="auto"/>
              <w:bottom w:val="single" w:sz="4" w:space="0" w:color="auto"/>
              <w:right w:val="single" w:sz="4" w:space="0" w:color="auto"/>
            </w:tcBorders>
            <w:hideMark/>
          </w:tcPr>
          <w:p w:rsidR="00C200D1" w:rsidRDefault="00C200D1">
            <w:pPr>
              <w:spacing w:line="276" w:lineRule="auto"/>
              <w:jc w:val="center"/>
              <w:rPr>
                <w:sz w:val="22"/>
                <w:szCs w:val="22"/>
                <w:lang w:eastAsia="en-US"/>
              </w:rPr>
            </w:pPr>
            <w:r>
              <w:rPr>
                <w:sz w:val="22"/>
                <w:szCs w:val="22"/>
                <w:lang w:eastAsia="en-US"/>
              </w:rPr>
              <w:t>2016</w:t>
            </w:r>
          </w:p>
        </w:tc>
        <w:tc>
          <w:tcPr>
            <w:tcW w:w="1380" w:type="dxa"/>
            <w:tcBorders>
              <w:top w:val="single" w:sz="4" w:space="0" w:color="auto"/>
              <w:left w:val="single" w:sz="4" w:space="0" w:color="auto"/>
              <w:bottom w:val="single" w:sz="4" w:space="0" w:color="auto"/>
              <w:right w:val="single" w:sz="4" w:space="0" w:color="auto"/>
            </w:tcBorders>
            <w:hideMark/>
          </w:tcPr>
          <w:p w:rsidR="00C200D1" w:rsidRDefault="00C200D1">
            <w:pPr>
              <w:spacing w:line="276" w:lineRule="auto"/>
              <w:jc w:val="center"/>
              <w:rPr>
                <w:sz w:val="22"/>
                <w:szCs w:val="22"/>
                <w:lang w:eastAsia="en-US"/>
              </w:rPr>
            </w:pPr>
            <w:r>
              <w:rPr>
                <w:sz w:val="22"/>
                <w:szCs w:val="22"/>
                <w:lang w:eastAsia="en-US"/>
              </w:rPr>
              <w:t>2017</w:t>
            </w:r>
          </w:p>
        </w:tc>
        <w:tc>
          <w:tcPr>
            <w:tcW w:w="1380" w:type="dxa"/>
            <w:tcBorders>
              <w:top w:val="single" w:sz="4" w:space="0" w:color="auto"/>
              <w:left w:val="single" w:sz="4" w:space="0" w:color="auto"/>
              <w:bottom w:val="single" w:sz="4" w:space="0" w:color="auto"/>
              <w:right w:val="single" w:sz="4" w:space="0" w:color="auto"/>
            </w:tcBorders>
            <w:hideMark/>
          </w:tcPr>
          <w:p w:rsidR="00C200D1" w:rsidRDefault="00C200D1">
            <w:pPr>
              <w:spacing w:line="276" w:lineRule="auto"/>
              <w:jc w:val="center"/>
              <w:rPr>
                <w:sz w:val="22"/>
                <w:szCs w:val="22"/>
                <w:lang w:eastAsia="en-US"/>
              </w:rPr>
            </w:pPr>
            <w:r>
              <w:rPr>
                <w:sz w:val="22"/>
                <w:szCs w:val="22"/>
                <w:lang w:eastAsia="en-US"/>
              </w:rPr>
              <w:t>2018</w:t>
            </w:r>
          </w:p>
        </w:tc>
        <w:tc>
          <w:tcPr>
            <w:tcW w:w="1355" w:type="dxa"/>
            <w:tcBorders>
              <w:top w:val="single" w:sz="4" w:space="0" w:color="auto"/>
              <w:left w:val="single" w:sz="4" w:space="0" w:color="auto"/>
              <w:bottom w:val="single" w:sz="4" w:space="0" w:color="auto"/>
              <w:right w:val="single" w:sz="4" w:space="0" w:color="auto"/>
            </w:tcBorders>
            <w:hideMark/>
          </w:tcPr>
          <w:p w:rsidR="00C200D1" w:rsidRDefault="00C200D1">
            <w:pPr>
              <w:spacing w:line="276" w:lineRule="auto"/>
              <w:jc w:val="center"/>
              <w:rPr>
                <w:sz w:val="22"/>
                <w:szCs w:val="22"/>
                <w:lang w:eastAsia="en-US"/>
              </w:rPr>
            </w:pPr>
            <w:r>
              <w:rPr>
                <w:sz w:val="22"/>
                <w:szCs w:val="22"/>
                <w:lang w:eastAsia="en-US"/>
              </w:rPr>
              <w:t>2016 г.</w:t>
            </w:r>
          </w:p>
        </w:tc>
        <w:tc>
          <w:tcPr>
            <w:tcW w:w="1445" w:type="dxa"/>
            <w:tcBorders>
              <w:top w:val="single" w:sz="4" w:space="0" w:color="auto"/>
              <w:left w:val="single" w:sz="4" w:space="0" w:color="auto"/>
              <w:bottom w:val="single" w:sz="4" w:space="0" w:color="auto"/>
              <w:right w:val="single" w:sz="4" w:space="0" w:color="auto"/>
            </w:tcBorders>
            <w:hideMark/>
          </w:tcPr>
          <w:p w:rsidR="00C200D1" w:rsidRDefault="00C200D1">
            <w:pPr>
              <w:spacing w:line="276" w:lineRule="auto"/>
              <w:jc w:val="center"/>
              <w:rPr>
                <w:sz w:val="22"/>
                <w:szCs w:val="22"/>
                <w:lang w:eastAsia="en-US"/>
              </w:rPr>
            </w:pPr>
            <w:r>
              <w:rPr>
                <w:sz w:val="22"/>
                <w:szCs w:val="22"/>
                <w:lang w:eastAsia="en-US"/>
              </w:rPr>
              <w:t>2017 г.</w:t>
            </w:r>
          </w:p>
        </w:tc>
      </w:tr>
      <w:tr w:rsidR="00C200D1">
        <w:tc>
          <w:tcPr>
            <w:tcW w:w="2874" w:type="dxa"/>
            <w:tcBorders>
              <w:top w:val="single" w:sz="4" w:space="0" w:color="auto"/>
              <w:left w:val="single" w:sz="4" w:space="0" w:color="auto"/>
              <w:bottom w:val="single" w:sz="4" w:space="0" w:color="auto"/>
              <w:right w:val="single" w:sz="4" w:space="0" w:color="auto"/>
            </w:tcBorders>
            <w:hideMark/>
          </w:tcPr>
          <w:p w:rsidR="00C200D1" w:rsidRDefault="00C200D1">
            <w:pPr>
              <w:spacing w:line="276" w:lineRule="auto"/>
              <w:jc w:val="both"/>
              <w:rPr>
                <w:sz w:val="22"/>
                <w:szCs w:val="22"/>
                <w:lang w:eastAsia="en-US"/>
              </w:rPr>
            </w:pPr>
            <w:r>
              <w:rPr>
                <w:sz w:val="22"/>
                <w:szCs w:val="22"/>
                <w:lang w:eastAsia="en-US"/>
              </w:rPr>
              <w:t>Коэффициент абсолютной ликвидности</w:t>
            </w:r>
          </w:p>
        </w:tc>
        <w:tc>
          <w:tcPr>
            <w:tcW w:w="1380" w:type="dxa"/>
            <w:tcBorders>
              <w:top w:val="single" w:sz="4" w:space="0" w:color="auto"/>
              <w:left w:val="single" w:sz="4" w:space="0" w:color="auto"/>
              <w:bottom w:val="single" w:sz="4" w:space="0" w:color="auto"/>
              <w:right w:val="single" w:sz="4" w:space="0" w:color="auto"/>
            </w:tcBorders>
            <w:hideMark/>
          </w:tcPr>
          <w:p w:rsidR="00C200D1" w:rsidRDefault="00C200D1">
            <w:pPr>
              <w:spacing w:line="276" w:lineRule="auto"/>
              <w:jc w:val="center"/>
              <w:rPr>
                <w:sz w:val="22"/>
                <w:szCs w:val="22"/>
                <w:lang w:eastAsia="en-US"/>
              </w:rPr>
            </w:pPr>
            <w:r>
              <w:rPr>
                <w:sz w:val="22"/>
                <w:szCs w:val="22"/>
                <w:lang w:eastAsia="en-US"/>
              </w:rPr>
              <w:t>0,001</w:t>
            </w:r>
          </w:p>
        </w:tc>
        <w:tc>
          <w:tcPr>
            <w:tcW w:w="1380" w:type="dxa"/>
            <w:tcBorders>
              <w:top w:val="single" w:sz="4" w:space="0" w:color="auto"/>
              <w:left w:val="single" w:sz="4" w:space="0" w:color="auto"/>
              <w:bottom w:val="single" w:sz="4" w:space="0" w:color="auto"/>
              <w:right w:val="single" w:sz="4" w:space="0" w:color="auto"/>
            </w:tcBorders>
            <w:hideMark/>
          </w:tcPr>
          <w:p w:rsidR="00C200D1" w:rsidRDefault="00C200D1">
            <w:pPr>
              <w:spacing w:line="276" w:lineRule="auto"/>
              <w:jc w:val="center"/>
              <w:rPr>
                <w:sz w:val="22"/>
                <w:szCs w:val="22"/>
                <w:lang w:eastAsia="en-US"/>
              </w:rPr>
            </w:pPr>
            <w:r>
              <w:rPr>
                <w:sz w:val="22"/>
                <w:szCs w:val="22"/>
                <w:lang w:eastAsia="en-US"/>
              </w:rPr>
              <w:t>0,02</w:t>
            </w:r>
          </w:p>
        </w:tc>
        <w:tc>
          <w:tcPr>
            <w:tcW w:w="1380" w:type="dxa"/>
            <w:tcBorders>
              <w:top w:val="single" w:sz="4" w:space="0" w:color="auto"/>
              <w:left w:val="single" w:sz="4" w:space="0" w:color="auto"/>
              <w:bottom w:val="single" w:sz="4" w:space="0" w:color="auto"/>
              <w:right w:val="single" w:sz="4" w:space="0" w:color="auto"/>
            </w:tcBorders>
            <w:hideMark/>
          </w:tcPr>
          <w:p w:rsidR="00C200D1" w:rsidRDefault="00C200D1">
            <w:pPr>
              <w:spacing w:line="276" w:lineRule="auto"/>
              <w:jc w:val="center"/>
              <w:rPr>
                <w:sz w:val="22"/>
                <w:szCs w:val="22"/>
                <w:lang w:eastAsia="en-US"/>
              </w:rPr>
            </w:pPr>
            <w:r>
              <w:rPr>
                <w:sz w:val="22"/>
                <w:szCs w:val="22"/>
                <w:lang w:eastAsia="en-US"/>
              </w:rPr>
              <w:t>0,04</w:t>
            </w:r>
          </w:p>
        </w:tc>
        <w:tc>
          <w:tcPr>
            <w:tcW w:w="1355" w:type="dxa"/>
            <w:tcBorders>
              <w:top w:val="single" w:sz="4" w:space="0" w:color="auto"/>
              <w:left w:val="single" w:sz="4" w:space="0" w:color="auto"/>
              <w:bottom w:val="single" w:sz="4" w:space="0" w:color="auto"/>
              <w:right w:val="single" w:sz="4" w:space="0" w:color="auto"/>
            </w:tcBorders>
            <w:hideMark/>
          </w:tcPr>
          <w:p w:rsidR="00C200D1" w:rsidRDefault="00C200D1">
            <w:pPr>
              <w:spacing w:line="276" w:lineRule="auto"/>
              <w:jc w:val="center"/>
              <w:rPr>
                <w:sz w:val="22"/>
                <w:szCs w:val="22"/>
                <w:lang w:eastAsia="en-US"/>
              </w:rPr>
            </w:pPr>
            <w:r>
              <w:rPr>
                <w:sz w:val="22"/>
                <w:szCs w:val="22"/>
                <w:lang w:eastAsia="en-US"/>
              </w:rPr>
              <w:t>+0,039</w:t>
            </w:r>
          </w:p>
        </w:tc>
        <w:tc>
          <w:tcPr>
            <w:tcW w:w="1445" w:type="dxa"/>
            <w:tcBorders>
              <w:top w:val="single" w:sz="4" w:space="0" w:color="auto"/>
              <w:left w:val="single" w:sz="4" w:space="0" w:color="auto"/>
              <w:bottom w:val="single" w:sz="4" w:space="0" w:color="auto"/>
              <w:right w:val="single" w:sz="4" w:space="0" w:color="auto"/>
            </w:tcBorders>
            <w:hideMark/>
          </w:tcPr>
          <w:p w:rsidR="00C200D1" w:rsidRDefault="00C200D1">
            <w:pPr>
              <w:spacing w:line="276" w:lineRule="auto"/>
              <w:jc w:val="center"/>
              <w:rPr>
                <w:sz w:val="22"/>
                <w:szCs w:val="22"/>
                <w:lang w:eastAsia="en-US"/>
              </w:rPr>
            </w:pPr>
            <w:r>
              <w:rPr>
                <w:sz w:val="22"/>
                <w:szCs w:val="22"/>
                <w:lang w:eastAsia="en-US"/>
              </w:rPr>
              <w:t>+0,02</w:t>
            </w:r>
          </w:p>
        </w:tc>
      </w:tr>
      <w:tr w:rsidR="00C200D1">
        <w:tc>
          <w:tcPr>
            <w:tcW w:w="2874" w:type="dxa"/>
            <w:tcBorders>
              <w:top w:val="single" w:sz="4" w:space="0" w:color="auto"/>
              <w:left w:val="single" w:sz="4" w:space="0" w:color="auto"/>
              <w:bottom w:val="single" w:sz="4" w:space="0" w:color="auto"/>
              <w:right w:val="single" w:sz="4" w:space="0" w:color="auto"/>
            </w:tcBorders>
            <w:hideMark/>
          </w:tcPr>
          <w:p w:rsidR="00C200D1" w:rsidRDefault="00C200D1">
            <w:pPr>
              <w:spacing w:line="276" w:lineRule="auto"/>
              <w:jc w:val="both"/>
              <w:rPr>
                <w:sz w:val="22"/>
                <w:szCs w:val="22"/>
                <w:lang w:eastAsia="en-US"/>
              </w:rPr>
            </w:pPr>
            <w:r>
              <w:rPr>
                <w:sz w:val="22"/>
                <w:szCs w:val="22"/>
                <w:lang w:eastAsia="en-US"/>
              </w:rPr>
              <w:t>Коэффициент промежуточного покрытия</w:t>
            </w:r>
          </w:p>
        </w:tc>
        <w:tc>
          <w:tcPr>
            <w:tcW w:w="1380" w:type="dxa"/>
            <w:tcBorders>
              <w:top w:val="single" w:sz="4" w:space="0" w:color="auto"/>
              <w:left w:val="single" w:sz="4" w:space="0" w:color="auto"/>
              <w:bottom w:val="single" w:sz="4" w:space="0" w:color="auto"/>
              <w:right w:val="single" w:sz="4" w:space="0" w:color="auto"/>
            </w:tcBorders>
            <w:hideMark/>
          </w:tcPr>
          <w:p w:rsidR="00C200D1" w:rsidRDefault="00C200D1">
            <w:pPr>
              <w:spacing w:line="276" w:lineRule="auto"/>
              <w:jc w:val="center"/>
              <w:rPr>
                <w:sz w:val="22"/>
                <w:szCs w:val="22"/>
                <w:lang w:eastAsia="en-US"/>
              </w:rPr>
            </w:pPr>
            <w:r>
              <w:rPr>
                <w:sz w:val="22"/>
                <w:szCs w:val="22"/>
                <w:lang w:eastAsia="en-US"/>
              </w:rPr>
              <w:t>0,98</w:t>
            </w:r>
          </w:p>
        </w:tc>
        <w:tc>
          <w:tcPr>
            <w:tcW w:w="1380" w:type="dxa"/>
            <w:tcBorders>
              <w:top w:val="single" w:sz="4" w:space="0" w:color="auto"/>
              <w:left w:val="single" w:sz="4" w:space="0" w:color="auto"/>
              <w:bottom w:val="single" w:sz="4" w:space="0" w:color="auto"/>
              <w:right w:val="single" w:sz="4" w:space="0" w:color="auto"/>
            </w:tcBorders>
            <w:hideMark/>
          </w:tcPr>
          <w:p w:rsidR="00C200D1" w:rsidRDefault="00C200D1">
            <w:pPr>
              <w:spacing w:line="276" w:lineRule="auto"/>
              <w:jc w:val="center"/>
              <w:rPr>
                <w:sz w:val="22"/>
                <w:szCs w:val="22"/>
                <w:lang w:eastAsia="en-US"/>
              </w:rPr>
            </w:pPr>
            <w:r>
              <w:rPr>
                <w:sz w:val="22"/>
                <w:szCs w:val="22"/>
                <w:lang w:eastAsia="en-US"/>
              </w:rPr>
              <w:t>0,90</w:t>
            </w:r>
          </w:p>
        </w:tc>
        <w:tc>
          <w:tcPr>
            <w:tcW w:w="1380" w:type="dxa"/>
            <w:tcBorders>
              <w:top w:val="single" w:sz="4" w:space="0" w:color="auto"/>
              <w:left w:val="single" w:sz="4" w:space="0" w:color="auto"/>
              <w:bottom w:val="single" w:sz="4" w:space="0" w:color="auto"/>
              <w:right w:val="single" w:sz="4" w:space="0" w:color="auto"/>
            </w:tcBorders>
            <w:hideMark/>
          </w:tcPr>
          <w:p w:rsidR="00C200D1" w:rsidRDefault="00C200D1">
            <w:pPr>
              <w:spacing w:line="276" w:lineRule="auto"/>
              <w:jc w:val="center"/>
              <w:rPr>
                <w:sz w:val="22"/>
                <w:szCs w:val="22"/>
                <w:lang w:eastAsia="en-US"/>
              </w:rPr>
            </w:pPr>
            <w:r>
              <w:rPr>
                <w:sz w:val="22"/>
                <w:szCs w:val="22"/>
                <w:lang w:eastAsia="en-US"/>
              </w:rPr>
              <w:t>0,68</w:t>
            </w:r>
          </w:p>
        </w:tc>
        <w:tc>
          <w:tcPr>
            <w:tcW w:w="1355" w:type="dxa"/>
            <w:tcBorders>
              <w:top w:val="single" w:sz="4" w:space="0" w:color="auto"/>
              <w:left w:val="single" w:sz="4" w:space="0" w:color="auto"/>
              <w:bottom w:val="single" w:sz="4" w:space="0" w:color="auto"/>
              <w:right w:val="single" w:sz="4" w:space="0" w:color="auto"/>
            </w:tcBorders>
            <w:hideMark/>
          </w:tcPr>
          <w:p w:rsidR="00C200D1" w:rsidRDefault="00C200D1">
            <w:pPr>
              <w:spacing w:line="276" w:lineRule="auto"/>
              <w:jc w:val="center"/>
              <w:rPr>
                <w:sz w:val="22"/>
                <w:szCs w:val="22"/>
                <w:lang w:eastAsia="en-US"/>
              </w:rPr>
            </w:pPr>
            <w:r>
              <w:rPr>
                <w:sz w:val="22"/>
                <w:szCs w:val="22"/>
                <w:lang w:eastAsia="en-US"/>
              </w:rPr>
              <w:t>-0,30</w:t>
            </w:r>
          </w:p>
        </w:tc>
        <w:tc>
          <w:tcPr>
            <w:tcW w:w="1445" w:type="dxa"/>
            <w:tcBorders>
              <w:top w:val="single" w:sz="4" w:space="0" w:color="auto"/>
              <w:left w:val="single" w:sz="4" w:space="0" w:color="auto"/>
              <w:bottom w:val="single" w:sz="4" w:space="0" w:color="auto"/>
              <w:right w:val="single" w:sz="4" w:space="0" w:color="auto"/>
            </w:tcBorders>
            <w:hideMark/>
          </w:tcPr>
          <w:p w:rsidR="00C200D1" w:rsidRDefault="00C200D1">
            <w:pPr>
              <w:spacing w:line="276" w:lineRule="auto"/>
              <w:jc w:val="center"/>
              <w:rPr>
                <w:sz w:val="22"/>
                <w:szCs w:val="22"/>
                <w:lang w:eastAsia="en-US"/>
              </w:rPr>
            </w:pPr>
            <w:r>
              <w:rPr>
                <w:sz w:val="22"/>
                <w:szCs w:val="22"/>
                <w:lang w:eastAsia="en-US"/>
              </w:rPr>
              <w:t>-0,22</w:t>
            </w:r>
          </w:p>
        </w:tc>
      </w:tr>
      <w:tr w:rsidR="00C200D1">
        <w:tc>
          <w:tcPr>
            <w:tcW w:w="2874" w:type="dxa"/>
            <w:tcBorders>
              <w:top w:val="single" w:sz="4" w:space="0" w:color="auto"/>
              <w:left w:val="single" w:sz="4" w:space="0" w:color="auto"/>
              <w:bottom w:val="single" w:sz="4" w:space="0" w:color="auto"/>
              <w:right w:val="single" w:sz="4" w:space="0" w:color="auto"/>
            </w:tcBorders>
            <w:hideMark/>
          </w:tcPr>
          <w:p w:rsidR="00C200D1" w:rsidRDefault="00C200D1">
            <w:pPr>
              <w:spacing w:line="276" w:lineRule="auto"/>
              <w:jc w:val="both"/>
              <w:rPr>
                <w:sz w:val="22"/>
                <w:szCs w:val="22"/>
                <w:lang w:eastAsia="en-US"/>
              </w:rPr>
            </w:pPr>
            <w:r>
              <w:rPr>
                <w:sz w:val="22"/>
                <w:szCs w:val="22"/>
                <w:lang w:eastAsia="en-US"/>
              </w:rPr>
              <w:t xml:space="preserve">Коэффициент текущей ликвидности </w:t>
            </w:r>
          </w:p>
        </w:tc>
        <w:tc>
          <w:tcPr>
            <w:tcW w:w="1380" w:type="dxa"/>
            <w:tcBorders>
              <w:top w:val="single" w:sz="4" w:space="0" w:color="auto"/>
              <w:left w:val="single" w:sz="4" w:space="0" w:color="auto"/>
              <w:bottom w:val="single" w:sz="4" w:space="0" w:color="auto"/>
              <w:right w:val="single" w:sz="4" w:space="0" w:color="auto"/>
            </w:tcBorders>
            <w:hideMark/>
          </w:tcPr>
          <w:p w:rsidR="00C200D1" w:rsidRDefault="00C200D1">
            <w:pPr>
              <w:spacing w:line="276" w:lineRule="auto"/>
              <w:jc w:val="center"/>
              <w:rPr>
                <w:sz w:val="22"/>
                <w:szCs w:val="22"/>
                <w:lang w:eastAsia="en-US"/>
              </w:rPr>
            </w:pPr>
            <w:r>
              <w:rPr>
                <w:sz w:val="22"/>
                <w:szCs w:val="22"/>
                <w:lang w:eastAsia="en-US"/>
              </w:rPr>
              <w:t>1,28</w:t>
            </w:r>
          </w:p>
        </w:tc>
        <w:tc>
          <w:tcPr>
            <w:tcW w:w="1380" w:type="dxa"/>
            <w:tcBorders>
              <w:top w:val="single" w:sz="4" w:space="0" w:color="auto"/>
              <w:left w:val="single" w:sz="4" w:space="0" w:color="auto"/>
              <w:bottom w:val="single" w:sz="4" w:space="0" w:color="auto"/>
              <w:right w:val="single" w:sz="4" w:space="0" w:color="auto"/>
            </w:tcBorders>
            <w:hideMark/>
          </w:tcPr>
          <w:p w:rsidR="00C200D1" w:rsidRDefault="00C200D1">
            <w:pPr>
              <w:spacing w:line="276" w:lineRule="auto"/>
              <w:jc w:val="center"/>
              <w:rPr>
                <w:sz w:val="22"/>
                <w:szCs w:val="22"/>
                <w:lang w:eastAsia="en-US"/>
              </w:rPr>
            </w:pPr>
            <w:r>
              <w:rPr>
                <w:sz w:val="22"/>
                <w:szCs w:val="22"/>
                <w:lang w:eastAsia="en-US"/>
              </w:rPr>
              <w:t>1,06</w:t>
            </w:r>
          </w:p>
        </w:tc>
        <w:tc>
          <w:tcPr>
            <w:tcW w:w="1380" w:type="dxa"/>
            <w:tcBorders>
              <w:top w:val="single" w:sz="4" w:space="0" w:color="auto"/>
              <w:left w:val="single" w:sz="4" w:space="0" w:color="auto"/>
              <w:bottom w:val="single" w:sz="4" w:space="0" w:color="auto"/>
              <w:right w:val="single" w:sz="4" w:space="0" w:color="auto"/>
            </w:tcBorders>
            <w:hideMark/>
          </w:tcPr>
          <w:p w:rsidR="00C200D1" w:rsidRDefault="00C200D1">
            <w:pPr>
              <w:spacing w:line="276" w:lineRule="auto"/>
              <w:jc w:val="center"/>
              <w:rPr>
                <w:sz w:val="22"/>
                <w:szCs w:val="22"/>
                <w:lang w:eastAsia="en-US"/>
              </w:rPr>
            </w:pPr>
            <w:r>
              <w:rPr>
                <w:sz w:val="22"/>
                <w:szCs w:val="22"/>
                <w:lang w:eastAsia="en-US"/>
              </w:rPr>
              <w:t>1,02</w:t>
            </w:r>
          </w:p>
        </w:tc>
        <w:tc>
          <w:tcPr>
            <w:tcW w:w="1355" w:type="dxa"/>
            <w:tcBorders>
              <w:top w:val="single" w:sz="4" w:space="0" w:color="auto"/>
              <w:left w:val="single" w:sz="4" w:space="0" w:color="auto"/>
              <w:bottom w:val="single" w:sz="4" w:space="0" w:color="auto"/>
              <w:right w:val="single" w:sz="4" w:space="0" w:color="auto"/>
            </w:tcBorders>
            <w:hideMark/>
          </w:tcPr>
          <w:p w:rsidR="00C200D1" w:rsidRDefault="00C200D1">
            <w:pPr>
              <w:spacing w:line="276" w:lineRule="auto"/>
              <w:jc w:val="center"/>
              <w:rPr>
                <w:sz w:val="22"/>
                <w:szCs w:val="22"/>
                <w:lang w:eastAsia="en-US"/>
              </w:rPr>
            </w:pPr>
            <w:r>
              <w:rPr>
                <w:sz w:val="22"/>
                <w:szCs w:val="22"/>
                <w:lang w:eastAsia="en-US"/>
              </w:rPr>
              <w:t>-0,26</w:t>
            </w:r>
          </w:p>
        </w:tc>
        <w:tc>
          <w:tcPr>
            <w:tcW w:w="1445" w:type="dxa"/>
            <w:tcBorders>
              <w:top w:val="single" w:sz="4" w:space="0" w:color="auto"/>
              <w:left w:val="single" w:sz="4" w:space="0" w:color="auto"/>
              <w:bottom w:val="single" w:sz="4" w:space="0" w:color="auto"/>
              <w:right w:val="single" w:sz="4" w:space="0" w:color="auto"/>
            </w:tcBorders>
            <w:hideMark/>
          </w:tcPr>
          <w:p w:rsidR="00C200D1" w:rsidRDefault="00C200D1">
            <w:pPr>
              <w:spacing w:line="276" w:lineRule="auto"/>
              <w:jc w:val="center"/>
              <w:rPr>
                <w:sz w:val="22"/>
                <w:szCs w:val="22"/>
                <w:lang w:eastAsia="en-US"/>
              </w:rPr>
            </w:pPr>
            <w:r>
              <w:rPr>
                <w:sz w:val="22"/>
                <w:szCs w:val="22"/>
                <w:lang w:eastAsia="en-US"/>
              </w:rPr>
              <w:t>-0,04</w:t>
            </w:r>
          </w:p>
        </w:tc>
      </w:tr>
      <w:tr w:rsidR="00C200D1">
        <w:tc>
          <w:tcPr>
            <w:tcW w:w="2874" w:type="dxa"/>
            <w:tcBorders>
              <w:top w:val="single" w:sz="4" w:space="0" w:color="auto"/>
              <w:left w:val="single" w:sz="4" w:space="0" w:color="auto"/>
              <w:bottom w:val="single" w:sz="4" w:space="0" w:color="auto"/>
              <w:right w:val="single" w:sz="4" w:space="0" w:color="auto"/>
            </w:tcBorders>
            <w:hideMark/>
          </w:tcPr>
          <w:p w:rsidR="00C200D1" w:rsidRDefault="00C200D1">
            <w:pPr>
              <w:spacing w:line="276" w:lineRule="auto"/>
              <w:jc w:val="both"/>
              <w:rPr>
                <w:sz w:val="22"/>
                <w:szCs w:val="22"/>
                <w:lang w:eastAsia="en-US"/>
              </w:rPr>
            </w:pPr>
            <w:r>
              <w:rPr>
                <w:sz w:val="22"/>
                <w:szCs w:val="22"/>
                <w:lang w:eastAsia="en-US"/>
              </w:rPr>
              <w:t>Коэффициент «цены ликвидации»</w:t>
            </w:r>
          </w:p>
        </w:tc>
        <w:tc>
          <w:tcPr>
            <w:tcW w:w="1380" w:type="dxa"/>
            <w:tcBorders>
              <w:top w:val="single" w:sz="4" w:space="0" w:color="auto"/>
              <w:left w:val="single" w:sz="4" w:space="0" w:color="auto"/>
              <w:bottom w:val="single" w:sz="4" w:space="0" w:color="auto"/>
              <w:right w:val="single" w:sz="4" w:space="0" w:color="auto"/>
            </w:tcBorders>
            <w:hideMark/>
          </w:tcPr>
          <w:p w:rsidR="00C200D1" w:rsidRDefault="00C200D1">
            <w:pPr>
              <w:spacing w:line="276" w:lineRule="auto"/>
              <w:jc w:val="center"/>
              <w:rPr>
                <w:sz w:val="22"/>
                <w:szCs w:val="22"/>
                <w:lang w:eastAsia="en-US"/>
              </w:rPr>
            </w:pPr>
            <w:r>
              <w:rPr>
                <w:sz w:val="22"/>
                <w:szCs w:val="22"/>
                <w:lang w:eastAsia="en-US"/>
              </w:rPr>
              <w:t>1,3</w:t>
            </w:r>
          </w:p>
        </w:tc>
        <w:tc>
          <w:tcPr>
            <w:tcW w:w="1380" w:type="dxa"/>
            <w:tcBorders>
              <w:top w:val="single" w:sz="4" w:space="0" w:color="auto"/>
              <w:left w:val="single" w:sz="4" w:space="0" w:color="auto"/>
              <w:bottom w:val="single" w:sz="4" w:space="0" w:color="auto"/>
              <w:right w:val="single" w:sz="4" w:space="0" w:color="auto"/>
            </w:tcBorders>
            <w:hideMark/>
          </w:tcPr>
          <w:p w:rsidR="00C200D1" w:rsidRDefault="00C200D1">
            <w:pPr>
              <w:spacing w:line="276" w:lineRule="auto"/>
              <w:jc w:val="center"/>
              <w:rPr>
                <w:sz w:val="22"/>
                <w:szCs w:val="22"/>
                <w:lang w:eastAsia="en-US"/>
              </w:rPr>
            </w:pPr>
            <w:r>
              <w:rPr>
                <w:sz w:val="22"/>
                <w:szCs w:val="22"/>
                <w:lang w:eastAsia="en-US"/>
              </w:rPr>
              <w:t>1,07</w:t>
            </w:r>
          </w:p>
        </w:tc>
        <w:tc>
          <w:tcPr>
            <w:tcW w:w="1380" w:type="dxa"/>
            <w:tcBorders>
              <w:top w:val="single" w:sz="4" w:space="0" w:color="auto"/>
              <w:left w:val="single" w:sz="4" w:space="0" w:color="auto"/>
              <w:bottom w:val="single" w:sz="4" w:space="0" w:color="auto"/>
              <w:right w:val="single" w:sz="4" w:space="0" w:color="auto"/>
            </w:tcBorders>
            <w:hideMark/>
          </w:tcPr>
          <w:p w:rsidR="00C200D1" w:rsidRDefault="00C200D1">
            <w:pPr>
              <w:spacing w:line="276" w:lineRule="auto"/>
              <w:jc w:val="center"/>
              <w:rPr>
                <w:sz w:val="22"/>
                <w:szCs w:val="22"/>
                <w:lang w:eastAsia="en-US"/>
              </w:rPr>
            </w:pPr>
            <w:r>
              <w:rPr>
                <w:sz w:val="22"/>
                <w:szCs w:val="22"/>
                <w:lang w:eastAsia="en-US"/>
              </w:rPr>
              <w:t>1,08</w:t>
            </w:r>
          </w:p>
        </w:tc>
        <w:tc>
          <w:tcPr>
            <w:tcW w:w="1355" w:type="dxa"/>
            <w:tcBorders>
              <w:top w:val="single" w:sz="4" w:space="0" w:color="auto"/>
              <w:left w:val="single" w:sz="4" w:space="0" w:color="auto"/>
              <w:bottom w:val="single" w:sz="4" w:space="0" w:color="auto"/>
              <w:right w:val="single" w:sz="4" w:space="0" w:color="auto"/>
            </w:tcBorders>
            <w:hideMark/>
          </w:tcPr>
          <w:p w:rsidR="00C200D1" w:rsidRDefault="00C200D1">
            <w:pPr>
              <w:spacing w:line="276" w:lineRule="auto"/>
              <w:jc w:val="center"/>
              <w:rPr>
                <w:sz w:val="22"/>
                <w:szCs w:val="22"/>
                <w:lang w:eastAsia="en-US"/>
              </w:rPr>
            </w:pPr>
            <w:r>
              <w:rPr>
                <w:sz w:val="22"/>
                <w:szCs w:val="22"/>
                <w:lang w:eastAsia="en-US"/>
              </w:rPr>
              <w:t>-0,22</w:t>
            </w:r>
          </w:p>
        </w:tc>
        <w:tc>
          <w:tcPr>
            <w:tcW w:w="1445" w:type="dxa"/>
            <w:tcBorders>
              <w:top w:val="single" w:sz="4" w:space="0" w:color="auto"/>
              <w:left w:val="single" w:sz="4" w:space="0" w:color="auto"/>
              <w:bottom w:val="single" w:sz="4" w:space="0" w:color="auto"/>
              <w:right w:val="single" w:sz="4" w:space="0" w:color="auto"/>
            </w:tcBorders>
            <w:hideMark/>
          </w:tcPr>
          <w:p w:rsidR="00C200D1" w:rsidRDefault="00C200D1">
            <w:pPr>
              <w:spacing w:line="276" w:lineRule="auto"/>
              <w:jc w:val="center"/>
              <w:rPr>
                <w:sz w:val="22"/>
                <w:szCs w:val="22"/>
                <w:lang w:eastAsia="en-US"/>
              </w:rPr>
            </w:pPr>
            <w:r>
              <w:rPr>
                <w:sz w:val="22"/>
                <w:szCs w:val="22"/>
                <w:lang w:eastAsia="en-US"/>
              </w:rPr>
              <w:t>-0,01</w:t>
            </w:r>
          </w:p>
        </w:tc>
      </w:tr>
      <w:tr w:rsidR="00C200D1">
        <w:tc>
          <w:tcPr>
            <w:tcW w:w="2874" w:type="dxa"/>
            <w:tcBorders>
              <w:top w:val="single" w:sz="4" w:space="0" w:color="auto"/>
              <w:left w:val="single" w:sz="4" w:space="0" w:color="auto"/>
              <w:bottom w:val="single" w:sz="4" w:space="0" w:color="auto"/>
              <w:right w:val="single" w:sz="4" w:space="0" w:color="auto"/>
            </w:tcBorders>
            <w:hideMark/>
          </w:tcPr>
          <w:p w:rsidR="00C200D1" w:rsidRDefault="00C200D1">
            <w:pPr>
              <w:spacing w:line="276" w:lineRule="auto"/>
              <w:jc w:val="both"/>
              <w:rPr>
                <w:sz w:val="22"/>
                <w:szCs w:val="22"/>
                <w:lang w:eastAsia="en-US"/>
              </w:rPr>
            </w:pPr>
            <w:r>
              <w:rPr>
                <w:sz w:val="22"/>
                <w:szCs w:val="22"/>
                <w:lang w:eastAsia="en-US"/>
              </w:rPr>
              <w:t>Общий коэффициент ликвидности баланса</w:t>
            </w:r>
          </w:p>
        </w:tc>
        <w:tc>
          <w:tcPr>
            <w:tcW w:w="1380" w:type="dxa"/>
            <w:tcBorders>
              <w:top w:val="single" w:sz="4" w:space="0" w:color="auto"/>
              <w:left w:val="single" w:sz="4" w:space="0" w:color="auto"/>
              <w:bottom w:val="single" w:sz="4" w:space="0" w:color="auto"/>
              <w:right w:val="single" w:sz="4" w:space="0" w:color="auto"/>
            </w:tcBorders>
            <w:hideMark/>
          </w:tcPr>
          <w:p w:rsidR="00C200D1" w:rsidRDefault="00C200D1">
            <w:pPr>
              <w:spacing w:line="276" w:lineRule="auto"/>
              <w:jc w:val="center"/>
              <w:rPr>
                <w:sz w:val="22"/>
                <w:szCs w:val="22"/>
                <w:lang w:eastAsia="en-US"/>
              </w:rPr>
            </w:pPr>
            <w:r>
              <w:rPr>
                <w:sz w:val="22"/>
                <w:szCs w:val="22"/>
                <w:lang w:eastAsia="en-US"/>
              </w:rPr>
              <w:t>0,58</w:t>
            </w:r>
          </w:p>
        </w:tc>
        <w:tc>
          <w:tcPr>
            <w:tcW w:w="1380" w:type="dxa"/>
            <w:tcBorders>
              <w:top w:val="single" w:sz="4" w:space="0" w:color="auto"/>
              <w:left w:val="single" w:sz="4" w:space="0" w:color="auto"/>
              <w:bottom w:val="single" w:sz="4" w:space="0" w:color="auto"/>
              <w:right w:val="single" w:sz="4" w:space="0" w:color="auto"/>
            </w:tcBorders>
            <w:hideMark/>
          </w:tcPr>
          <w:p w:rsidR="00C200D1" w:rsidRDefault="00C200D1">
            <w:pPr>
              <w:spacing w:line="276" w:lineRule="auto"/>
              <w:jc w:val="center"/>
              <w:rPr>
                <w:sz w:val="22"/>
                <w:szCs w:val="22"/>
                <w:lang w:eastAsia="en-US"/>
              </w:rPr>
            </w:pPr>
            <w:r>
              <w:rPr>
                <w:sz w:val="22"/>
                <w:szCs w:val="22"/>
                <w:lang w:eastAsia="en-US"/>
              </w:rPr>
              <w:t>0,50</w:t>
            </w:r>
          </w:p>
        </w:tc>
        <w:tc>
          <w:tcPr>
            <w:tcW w:w="1380" w:type="dxa"/>
            <w:tcBorders>
              <w:top w:val="single" w:sz="4" w:space="0" w:color="auto"/>
              <w:left w:val="single" w:sz="4" w:space="0" w:color="auto"/>
              <w:bottom w:val="single" w:sz="4" w:space="0" w:color="auto"/>
              <w:right w:val="single" w:sz="4" w:space="0" w:color="auto"/>
            </w:tcBorders>
            <w:hideMark/>
          </w:tcPr>
          <w:p w:rsidR="00C200D1" w:rsidRDefault="00C200D1">
            <w:pPr>
              <w:spacing w:line="276" w:lineRule="auto"/>
              <w:jc w:val="center"/>
              <w:rPr>
                <w:sz w:val="22"/>
                <w:szCs w:val="22"/>
                <w:lang w:eastAsia="en-US"/>
              </w:rPr>
            </w:pPr>
            <w:r>
              <w:rPr>
                <w:sz w:val="22"/>
                <w:szCs w:val="22"/>
                <w:lang w:eastAsia="en-US"/>
              </w:rPr>
              <w:t>0,37</w:t>
            </w:r>
          </w:p>
        </w:tc>
        <w:tc>
          <w:tcPr>
            <w:tcW w:w="1355" w:type="dxa"/>
            <w:tcBorders>
              <w:top w:val="single" w:sz="4" w:space="0" w:color="auto"/>
              <w:left w:val="single" w:sz="4" w:space="0" w:color="auto"/>
              <w:bottom w:val="single" w:sz="4" w:space="0" w:color="auto"/>
              <w:right w:val="single" w:sz="4" w:space="0" w:color="auto"/>
            </w:tcBorders>
            <w:hideMark/>
          </w:tcPr>
          <w:p w:rsidR="00C200D1" w:rsidRDefault="00C200D1">
            <w:pPr>
              <w:spacing w:line="276" w:lineRule="auto"/>
              <w:jc w:val="center"/>
              <w:rPr>
                <w:sz w:val="22"/>
                <w:szCs w:val="22"/>
                <w:lang w:eastAsia="en-US"/>
              </w:rPr>
            </w:pPr>
            <w:r>
              <w:rPr>
                <w:sz w:val="22"/>
                <w:szCs w:val="22"/>
                <w:lang w:eastAsia="en-US"/>
              </w:rPr>
              <w:t>-0,21</w:t>
            </w:r>
          </w:p>
        </w:tc>
        <w:tc>
          <w:tcPr>
            <w:tcW w:w="1445" w:type="dxa"/>
            <w:tcBorders>
              <w:top w:val="single" w:sz="4" w:space="0" w:color="auto"/>
              <w:left w:val="single" w:sz="4" w:space="0" w:color="auto"/>
              <w:bottom w:val="single" w:sz="4" w:space="0" w:color="auto"/>
              <w:right w:val="single" w:sz="4" w:space="0" w:color="auto"/>
            </w:tcBorders>
            <w:hideMark/>
          </w:tcPr>
          <w:p w:rsidR="00C200D1" w:rsidRDefault="00C200D1">
            <w:pPr>
              <w:spacing w:line="276" w:lineRule="auto"/>
              <w:jc w:val="center"/>
              <w:rPr>
                <w:sz w:val="22"/>
                <w:szCs w:val="22"/>
                <w:lang w:eastAsia="en-US"/>
              </w:rPr>
            </w:pPr>
            <w:r>
              <w:rPr>
                <w:sz w:val="22"/>
                <w:szCs w:val="22"/>
                <w:lang w:eastAsia="en-US"/>
              </w:rPr>
              <w:t>-0,13</w:t>
            </w:r>
          </w:p>
        </w:tc>
      </w:tr>
    </w:tbl>
    <w:p w:rsidR="00C200D1" w:rsidRDefault="00C200D1" w:rsidP="00C200D1">
      <w:pPr>
        <w:spacing w:line="360" w:lineRule="auto"/>
        <w:ind w:firstLine="540"/>
        <w:jc w:val="both"/>
        <w:rPr>
          <w:sz w:val="28"/>
          <w:szCs w:val="28"/>
        </w:rPr>
      </w:pPr>
    </w:p>
    <w:p w:rsidR="00C200D1" w:rsidRDefault="00C200D1" w:rsidP="00C200D1">
      <w:pPr>
        <w:spacing w:line="360" w:lineRule="auto"/>
        <w:ind w:firstLine="540"/>
        <w:jc w:val="both"/>
        <w:rPr>
          <w:sz w:val="28"/>
          <w:szCs w:val="28"/>
        </w:rPr>
      </w:pPr>
      <w:r>
        <w:rPr>
          <w:sz w:val="28"/>
          <w:szCs w:val="28"/>
        </w:rPr>
        <w:t>В целом можно отметить, чт</w:t>
      </w:r>
      <w:proofErr w:type="gramStart"/>
      <w:r>
        <w:rPr>
          <w:sz w:val="28"/>
          <w:szCs w:val="28"/>
        </w:rPr>
        <w:t>о ООО</w:t>
      </w:r>
      <w:proofErr w:type="gramEnd"/>
      <w:r>
        <w:rPr>
          <w:sz w:val="28"/>
          <w:szCs w:val="28"/>
        </w:rPr>
        <w:t xml:space="preserve">  «Строй Сервис» характеризуется достаточно низкой степенью платежеспособности.  Практически все представленные коэффициенты находятся ниже нормативных пределов, за исключением коэффициента промежуточного покрытия в 2016-2017 гг., а к отчетному периоду значение данного коэффициента снижается.</w:t>
      </w:r>
    </w:p>
    <w:p w:rsidR="00C200D1" w:rsidRDefault="00C200D1" w:rsidP="00C200D1">
      <w:pPr>
        <w:spacing w:line="360" w:lineRule="auto"/>
        <w:ind w:firstLine="540"/>
        <w:jc w:val="both"/>
        <w:rPr>
          <w:sz w:val="28"/>
          <w:szCs w:val="28"/>
        </w:rPr>
      </w:pPr>
      <w:r>
        <w:rPr>
          <w:sz w:val="28"/>
          <w:szCs w:val="28"/>
        </w:rPr>
        <w:t>Положительной динамике подвержено значение  коэффициента абсолютной ликвидности, но, несмотря на его увеличение, данный коэффициент  не соответствует своему нормативному значению.</w:t>
      </w:r>
    </w:p>
    <w:p w:rsidR="00C200D1" w:rsidRDefault="00C200D1" w:rsidP="00C200D1">
      <w:pPr>
        <w:tabs>
          <w:tab w:val="left" w:pos="8441"/>
        </w:tabs>
        <w:spacing w:line="360" w:lineRule="auto"/>
        <w:ind w:firstLine="851"/>
        <w:jc w:val="both"/>
        <w:rPr>
          <w:sz w:val="28"/>
          <w:szCs w:val="28"/>
        </w:rPr>
      </w:pPr>
      <w:r>
        <w:rPr>
          <w:sz w:val="28"/>
          <w:szCs w:val="28"/>
        </w:rPr>
        <w:t>Комплексным показателем оценки уровня платежеспособности является общий коэффициент ликвидности баланса, оптимальное значение которого должно быть более единицы. Однако данные таблицы показывают, что для ООО «Строй Сервис» отмечается снижение значения данного показателя, что свидетельствует о  нарушении уровня соотношения отдельных видов активов и пассивов организации, способствующих снижению уровня платежеспособности исследуемой организации.</w:t>
      </w:r>
    </w:p>
    <w:p w:rsidR="00C200D1" w:rsidRDefault="00C200D1" w:rsidP="00C200D1">
      <w:pPr>
        <w:spacing w:line="360" w:lineRule="auto"/>
        <w:ind w:firstLine="540"/>
        <w:jc w:val="both"/>
        <w:rPr>
          <w:sz w:val="28"/>
          <w:szCs w:val="28"/>
        </w:rPr>
      </w:pPr>
      <w:r>
        <w:rPr>
          <w:sz w:val="28"/>
          <w:szCs w:val="28"/>
        </w:rPr>
        <w:t xml:space="preserve">По данным коэффициентам в 2018 г. можно  сделать вывод, что в ООО «Строй Сервис» нарушена платежеспособность, его текущие активы не </w:t>
      </w:r>
      <w:r>
        <w:rPr>
          <w:sz w:val="28"/>
          <w:szCs w:val="28"/>
        </w:rPr>
        <w:lastRenderedPageBreak/>
        <w:t xml:space="preserve">покрывают его текущих обязательств, что отрицательно сказывается на деятельности организации в целом. </w:t>
      </w:r>
    </w:p>
    <w:p w:rsidR="002F7858" w:rsidRDefault="002F7858" w:rsidP="002F7858">
      <w:pPr>
        <w:spacing w:after="200" w:line="276" w:lineRule="auto"/>
        <w:jc w:val="center"/>
        <w:rPr>
          <w:sz w:val="28"/>
          <w:szCs w:val="28"/>
        </w:rPr>
      </w:pPr>
    </w:p>
    <w:p w:rsidR="00C200D1" w:rsidRDefault="00C200D1" w:rsidP="002F7858">
      <w:pPr>
        <w:spacing w:after="200" w:line="276" w:lineRule="auto"/>
        <w:jc w:val="center"/>
        <w:rPr>
          <w:sz w:val="28"/>
          <w:szCs w:val="28"/>
        </w:rPr>
      </w:pPr>
      <w:r>
        <w:rPr>
          <w:sz w:val="28"/>
          <w:szCs w:val="28"/>
        </w:rPr>
        <w:t>Библиографический список</w:t>
      </w:r>
    </w:p>
    <w:p w:rsidR="00C200D1" w:rsidRDefault="00C200D1" w:rsidP="00C200D1">
      <w:pPr>
        <w:jc w:val="center"/>
        <w:rPr>
          <w:sz w:val="28"/>
          <w:szCs w:val="28"/>
        </w:rPr>
      </w:pPr>
    </w:p>
    <w:p w:rsidR="00C200D1" w:rsidRDefault="00C200D1" w:rsidP="00C200D1">
      <w:pPr>
        <w:pStyle w:val="a5"/>
        <w:numPr>
          <w:ilvl w:val="0"/>
          <w:numId w:val="1"/>
        </w:numPr>
        <w:tabs>
          <w:tab w:val="num" w:pos="567"/>
        </w:tabs>
        <w:suppressAutoHyphens w:val="0"/>
        <w:spacing w:line="360" w:lineRule="auto"/>
        <w:ind w:left="567"/>
        <w:jc w:val="both"/>
        <w:rPr>
          <w:sz w:val="28"/>
        </w:rPr>
      </w:pPr>
      <w:r>
        <w:rPr>
          <w:color w:val="000000"/>
          <w:sz w:val="28"/>
          <w:szCs w:val="28"/>
        </w:rPr>
        <w:t xml:space="preserve">Гапоненко В.Ф., Беспалько А.А., </w:t>
      </w:r>
      <w:proofErr w:type="spellStart"/>
      <w:r>
        <w:rPr>
          <w:color w:val="000000"/>
          <w:sz w:val="28"/>
          <w:szCs w:val="28"/>
        </w:rPr>
        <w:t>Власков</w:t>
      </w:r>
      <w:proofErr w:type="spellEnd"/>
      <w:r>
        <w:rPr>
          <w:color w:val="000000"/>
          <w:sz w:val="28"/>
          <w:szCs w:val="28"/>
        </w:rPr>
        <w:t xml:space="preserve"> А.С. Экономическая безопасность предприятий. Подходы и принципы. М.: ИНФРА - М, 2017. – 387 с.</w:t>
      </w:r>
    </w:p>
    <w:p w:rsidR="00C200D1" w:rsidRDefault="00C200D1" w:rsidP="00C200D1">
      <w:pPr>
        <w:pStyle w:val="a5"/>
        <w:numPr>
          <w:ilvl w:val="0"/>
          <w:numId w:val="1"/>
        </w:numPr>
        <w:tabs>
          <w:tab w:val="num" w:pos="567"/>
        </w:tabs>
        <w:suppressAutoHyphens w:val="0"/>
        <w:spacing w:line="360" w:lineRule="auto"/>
        <w:ind w:left="567"/>
        <w:jc w:val="both"/>
        <w:rPr>
          <w:sz w:val="28"/>
        </w:rPr>
      </w:pPr>
      <w:r>
        <w:rPr>
          <w:sz w:val="28"/>
        </w:rPr>
        <w:t>Герасименко А. Финансовый менеджмент - это просто: Базовый курс для руководителей и начинающих специалистов</w:t>
      </w:r>
      <w:proofErr w:type="gramStart"/>
      <w:r>
        <w:rPr>
          <w:sz w:val="28"/>
        </w:rPr>
        <w:t xml:space="preserve"> / А</w:t>
      </w:r>
      <w:proofErr w:type="gramEnd"/>
      <w:r>
        <w:rPr>
          <w:sz w:val="28"/>
        </w:rPr>
        <w:t xml:space="preserve"> Герасименко. - М.: Альпина </w:t>
      </w:r>
      <w:proofErr w:type="spellStart"/>
      <w:r>
        <w:rPr>
          <w:sz w:val="28"/>
        </w:rPr>
        <w:t>Паблишер</w:t>
      </w:r>
      <w:proofErr w:type="spellEnd"/>
      <w:r>
        <w:rPr>
          <w:sz w:val="28"/>
        </w:rPr>
        <w:t>, 2016. - 381 c.</w:t>
      </w:r>
    </w:p>
    <w:p w:rsidR="00C200D1" w:rsidRDefault="00C200D1" w:rsidP="00C200D1">
      <w:pPr>
        <w:pStyle w:val="a5"/>
        <w:numPr>
          <w:ilvl w:val="0"/>
          <w:numId w:val="1"/>
        </w:numPr>
        <w:tabs>
          <w:tab w:val="num" w:pos="567"/>
        </w:tabs>
        <w:suppressAutoHyphens w:val="0"/>
        <w:spacing w:line="360" w:lineRule="auto"/>
        <w:ind w:left="567"/>
        <w:jc w:val="both"/>
        <w:rPr>
          <w:sz w:val="28"/>
        </w:rPr>
      </w:pPr>
      <w:r>
        <w:rPr>
          <w:iCs/>
          <w:color w:val="000000"/>
          <w:sz w:val="28"/>
          <w:szCs w:val="28"/>
        </w:rPr>
        <w:t>Кузнецова Е.И.</w:t>
      </w:r>
      <w:r>
        <w:rPr>
          <w:color w:val="000000"/>
          <w:sz w:val="28"/>
          <w:szCs w:val="28"/>
        </w:rPr>
        <w:t> Экономическая безопасность и конкурентоспособность. Формирование экономической стратегии государства: Монография: Учебник. – М.: ЮНИТИ, 2014. – 239 c.</w:t>
      </w:r>
    </w:p>
    <w:p w:rsidR="00C200D1" w:rsidRDefault="00C200D1" w:rsidP="00C200D1">
      <w:pPr>
        <w:pStyle w:val="a5"/>
        <w:numPr>
          <w:ilvl w:val="0"/>
          <w:numId w:val="1"/>
        </w:numPr>
        <w:tabs>
          <w:tab w:val="num" w:pos="567"/>
        </w:tabs>
        <w:suppressAutoHyphens w:val="0"/>
        <w:spacing w:line="360" w:lineRule="auto"/>
        <w:ind w:left="567"/>
        <w:jc w:val="both"/>
        <w:rPr>
          <w:sz w:val="28"/>
        </w:rPr>
      </w:pPr>
      <w:r>
        <w:rPr>
          <w:sz w:val="28"/>
        </w:rPr>
        <w:t>Уткин Э.А. Финансовый менеджмент. / Э. А. Уткин. – М.: Зерцало, 2017. – 265 с.</w:t>
      </w:r>
    </w:p>
    <w:p w:rsidR="00C200D1" w:rsidRDefault="00C200D1" w:rsidP="00C200D1">
      <w:pPr>
        <w:pStyle w:val="a5"/>
        <w:numPr>
          <w:ilvl w:val="0"/>
          <w:numId w:val="1"/>
        </w:numPr>
        <w:tabs>
          <w:tab w:val="num" w:pos="567"/>
        </w:tabs>
        <w:suppressAutoHyphens w:val="0"/>
        <w:spacing w:line="360" w:lineRule="auto"/>
        <w:ind w:left="567"/>
        <w:jc w:val="both"/>
        <w:rPr>
          <w:sz w:val="28"/>
        </w:rPr>
      </w:pPr>
      <w:r>
        <w:rPr>
          <w:iCs/>
          <w:color w:val="000000"/>
          <w:sz w:val="28"/>
          <w:szCs w:val="28"/>
        </w:rPr>
        <w:t>Василенко В.П.</w:t>
      </w:r>
      <w:r>
        <w:rPr>
          <w:color w:val="000000"/>
          <w:sz w:val="28"/>
          <w:szCs w:val="28"/>
        </w:rPr>
        <w:t>  Вопросы обеспечения экономической безопасности — одно из направлений деятельности субъектов предпринимательства // Логистика: проблемы и решения. – 2015. – №5. – С. 43-45.</w:t>
      </w:r>
    </w:p>
    <w:p w:rsidR="00C200D1" w:rsidRDefault="00C200D1" w:rsidP="00C200D1">
      <w:pPr>
        <w:pStyle w:val="a5"/>
        <w:numPr>
          <w:ilvl w:val="0"/>
          <w:numId w:val="1"/>
        </w:numPr>
        <w:tabs>
          <w:tab w:val="num" w:pos="567"/>
        </w:tabs>
        <w:spacing w:line="360" w:lineRule="auto"/>
        <w:ind w:left="567"/>
        <w:jc w:val="both"/>
        <w:textAlignment w:val="top"/>
        <w:rPr>
          <w:color w:val="000000"/>
          <w:sz w:val="28"/>
          <w:szCs w:val="28"/>
        </w:rPr>
      </w:pPr>
      <w:r>
        <w:rPr>
          <w:color w:val="000000"/>
          <w:sz w:val="28"/>
          <w:szCs w:val="28"/>
        </w:rPr>
        <w:t>Горбачев Д. В. Комплексный подход к организации деятельности службы экономической безопасности предприятия // Интеллект. Инновации. Инвестиции. 2014.  - № 1.  - С. 165-170.</w:t>
      </w:r>
    </w:p>
    <w:p w:rsidR="00C200D1" w:rsidRDefault="00C200D1" w:rsidP="00C200D1">
      <w:pPr>
        <w:pStyle w:val="a5"/>
        <w:numPr>
          <w:ilvl w:val="0"/>
          <w:numId w:val="1"/>
        </w:numPr>
        <w:tabs>
          <w:tab w:val="num" w:pos="567"/>
        </w:tabs>
        <w:spacing w:line="360" w:lineRule="auto"/>
        <w:ind w:left="567"/>
        <w:jc w:val="both"/>
        <w:textAlignment w:val="top"/>
        <w:rPr>
          <w:sz w:val="28"/>
          <w:szCs w:val="28"/>
          <w:lang w:eastAsia="ar-SA"/>
        </w:rPr>
      </w:pPr>
      <w:r>
        <w:rPr>
          <w:sz w:val="28"/>
          <w:szCs w:val="28"/>
        </w:rPr>
        <w:t>Захарова Н.В. Управление экономической безопасностью предприятий// Экономика и жизнь. – 2016. - №9. – С. 83-87.</w:t>
      </w:r>
    </w:p>
    <w:p w:rsidR="00C200D1" w:rsidRDefault="00C200D1" w:rsidP="00C200D1">
      <w:pPr>
        <w:pStyle w:val="a5"/>
        <w:numPr>
          <w:ilvl w:val="0"/>
          <w:numId w:val="1"/>
        </w:numPr>
        <w:tabs>
          <w:tab w:val="num" w:pos="567"/>
        </w:tabs>
        <w:spacing w:line="360" w:lineRule="auto"/>
        <w:ind w:left="567"/>
        <w:jc w:val="both"/>
        <w:textAlignment w:val="top"/>
        <w:rPr>
          <w:color w:val="000000"/>
          <w:sz w:val="28"/>
          <w:szCs w:val="28"/>
        </w:rPr>
      </w:pPr>
      <w:proofErr w:type="spellStart"/>
      <w:r>
        <w:rPr>
          <w:color w:val="000000"/>
          <w:sz w:val="28"/>
          <w:szCs w:val="28"/>
        </w:rPr>
        <w:t>Федотенкова</w:t>
      </w:r>
      <w:proofErr w:type="spellEnd"/>
      <w:r>
        <w:rPr>
          <w:color w:val="000000"/>
          <w:sz w:val="28"/>
          <w:szCs w:val="28"/>
        </w:rPr>
        <w:t xml:space="preserve"> О.А. Оценка финансового состояния организаций для обеспечения их экономической безопасности // Национальные интересы: приоритеты и безопасность. - 2018. - Т. 14, № 1. -С. 78 - 96. </w:t>
      </w:r>
    </w:p>
    <w:p w:rsidR="00C200D1" w:rsidRDefault="00C200D1" w:rsidP="00C200D1">
      <w:pPr>
        <w:pStyle w:val="a5"/>
        <w:numPr>
          <w:ilvl w:val="0"/>
          <w:numId w:val="1"/>
        </w:numPr>
        <w:tabs>
          <w:tab w:val="num" w:pos="567"/>
        </w:tabs>
        <w:spacing w:line="360" w:lineRule="auto"/>
        <w:ind w:left="567"/>
        <w:jc w:val="both"/>
        <w:textAlignment w:val="top"/>
        <w:rPr>
          <w:color w:val="000000"/>
          <w:sz w:val="28"/>
          <w:szCs w:val="28"/>
        </w:rPr>
      </w:pPr>
      <w:proofErr w:type="spellStart"/>
      <w:r>
        <w:rPr>
          <w:color w:val="000000"/>
          <w:sz w:val="28"/>
          <w:szCs w:val="28"/>
        </w:rPr>
        <w:t>Козивкин</w:t>
      </w:r>
      <w:proofErr w:type="spellEnd"/>
      <w:r>
        <w:rPr>
          <w:color w:val="000000"/>
          <w:sz w:val="28"/>
          <w:szCs w:val="28"/>
        </w:rPr>
        <w:t xml:space="preserve"> В. В. Экономическая безопасность промышленного предприятия [Электронный ресурс] // Бизнес, менеджмент и право. 2016. </w:t>
      </w:r>
      <w:r>
        <w:rPr>
          <w:color w:val="000000"/>
          <w:sz w:val="28"/>
          <w:szCs w:val="28"/>
        </w:rPr>
        <w:lastRenderedPageBreak/>
        <w:t xml:space="preserve">Режим доступа: http://www.bmpravo.ru/show_ </w:t>
      </w:r>
      <w:proofErr w:type="spellStart"/>
      <w:r>
        <w:rPr>
          <w:color w:val="000000"/>
          <w:sz w:val="28"/>
          <w:szCs w:val="28"/>
        </w:rPr>
        <w:t>stat.php?stat</w:t>
      </w:r>
      <w:proofErr w:type="spellEnd"/>
      <w:r>
        <w:rPr>
          <w:color w:val="000000"/>
          <w:sz w:val="28"/>
          <w:szCs w:val="28"/>
        </w:rPr>
        <w:t>=297 (дата обращения: 10.04.2019).</w:t>
      </w:r>
    </w:p>
    <w:p w:rsidR="00630156" w:rsidRDefault="00C200D1" w:rsidP="00C200D1">
      <w:r>
        <w:rPr>
          <w:color w:val="000000"/>
          <w:sz w:val="28"/>
          <w:szCs w:val="28"/>
        </w:rPr>
        <w:br w:type="page"/>
      </w:r>
    </w:p>
    <w:sectPr w:rsidR="0063015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28E2" w:rsidRDefault="00FA28E2" w:rsidP="00C200D1">
      <w:r>
        <w:separator/>
      </w:r>
    </w:p>
  </w:endnote>
  <w:endnote w:type="continuationSeparator" w:id="0">
    <w:p w:rsidR="00FA28E2" w:rsidRDefault="00FA28E2" w:rsidP="00C20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28E2" w:rsidRDefault="00FA28E2" w:rsidP="00C200D1">
      <w:r>
        <w:separator/>
      </w:r>
    </w:p>
  </w:footnote>
  <w:footnote w:type="continuationSeparator" w:id="0">
    <w:p w:rsidR="00FA28E2" w:rsidRDefault="00FA28E2" w:rsidP="00C200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02626"/>
    <w:multiLevelType w:val="hybridMultilevel"/>
    <w:tmpl w:val="C810B1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0D1"/>
    <w:rsid w:val="000D69A8"/>
    <w:rsid w:val="002F7858"/>
    <w:rsid w:val="00585DC5"/>
    <w:rsid w:val="006152BE"/>
    <w:rsid w:val="00630156"/>
    <w:rsid w:val="00775921"/>
    <w:rsid w:val="00816354"/>
    <w:rsid w:val="00C200D1"/>
    <w:rsid w:val="00FA28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0D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69A8"/>
    <w:pPr>
      <w:keepNext/>
      <w:spacing w:before="240" w:after="60"/>
      <w:outlineLvl w:val="0"/>
    </w:pPr>
    <w:rPr>
      <w:rFonts w:ascii="Arial" w:hAnsi="Arial" w:cs="Arial"/>
      <w:b/>
      <w:bCs/>
      <w:color w:val="000000"/>
      <w:kern w:val="32"/>
      <w:sz w:val="32"/>
      <w:szCs w:val="32"/>
    </w:rPr>
  </w:style>
  <w:style w:type="paragraph" w:styleId="2">
    <w:name w:val="heading 2"/>
    <w:basedOn w:val="a"/>
    <w:next w:val="a"/>
    <w:link w:val="20"/>
    <w:qFormat/>
    <w:rsid w:val="000D69A8"/>
    <w:pPr>
      <w:keepNext/>
      <w:spacing w:before="240" w:after="60"/>
      <w:outlineLvl w:val="1"/>
    </w:pPr>
    <w:rPr>
      <w:rFonts w:ascii="Arial" w:hAnsi="Arial" w:cs="Arial"/>
      <w:b/>
      <w:bCs/>
      <w:i/>
      <w:iCs/>
      <w:sz w:val="28"/>
      <w:szCs w:val="28"/>
    </w:rPr>
  </w:style>
  <w:style w:type="paragraph" w:styleId="3">
    <w:name w:val="heading 3"/>
    <w:basedOn w:val="a"/>
    <w:next w:val="a"/>
    <w:link w:val="30"/>
    <w:qFormat/>
    <w:rsid w:val="000D69A8"/>
    <w:pPr>
      <w:keepNext/>
      <w:spacing w:before="240" w:after="60"/>
      <w:outlineLvl w:val="2"/>
    </w:pPr>
    <w:rPr>
      <w:rFonts w:ascii="Arial" w:hAnsi="Arial" w:cs="Arial"/>
      <w:b/>
      <w:bCs/>
      <w:color w:val="000000"/>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69A8"/>
    <w:rPr>
      <w:rFonts w:ascii="Arial" w:eastAsia="Times New Roman" w:hAnsi="Arial" w:cs="Arial"/>
      <w:b/>
      <w:bCs/>
      <w:color w:val="000000"/>
      <w:kern w:val="32"/>
      <w:sz w:val="32"/>
      <w:szCs w:val="32"/>
      <w:lang w:eastAsia="ru-RU"/>
    </w:rPr>
  </w:style>
  <w:style w:type="character" w:customStyle="1" w:styleId="20">
    <w:name w:val="Заголовок 2 Знак"/>
    <w:basedOn w:val="a0"/>
    <w:link w:val="2"/>
    <w:rsid w:val="000D69A8"/>
    <w:rPr>
      <w:rFonts w:ascii="Arial" w:eastAsia="Times New Roman" w:hAnsi="Arial" w:cs="Arial"/>
      <w:b/>
      <w:bCs/>
      <w:i/>
      <w:iCs/>
      <w:sz w:val="28"/>
      <w:szCs w:val="28"/>
      <w:lang w:eastAsia="ru-RU"/>
    </w:rPr>
  </w:style>
  <w:style w:type="character" w:customStyle="1" w:styleId="30">
    <w:name w:val="Заголовок 3 Знак"/>
    <w:basedOn w:val="a0"/>
    <w:link w:val="3"/>
    <w:rsid w:val="000D69A8"/>
    <w:rPr>
      <w:rFonts w:ascii="Arial" w:eastAsia="Times New Roman" w:hAnsi="Arial" w:cs="Arial"/>
      <w:b/>
      <w:bCs/>
      <w:color w:val="000000"/>
      <w:sz w:val="26"/>
      <w:szCs w:val="26"/>
      <w:lang w:eastAsia="ru-RU"/>
    </w:rPr>
  </w:style>
  <w:style w:type="paragraph" w:styleId="a3">
    <w:name w:val="List Paragraph"/>
    <w:basedOn w:val="a"/>
    <w:uiPriority w:val="34"/>
    <w:qFormat/>
    <w:rsid w:val="000D69A8"/>
    <w:pPr>
      <w:suppressAutoHyphens/>
      <w:ind w:left="720"/>
      <w:contextualSpacing/>
    </w:pPr>
    <w:rPr>
      <w:lang w:eastAsia="ar-SA"/>
    </w:rPr>
  </w:style>
  <w:style w:type="character" w:customStyle="1" w:styleId="a4">
    <w:name w:val="Обычный (веб) Знак"/>
    <w:aliases w:val="Табличный 14 Знак"/>
    <w:basedOn w:val="a0"/>
    <w:link w:val="a5"/>
    <w:uiPriority w:val="99"/>
    <w:locked/>
    <w:rsid w:val="00C200D1"/>
    <w:rPr>
      <w:rFonts w:ascii="Times New Roman" w:eastAsia="Times New Roman" w:hAnsi="Times New Roman" w:cs="Times New Roman"/>
      <w:sz w:val="24"/>
      <w:szCs w:val="24"/>
      <w:lang w:eastAsia="ru-RU"/>
    </w:rPr>
  </w:style>
  <w:style w:type="paragraph" w:styleId="a5">
    <w:name w:val="Normal (Web)"/>
    <w:aliases w:val="Табличный 14"/>
    <w:basedOn w:val="a"/>
    <w:link w:val="a4"/>
    <w:uiPriority w:val="99"/>
    <w:unhideWhenUsed/>
    <w:qFormat/>
    <w:rsid w:val="00C200D1"/>
    <w:pPr>
      <w:suppressAutoHyphens/>
      <w:ind w:left="720"/>
      <w:contextualSpacing/>
    </w:pPr>
  </w:style>
  <w:style w:type="character" w:styleId="a6">
    <w:name w:val="footnote reference"/>
    <w:basedOn w:val="a0"/>
    <w:uiPriority w:val="99"/>
    <w:semiHidden/>
    <w:unhideWhenUsed/>
    <w:rsid w:val="00C200D1"/>
    <w:rPr>
      <w:vertAlign w:val="superscript"/>
    </w:rPr>
  </w:style>
  <w:style w:type="table" w:styleId="a7">
    <w:name w:val="Table Grid"/>
    <w:basedOn w:val="a1"/>
    <w:uiPriority w:val="59"/>
    <w:rsid w:val="00C200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2F7858"/>
    <w:rPr>
      <w:rFonts w:ascii="Tahoma" w:hAnsi="Tahoma" w:cs="Tahoma"/>
      <w:sz w:val="16"/>
      <w:szCs w:val="16"/>
    </w:rPr>
  </w:style>
  <w:style w:type="character" w:customStyle="1" w:styleId="a9">
    <w:name w:val="Текст выноски Знак"/>
    <w:basedOn w:val="a0"/>
    <w:link w:val="a8"/>
    <w:uiPriority w:val="99"/>
    <w:semiHidden/>
    <w:rsid w:val="002F785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0D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69A8"/>
    <w:pPr>
      <w:keepNext/>
      <w:spacing w:before="240" w:after="60"/>
      <w:outlineLvl w:val="0"/>
    </w:pPr>
    <w:rPr>
      <w:rFonts w:ascii="Arial" w:hAnsi="Arial" w:cs="Arial"/>
      <w:b/>
      <w:bCs/>
      <w:color w:val="000000"/>
      <w:kern w:val="32"/>
      <w:sz w:val="32"/>
      <w:szCs w:val="32"/>
    </w:rPr>
  </w:style>
  <w:style w:type="paragraph" w:styleId="2">
    <w:name w:val="heading 2"/>
    <w:basedOn w:val="a"/>
    <w:next w:val="a"/>
    <w:link w:val="20"/>
    <w:qFormat/>
    <w:rsid w:val="000D69A8"/>
    <w:pPr>
      <w:keepNext/>
      <w:spacing w:before="240" w:after="60"/>
      <w:outlineLvl w:val="1"/>
    </w:pPr>
    <w:rPr>
      <w:rFonts w:ascii="Arial" w:hAnsi="Arial" w:cs="Arial"/>
      <w:b/>
      <w:bCs/>
      <w:i/>
      <w:iCs/>
      <w:sz w:val="28"/>
      <w:szCs w:val="28"/>
    </w:rPr>
  </w:style>
  <w:style w:type="paragraph" w:styleId="3">
    <w:name w:val="heading 3"/>
    <w:basedOn w:val="a"/>
    <w:next w:val="a"/>
    <w:link w:val="30"/>
    <w:qFormat/>
    <w:rsid w:val="000D69A8"/>
    <w:pPr>
      <w:keepNext/>
      <w:spacing w:before="240" w:after="60"/>
      <w:outlineLvl w:val="2"/>
    </w:pPr>
    <w:rPr>
      <w:rFonts w:ascii="Arial" w:hAnsi="Arial" w:cs="Arial"/>
      <w:b/>
      <w:bCs/>
      <w:color w:val="000000"/>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69A8"/>
    <w:rPr>
      <w:rFonts w:ascii="Arial" w:eastAsia="Times New Roman" w:hAnsi="Arial" w:cs="Arial"/>
      <w:b/>
      <w:bCs/>
      <w:color w:val="000000"/>
      <w:kern w:val="32"/>
      <w:sz w:val="32"/>
      <w:szCs w:val="32"/>
      <w:lang w:eastAsia="ru-RU"/>
    </w:rPr>
  </w:style>
  <w:style w:type="character" w:customStyle="1" w:styleId="20">
    <w:name w:val="Заголовок 2 Знак"/>
    <w:basedOn w:val="a0"/>
    <w:link w:val="2"/>
    <w:rsid w:val="000D69A8"/>
    <w:rPr>
      <w:rFonts w:ascii="Arial" w:eastAsia="Times New Roman" w:hAnsi="Arial" w:cs="Arial"/>
      <w:b/>
      <w:bCs/>
      <w:i/>
      <w:iCs/>
      <w:sz w:val="28"/>
      <w:szCs w:val="28"/>
      <w:lang w:eastAsia="ru-RU"/>
    </w:rPr>
  </w:style>
  <w:style w:type="character" w:customStyle="1" w:styleId="30">
    <w:name w:val="Заголовок 3 Знак"/>
    <w:basedOn w:val="a0"/>
    <w:link w:val="3"/>
    <w:rsid w:val="000D69A8"/>
    <w:rPr>
      <w:rFonts w:ascii="Arial" w:eastAsia="Times New Roman" w:hAnsi="Arial" w:cs="Arial"/>
      <w:b/>
      <w:bCs/>
      <w:color w:val="000000"/>
      <w:sz w:val="26"/>
      <w:szCs w:val="26"/>
      <w:lang w:eastAsia="ru-RU"/>
    </w:rPr>
  </w:style>
  <w:style w:type="paragraph" w:styleId="a3">
    <w:name w:val="List Paragraph"/>
    <w:basedOn w:val="a"/>
    <w:uiPriority w:val="34"/>
    <w:qFormat/>
    <w:rsid w:val="000D69A8"/>
    <w:pPr>
      <w:suppressAutoHyphens/>
      <w:ind w:left="720"/>
      <w:contextualSpacing/>
    </w:pPr>
    <w:rPr>
      <w:lang w:eastAsia="ar-SA"/>
    </w:rPr>
  </w:style>
  <w:style w:type="character" w:customStyle="1" w:styleId="a4">
    <w:name w:val="Обычный (веб) Знак"/>
    <w:aliases w:val="Табличный 14 Знак"/>
    <w:basedOn w:val="a0"/>
    <w:link w:val="a5"/>
    <w:uiPriority w:val="99"/>
    <w:locked/>
    <w:rsid w:val="00C200D1"/>
    <w:rPr>
      <w:rFonts w:ascii="Times New Roman" w:eastAsia="Times New Roman" w:hAnsi="Times New Roman" w:cs="Times New Roman"/>
      <w:sz w:val="24"/>
      <w:szCs w:val="24"/>
      <w:lang w:eastAsia="ru-RU"/>
    </w:rPr>
  </w:style>
  <w:style w:type="paragraph" w:styleId="a5">
    <w:name w:val="Normal (Web)"/>
    <w:aliases w:val="Табличный 14"/>
    <w:basedOn w:val="a"/>
    <w:link w:val="a4"/>
    <w:uiPriority w:val="99"/>
    <w:unhideWhenUsed/>
    <w:qFormat/>
    <w:rsid w:val="00C200D1"/>
    <w:pPr>
      <w:suppressAutoHyphens/>
      <w:ind w:left="720"/>
      <w:contextualSpacing/>
    </w:pPr>
  </w:style>
  <w:style w:type="character" w:styleId="a6">
    <w:name w:val="footnote reference"/>
    <w:basedOn w:val="a0"/>
    <w:uiPriority w:val="99"/>
    <w:semiHidden/>
    <w:unhideWhenUsed/>
    <w:rsid w:val="00C200D1"/>
    <w:rPr>
      <w:vertAlign w:val="superscript"/>
    </w:rPr>
  </w:style>
  <w:style w:type="table" w:styleId="a7">
    <w:name w:val="Table Grid"/>
    <w:basedOn w:val="a1"/>
    <w:uiPriority w:val="59"/>
    <w:rsid w:val="00C200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2F7858"/>
    <w:rPr>
      <w:rFonts w:ascii="Tahoma" w:hAnsi="Tahoma" w:cs="Tahoma"/>
      <w:sz w:val="16"/>
      <w:szCs w:val="16"/>
    </w:rPr>
  </w:style>
  <w:style w:type="character" w:customStyle="1" w:styleId="a9">
    <w:name w:val="Текст выноски Знак"/>
    <w:basedOn w:val="a0"/>
    <w:link w:val="a8"/>
    <w:uiPriority w:val="99"/>
    <w:semiHidden/>
    <w:rsid w:val="002F785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chart" Target="charts/chart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4.bin"/></Relationships>
</file>

<file path=word/charts/_rels/chart1.xml.rels><?xml version="1.0" encoding="UTF-8" standalone="yes"?>
<Relationships xmlns="http://schemas.openxmlformats.org/package/2006/relationships"><Relationship Id="rId1" Type="http://schemas.openxmlformats.org/officeDocument/2006/relationships/oleObject" Target="file:///C:\Users\mmm\Documents\&#1052;&#1054;&#1045;\&#1044;&#1080;&#1087;&#1083;&#1086;&#1084;&#1085;&#1080;&#1082;&#1080;%202019%20&#1075;\&#1043;&#1086;&#1088;&#1073;&#1072;&#1090;&#1086;&#1074;%20&#1040;.&#1042;\&#1058;&#1088;&#1086;&#1092;&#1080;&#1084;&#1086;&#1074;&#1072;%20&#1070;.&#1057;\&#1050;&#1085;&#1080;&#1075;&#1072;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mmm\Documents\&#1052;&#1054;&#1045;\&#1044;&#1080;&#1087;&#1083;&#1086;&#1084;&#1085;&#1080;&#1082;&#1080;%202019%20&#1075;\&#1043;&#1086;&#1088;&#1073;&#1072;&#1090;&#1086;&#1074;%20&#1040;.&#1042;\&#1058;&#1088;&#1086;&#1092;&#1080;&#1084;&#1086;&#1074;&#1072;%20&#1070;.&#1057;\&#1050;&#1085;&#1080;&#1075;&#1072;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0"/>
      <c:rotY val="70"/>
      <c:rAngAx val="1"/>
    </c:view3D>
    <c:floor>
      <c:thickness val="0"/>
    </c:floor>
    <c:sideWall>
      <c:thickness val="0"/>
    </c:sideWall>
    <c:backWall>
      <c:thickness val="0"/>
    </c:backWall>
    <c:plotArea>
      <c:layout/>
      <c:bar3DChart>
        <c:barDir val="col"/>
        <c:grouping val="clustered"/>
        <c:varyColors val="0"/>
        <c:ser>
          <c:idx val="0"/>
          <c:order val="0"/>
          <c:tx>
            <c:strRef>
              <c:f>Лист1!$A$32</c:f>
              <c:strCache>
                <c:ptCount val="1"/>
                <c:pt idx="0">
                  <c:v>текущая ликвидность</c:v>
                </c:pt>
              </c:strCache>
            </c:strRef>
          </c:tx>
          <c:spPr>
            <a:gradFill>
              <a:gsLst>
                <a:gs pos="0">
                  <a:srgbClr val="000000"/>
                </a:gs>
                <a:gs pos="20000">
                  <a:srgbClr val="000040"/>
                </a:gs>
                <a:gs pos="50000">
                  <a:srgbClr val="400040"/>
                </a:gs>
                <a:gs pos="75000">
                  <a:srgbClr val="8F0040"/>
                </a:gs>
                <a:gs pos="89999">
                  <a:srgbClr val="F27300"/>
                </a:gs>
                <a:gs pos="100000">
                  <a:srgbClr val="FFBF00"/>
                </a:gs>
              </a:gsLst>
              <a:lin ang="5400000" scaled="0"/>
            </a:gradFill>
          </c:spPr>
          <c:invertIfNegative val="0"/>
          <c:dLbls>
            <c:dLbl>
              <c:idx val="0"/>
              <c:layout>
                <c:manualLayout>
                  <c:x val="2.5000000000000001E-2"/>
                  <c:y val="-0.13425889472149305"/>
                </c:manualLayout>
              </c:layout>
              <c:showLegendKey val="0"/>
              <c:showVal val="1"/>
              <c:showCatName val="0"/>
              <c:showSerName val="0"/>
              <c:showPercent val="0"/>
              <c:showBubbleSize val="0"/>
            </c:dLbl>
            <c:dLbl>
              <c:idx val="1"/>
              <c:layout>
                <c:manualLayout>
                  <c:x val="5.0925337632079971E-17"/>
                  <c:y val="-5.5555555555555552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Лист1!$B$31:$D$31</c:f>
              <c:strCache>
                <c:ptCount val="3"/>
                <c:pt idx="0">
                  <c:v>2016 г. </c:v>
                </c:pt>
                <c:pt idx="1">
                  <c:v>2017 г.</c:v>
                </c:pt>
                <c:pt idx="2">
                  <c:v>2018 г.</c:v>
                </c:pt>
              </c:strCache>
            </c:strRef>
          </c:cat>
          <c:val>
            <c:numRef>
              <c:f>Лист1!$B$32:$D$32</c:f>
              <c:numCache>
                <c:formatCode>General</c:formatCode>
                <c:ptCount val="3"/>
                <c:pt idx="0">
                  <c:v>-67</c:v>
                </c:pt>
                <c:pt idx="1">
                  <c:v>-2645</c:v>
                </c:pt>
                <c:pt idx="2">
                  <c:v>-8025</c:v>
                </c:pt>
              </c:numCache>
            </c:numRef>
          </c:val>
        </c:ser>
        <c:ser>
          <c:idx val="1"/>
          <c:order val="1"/>
          <c:tx>
            <c:strRef>
              <c:f>Лист1!$A$33</c:f>
              <c:strCache>
                <c:ptCount val="1"/>
                <c:pt idx="0">
                  <c:v>перспективная ликвидность </c:v>
                </c:pt>
              </c:strCache>
            </c:strRef>
          </c:tx>
          <c:spPr>
            <a:gradFill>
              <a:gsLst>
                <a:gs pos="0">
                  <a:srgbClr val="FFF200"/>
                </a:gs>
                <a:gs pos="45000">
                  <a:srgbClr val="FF7A00"/>
                </a:gs>
                <a:gs pos="70000">
                  <a:srgbClr val="FF0300"/>
                </a:gs>
                <a:gs pos="100000">
                  <a:srgbClr val="4D0808"/>
                </a:gs>
              </a:gsLst>
              <a:lin ang="5400000" scaled="0"/>
            </a:gradFill>
          </c:spPr>
          <c:invertIfNegative val="0"/>
          <c:dLbls>
            <c:dLbl>
              <c:idx val="0"/>
              <c:layout>
                <c:manualLayout>
                  <c:x val="3.3333333333333333E-2"/>
                  <c:y val="-5.0925925925925923E-2"/>
                </c:manualLayout>
              </c:layout>
              <c:showLegendKey val="0"/>
              <c:showVal val="1"/>
              <c:showCatName val="0"/>
              <c:showSerName val="0"/>
              <c:showPercent val="0"/>
              <c:showBubbleSize val="0"/>
            </c:dLbl>
            <c:dLbl>
              <c:idx val="1"/>
              <c:layout>
                <c:manualLayout>
                  <c:x val="4.7222222222222221E-2"/>
                  <c:y val="-1.3888888888888888E-2"/>
                </c:manualLayout>
              </c:layout>
              <c:showLegendKey val="0"/>
              <c:showVal val="1"/>
              <c:showCatName val="0"/>
              <c:showSerName val="0"/>
              <c:showPercent val="0"/>
              <c:showBubbleSize val="0"/>
            </c:dLbl>
            <c:dLbl>
              <c:idx val="2"/>
              <c:layout>
                <c:manualLayout>
                  <c:x val="7.7777777777777779E-2"/>
                  <c:y val="-2.7777777777777776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Лист1!$B$31:$D$31</c:f>
              <c:strCache>
                <c:ptCount val="3"/>
                <c:pt idx="0">
                  <c:v>2016 г. </c:v>
                </c:pt>
                <c:pt idx="1">
                  <c:v>2017 г.</c:v>
                </c:pt>
                <c:pt idx="2">
                  <c:v>2018 г.</c:v>
                </c:pt>
              </c:strCache>
            </c:strRef>
          </c:cat>
          <c:val>
            <c:numRef>
              <c:f>Лист1!$B$33:$D$33</c:f>
              <c:numCache>
                <c:formatCode>General</c:formatCode>
                <c:ptCount val="3"/>
                <c:pt idx="0">
                  <c:v>1712</c:v>
                </c:pt>
                <c:pt idx="1">
                  <c:v>4467</c:v>
                </c:pt>
                <c:pt idx="2">
                  <c:v>8706</c:v>
                </c:pt>
              </c:numCache>
            </c:numRef>
          </c:val>
        </c:ser>
        <c:dLbls>
          <c:showLegendKey val="0"/>
          <c:showVal val="0"/>
          <c:showCatName val="0"/>
          <c:showSerName val="0"/>
          <c:showPercent val="0"/>
          <c:showBubbleSize val="0"/>
        </c:dLbls>
        <c:gapWidth val="150"/>
        <c:shape val="box"/>
        <c:axId val="86406656"/>
        <c:axId val="86408192"/>
        <c:axId val="0"/>
      </c:bar3DChart>
      <c:catAx>
        <c:axId val="86406656"/>
        <c:scaling>
          <c:orientation val="minMax"/>
        </c:scaling>
        <c:delete val="0"/>
        <c:axPos val="b"/>
        <c:majorTickMark val="out"/>
        <c:minorTickMark val="none"/>
        <c:tickLblPos val="nextTo"/>
        <c:spPr>
          <a:solidFill>
            <a:schemeClr val="bg1"/>
          </a:solidFill>
        </c:spPr>
        <c:txPr>
          <a:bodyPr/>
          <a:lstStyle/>
          <a:p>
            <a:pPr>
              <a:defRPr baseline="0">
                <a:solidFill>
                  <a:schemeClr val="tx1"/>
                </a:solidFill>
              </a:defRPr>
            </a:pPr>
            <a:endParaRPr lang="ru-RU"/>
          </a:p>
        </c:txPr>
        <c:crossAx val="86408192"/>
        <c:crosses val="autoZero"/>
        <c:auto val="1"/>
        <c:lblAlgn val="ctr"/>
        <c:lblOffset val="100"/>
        <c:noMultiLvlLbl val="0"/>
      </c:catAx>
      <c:valAx>
        <c:axId val="86408192"/>
        <c:scaling>
          <c:orientation val="minMax"/>
        </c:scaling>
        <c:delete val="0"/>
        <c:axPos val="l"/>
        <c:majorGridlines/>
        <c:numFmt formatCode="General" sourceLinked="1"/>
        <c:majorTickMark val="out"/>
        <c:minorTickMark val="none"/>
        <c:tickLblPos val="nextTo"/>
        <c:crossAx val="86406656"/>
        <c:crosses val="autoZero"/>
        <c:crossBetween val="between"/>
      </c:valAx>
    </c:plotArea>
    <c:legend>
      <c:legendPos val="b"/>
      <c:overlay val="0"/>
    </c:legend>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0"/>
      <c:perspective val="30"/>
    </c:view3D>
    <c:floor>
      <c:thickness val="0"/>
    </c:floor>
    <c:sideWall>
      <c:thickness val="0"/>
    </c:sideWall>
    <c:backWall>
      <c:thickness val="0"/>
    </c:backWall>
    <c:plotArea>
      <c:layout>
        <c:manualLayout>
          <c:layoutTarget val="inner"/>
          <c:xMode val="edge"/>
          <c:yMode val="edge"/>
          <c:x val="0.10865507436570429"/>
          <c:y val="3.8894325589798405E-2"/>
          <c:w val="0.82117825896762908"/>
          <c:h val="0.92221134882040323"/>
        </c:manualLayout>
      </c:layout>
      <c:area3DChart>
        <c:grouping val="standard"/>
        <c:varyColors val="0"/>
        <c:ser>
          <c:idx val="0"/>
          <c:order val="0"/>
          <c:spPr>
            <a:gradFill>
              <a:gsLst>
                <a:gs pos="0">
                  <a:srgbClr val="FBE4AE"/>
                </a:gs>
                <a:gs pos="13000">
                  <a:srgbClr val="BD922A"/>
                </a:gs>
                <a:gs pos="21001">
                  <a:srgbClr val="BD922A"/>
                </a:gs>
                <a:gs pos="63000">
                  <a:srgbClr val="FBE4AE"/>
                </a:gs>
                <a:gs pos="67000">
                  <a:srgbClr val="BD922A"/>
                </a:gs>
                <a:gs pos="69000">
                  <a:srgbClr val="835E17"/>
                </a:gs>
                <a:gs pos="82001">
                  <a:srgbClr val="A28949"/>
                </a:gs>
                <a:gs pos="100000">
                  <a:srgbClr val="FAE3B7"/>
                </a:gs>
              </a:gsLst>
              <a:lin ang="5400000" scaled="0"/>
            </a:gradFill>
          </c:spPr>
          <c:dLbls>
            <c:dLbl>
              <c:idx val="0"/>
              <c:layout>
                <c:manualLayout>
                  <c:x val="-2.2222222222222223E-2"/>
                  <c:y val="-6.4814814814814811E-2"/>
                </c:manualLayout>
              </c:layout>
              <c:showLegendKey val="0"/>
              <c:showVal val="1"/>
              <c:showCatName val="0"/>
              <c:showSerName val="0"/>
              <c:showPercent val="0"/>
              <c:showBubbleSize val="0"/>
            </c:dLbl>
            <c:dLbl>
              <c:idx val="1"/>
              <c:layout>
                <c:manualLayout>
                  <c:x val="7.7777777777777876E-2"/>
                  <c:y val="0.16203703703703703"/>
                </c:manualLayout>
              </c:layout>
              <c:showLegendKey val="0"/>
              <c:showVal val="1"/>
              <c:showCatName val="0"/>
              <c:showSerName val="0"/>
              <c:showPercent val="0"/>
              <c:showBubbleSize val="0"/>
            </c:dLbl>
            <c:spPr>
              <a:solidFill>
                <a:schemeClr val="bg1"/>
              </a:solidFill>
            </c:spPr>
            <c:showLegendKey val="0"/>
            <c:showVal val="1"/>
            <c:showCatName val="0"/>
            <c:showSerName val="0"/>
            <c:showPercent val="0"/>
            <c:showBubbleSize val="0"/>
            <c:showLeaderLines val="0"/>
          </c:dLbls>
          <c:cat>
            <c:strRef>
              <c:f>Лист1!$B$49:$C$49</c:f>
              <c:strCache>
                <c:ptCount val="2"/>
                <c:pt idx="0">
                  <c:v>2017 г.</c:v>
                </c:pt>
                <c:pt idx="1">
                  <c:v>2018 г.</c:v>
                </c:pt>
              </c:strCache>
            </c:strRef>
          </c:cat>
          <c:val>
            <c:numRef>
              <c:f>Лист1!$B$50:$C$50</c:f>
              <c:numCache>
                <c:formatCode>General</c:formatCode>
                <c:ptCount val="2"/>
                <c:pt idx="0">
                  <c:v>-47</c:v>
                </c:pt>
                <c:pt idx="1">
                  <c:v>-1000</c:v>
                </c:pt>
              </c:numCache>
            </c:numRef>
          </c:val>
        </c:ser>
        <c:dLbls>
          <c:showLegendKey val="0"/>
          <c:showVal val="0"/>
          <c:showCatName val="0"/>
          <c:showSerName val="0"/>
          <c:showPercent val="0"/>
          <c:showBubbleSize val="0"/>
        </c:dLbls>
        <c:axId val="86453632"/>
        <c:axId val="86463616"/>
        <c:axId val="185539648"/>
      </c:area3DChart>
      <c:catAx>
        <c:axId val="86453632"/>
        <c:scaling>
          <c:orientation val="minMax"/>
        </c:scaling>
        <c:delete val="0"/>
        <c:axPos val="b"/>
        <c:majorTickMark val="out"/>
        <c:minorTickMark val="none"/>
        <c:tickLblPos val="nextTo"/>
        <c:crossAx val="86463616"/>
        <c:crosses val="autoZero"/>
        <c:auto val="1"/>
        <c:lblAlgn val="ctr"/>
        <c:lblOffset val="100"/>
        <c:noMultiLvlLbl val="0"/>
      </c:catAx>
      <c:valAx>
        <c:axId val="86463616"/>
        <c:scaling>
          <c:orientation val="minMax"/>
        </c:scaling>
        <c:delete val="0"/>
        <c:axPos val="l"/>
        <c:majorGridlines/>
        <c:numFmt formatCode="General" sourceLinked="1"/>
        <c:majorTickMark val="out"/>
        <c:minorTickMark val="none"/>
        <c:tickLblPos val="nextTo"/>
        <c:crossAx val="86453632"/>
        <c:crosses val="autoZero"/>
        <c:crossBetween val="midCat"/>
      </c:valAx>
      <c:serAx>
        <c:axId val="185539648"/>
        <c:scaling>
          <c:orientation val="minMax"/>
        </c:scaling>
        <c:delete val="1"/>
        <c:axPos val="b"/>
        <c:majorTickMark val="out"/>
        <c:minorTickMark val="none"/>
        <c:tickLblPos val="nextTo"/>
        <c:crossAx val="86463616"/>
        <c:crosses val="autoZero"/>
      </c:serAx>
      <c:spPr>
        <a:noFill/>
        <a:ln>
          <a:noFill/>
        </a:ln>
      </c:spPr>
    </c:plotArea>
    <c:plotVisOnly val="1"/>
    <c:dispBlanksAs val="zero"/>
    <c:showDLblsOverMax val="0"/>
  </c:chart>
  <c:spPr>
    <a:ln>
      <a:noFill/>
    </a:ln>
  </c:sp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94738-329E-451E-AE45-E8C89EC8A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2385</Words>
  <Characters>13597</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15951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mmm</dc:creator>
  <cp:lastModifiedBy>mmm</cp:lastModifiedBy>
  <cp:revision>3</cp:revision>
  <dcterms:created xsi:type="dcterms:W3CDTF">2019-05-23T17:46:00Z</dcterms:created>
  <dcterms:modified xsi:type="dcterms:W3CDTF">2019-05-23T17:50:00Z</dcterms:modified>
</cp:coreProperties>
</file>