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1E9" w:rsidRPr="00AC19BF" w:rsidRDefault="0092522E" w:rsidP="006A4785">
      <w:pPr>
        <w:pStyle w:val="a3"/>
        <w:jc w:val="center"/>
        <w:rPr>
          <w:sz w:val="24"/>
        </w:rPr>
      </w:pPr>
      <w:r>
        <w:rPr>
          <w:sz w:val="24"/>
        </w:rPr>
        <w:t xml:space="preserve"> </w:t>
      </w:r>
      <w:r w:rsidR="006A4785">
        <w:rPr>
          <w:sz w:val="24"/>
        </w:rPr>
        <w:t>«</w:t>
      </w:r>
      <w:r w:rsidR="007E7E40" w:rsidRPr="007E7E40">
        <w:rPr>
          <w:sz w:val="24"/>
        </w:rPr>
        <w:t>Результаты реализации геолого-технических мероприятий Медвежьего месторождения</w:t>
      </w:r>
      <w:r w:rsidR="006A4785">
        <w:rPr>
          <w:sz w:val="24"/>
        </w:rPr>
        <w:t>»</w:t>
      </w:r>
    </w:p>
    <w:p w:rsidR="008811E9" w:rsidRPr="00AC19BF" w:rsidRDefault="008811E9" w:rsidP="008811E9">
      <w:pPr>
        <w:pStyle w:val="a3"/>
        <w:spacing w:line="360" w:lineRule="auto"/>
        <w:rPr>
          <w:sz w:val="24"/>
        </w:rPr>
      </w:pPr>
    </w:p>
    <w:p w:rsidR="008811E9" w:rsidRPr="00AC19BF" w:rsidRDefault="008811E9" w:rsidP="008811E9">
      <w:pPr>
        <w:pStyle w:val="a3"/>
        <w:spacing w:line="360" w:lineRule="auto"/>
        <w:rPr>
          <w:sz w:val="24"/>
        </w:rPr>
      </w:pPr>
      <w:r w:rsidRPr="00AC19BF">
        <w:rPr>
          <w:sz w:val="24"/>
        </w:rPr>
        <w:t xml:space="preserve">Валеев К.К. </w:t>
      </w:r>
    </w:p>
    <w:p w:rsidR="008811E9" w:rsidRPr="00AC19BF" w:rsidRDefault="008811E9" w:rsidP="008811E9">
      <w:pPr>
        <w:rPr>
          <w:i/>
        </w:rPr>
      </w:pPr>
      <w:r w:rsidRPr="00AC19BF">
        <w:rPr>
          <w:i/>
        </w:rPr>
        <w:t xml:space="preserve">ФГБОУ ВО «Тюменский индустриальный университет», Тюмень, Россия (625000,     Тюмень, ул. Володарского, 38), e-mail: </w:t>
      </w:r>
      <w:hyperlink r:id="rId7" w:history="1">
        <w:r w:rsidRPr="00AC19BF">
          <w:rPr>
            <w:rStyle w:val="aa"/>
            <w:i/>
            <w:lang w:val="en-US"/>
          </w:rPr>
          <w:t>kamillius</w:t>
        </w:r>
        <w:r w:rsidRPr="00AC19BF">
          <w:rPr>
            <w:rStyle w:val="aa"/>
            <w:i/>
          </w:rPr>
          <w:t>@</w:t>
        </w:r>
        <w:r w:rsidRPr="00AC19BF">
          <w:rPr>
            <w:rStyle w:val="aa"/>
            <w:i/>
            <w:lang w:val="en-US"/>
          </w:rPr>
          <w:t>ya</w:t>
        </w:r>
        <w:r w:rsidRPr="00AC19BF">
          <w:rPr>
            <w:rStyle w:val="aa"/>
            <w:i/>
          </w:rPr>
          <w:t>.ru</w:t>
        </w:r>
      </w:hyperlink>
    </w:p>
    <w:p w:rsidR="008811E9" w:rsidRPr="00AC19BF" w:rsidRDefault="008811E9" w:rsidP="008811E9">
      <w:pPr>
        <w:rPr>
          <w:i/>
        </w:rPr>
      </w:pPr>
    </w:p>
    <w:p w:rsidR="008811E9" w:rsidRDefault="008811E9" w:rsidP="008811E9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color w:val="000000"/>
        </w:rPr>
      </w:pPr>
      <w:r w:rsidRPr="00AC19BF">
        <w:rPr>
          <w:bCs/>
          <w:color w:val="000000"/>
        </w:rPr>
        <w:t>Ключевые слова: гидродинамические исследования,</w:t>
      </w:r>
      <w:r w:rsidR="005E0810" w:rsidRPr="00AC19BF">
        <w:rPr>
          <w:bCs/>
          <w:color w:val="000000"/>
        </w:rPr>
        <w:t xml:space="preserve"> М</w:t>
      </w:r>
      <w:r w:rsidRPr="00AC19BF">
        <w:rPr>
          <w:bCs/>
          <w:color w:val="000000"/>
        </w:rPr>
        <w:t xml:space="preserve">едвежье месторождение, </w:t>
      </w:r>
      <w:r w:rsidR="00AC19BF" w:rsidRPr="00AC19BF">
        <w:rPr>
          <w:bCs/>
          <w:color w:val="000000"/>
        </w:rPr>
        <w:t xml:space="preserve">            </w:t>
      </w:r>
      <w:r w:rsidRPr="00AC19BF">
        <w:rPr>
          <w:bCs/>
          <w:color w:val="000000"/>
        </w:rPr>
        <w:t>контроль над разработкой</w:t>
      </w:r>
      <w:r w:rsidR="00342DC6" w:rsidRPr="00AC19BF">
        <w:rPr>
          <w:bCs/>
          <w:color w:val="000000"/>
        </w:rPr>
        <w:t xml:space="preserve">, </w:t>
      </w:r>
      <w:r w:rsidR="00896EEA">
        <w:rPr>
          <w:bCs/>
          <w:color w:val="000000"/>
        </w:rPr>
        <w:t>газоводяной контакт</w:t>
      </w:r>
      <w:r w:rsidR="00342DC6" w:rsidRPr="00AC19BF">
        <w:rPr>
          <w:bCs/>
          <w:color w:val="000000"/>
        </w:rPr>
        <w:t xml:space="preserve">, </w:t>
      </w:r>
      <w:r w:rsidR="0097294A">
        <w:rPr>
          <w:bCs/>
          <w:color w:val="000000"/>
        </w:rPr>
        <w:t xml:space="preserve">план по добыче. </w:t>
      </w:r>
    </w:p>
    <w:p w:rsidR="00757DDE" w:rsidRDefault="00757DDE" w:rsidP="008811E9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color w:val="000000"/>
        </w:rPr>
      </w:pPr>
    </w:p>
    <w:p w:rsidR="00B67C3B" w:rsidRPr="00B67C3B" w:rsidRDefault="00B67C3B" w:rsidP="00B67C3B">
      <w:pPr>
        <w:pStyle w:val="af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7C3B">
        <w:rPr>
          <w:rFonts w:ascii="Times New Roman" w:hAnsi="Times New Roman" w:cs="Times New Roman"/>
          <w:b/>
          <w:sz w:val="28"/>
          <w:szCs w:val="28"/>
          <w:lang w:val="en"/>
        </w:rPr>
        <w:t>The results of the implementation of geological and technical measures of the Bear field</w:t>
      </w:r>
    </w:p>
    <w:p w:rsidR="00757DDE" w:rsidRPr="00AC19BF" w:rsidRDefault="00757DDE" w:rsidP="00757DDE">
      <w:pPr>
        <w:rPr>
          <w:b/>
          <w:color w:val="333333"/>
          <w:shd w:val="clear" w:color="auto" w:fill="FFFFFF"/>
          <w:lang w:val="en-US"/>
        </w:rPr>
      </w:pPr>
    </w:p>
    <w:p w:rsidR="00757DDE" w:rsidRPr="00AC19BF" w:rsidRDefault="00757DDE" w:rsidP="00757DDE">
      <w:pPr>
        <w:rPr>
          <w:b/>
          <w:color w:val="333333"/>
          <w:shd w:val="clear" w:color="auto" w:fill="FFFFFF"/>
          <w:lang w:val="en-US"/>
        </w:rPr>
      </w:pPr>
      <w:r w:rsidRPr="00AC19BF">
        <w:rPr>
          <w:b/>
          <w:color w:val="333333"/>
          <w:shd w:val="clear" w:color="auto" w:fill="FFFFFF"/>
          <w:lang w:val="en-US"/>
        </w:rPr>
        <w:t>VALEEV K.K.</w:t>
      </w:r>
    </w:p>
    <w:p w:rsidR="00757DDE" w:rsidRPr="00AC19BF" w:rsidRDefault="00757DDE" w:rsidP="00757DDE">
      <w:pPr>
        <w:rPr>
          <w:rFonts w:ascii="Arial" w:hAnsi="Arial" w:cs="Arial"/>
          <w:color w:val="333333"/>
          <w:shd w:val="clear" w:color="auto" w:fill="FFFFFF"/>
          <w:lang w:val="en-US"/>
        </w:rPr>
      </w:pPr>
    </w:p>
    <w:p w:rsidR="00757DDE" w:rsidRPr="00AC19BF" w:rsidRDefault="00757DDE" w:rsidP="00757DDE">
      <w:pPr>
        <w:rPr>
          <w:b/>
          <w:lang w:val="en-US"/>
        </w:rPr>
      </w:pPr>
      <w:r w:rsidRPr="00AC19BF">
        <w:rPr>
          <w:i/>
          <w:lang w:val="en-US"/>
        </w:rPr>
        <w:t>Federal Budget Educational Institution of Higher Education “Industrial University of        Tyumen”, Tyumen, Russia (625000 Russia, Tyumen, street Volodarskogo, 38), e-mail:               kamillius@ya.ru</w:t>
      </w:r>
    </w:p>
    <w:p w:rsidR="00757DDE" w:rsidRPr="00AC19BF" w:rsidRDefault="00757DDE" w:rsidP="00757DDE">
      <w:pPr>
        <w:rPr>
          <w:lang w:val="en-US"/>
        </w:rPr>
      </w:pPr>
    </w:p>
    <w:p w:rsidR="00757DDE" w:rsidRPr="00AC19BF" w:rsidRDefault="00757DDE" w:rsidP="00757DDE">
      <w:pPr>
        <w:pStyle w:val="a3"/>
        <w:rPr>
          <w:b w:val="0"/>
          <w:sz w:val="24"/>
          <w:lang w:val="en-US"/>
        </w:rPr>
      </w:pPr>
      <w:r w:rsidRPr="00AC19BF">
        <w:rPr>
          <w:b w:val="0"/>
          <w:bCs w:val="0"/>
          <w:color w:val="000000"/>
          <w:sz w:val="24"/>
          <w:lang w:val="en-US"/>
        </w:rPr>
        <w:t xml:space="preserve">Keywords: hydrodynamic studies, Bear deposit, control over development, water pressure </w:t>
      </w:r>
      <w:r>
        <w:rPr>
          <w:b w:val="0"/>
          <w:bCs w:val="0"/>
          <w:color w:val="000000"/>
          <w:sz w:val="24"/>
          <w:lang w:val="en-US"/>
        </w:rPr>
        <w:t xml:space="preserve">    </w:t>
      </w:r>
      <w:r w:rsidRPr="00AC19BF">
        <w:rPr>
          <w:b w:val="0"/>
          <w:bCs w:val="0"/>
          <w:color w:val="000000"/>
          <w:sz w:val="24"/>
          <w:lang w:val="en-US"/>
        </w:rPr>
        <w:t>regime,</w:t>
      </w:r>
      <w:r>
        <w:rPr>
          <w:b w:val="0"/>
          <w:bCs w:val="0"/>
          <w:color w:val="000000"/>
          <w:sz w:val="24"/>
          <w:lang w:val="en-US"/>
        </w:rPr>
        <w:t xml:space="preserve"> </w:t>
      </w:r>
      <w:r w:rsidRPr="00AC19BF">
        <w:rPr>
          <w:b w:val="0"/>
          <w:bCs w:val="0"/>
          <w:color w:val="000000"/>
          <w:sz w:val="24"/>
          <w:lang w:val="en-US"/>
        </w:rPr>
        <w:t>hydrochemical control</w:t>
      </w:r>
    </w:p>
    <w:p w:rsidR="00757DDE" w:rsidRPr="00757DDE" w:rsidRDefault="00757DDE" w:rsidP="008811E9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color w:val="000000"/>
          <w:lang w:val="en-US"/>
        </w:rPr>
      </w:pPr>
    </w:p>
    <w:p w:rsidR="007F5F0D" w:rsidRPr="007F5F0D" w:rsidRDefault="00BC6D56" w:rsidP="007F5F0D">
      <w:pPr>
        <w:jc w:val="both"/>
        <w:rPr>
          <w:sz w:val="28"/>
          <w:szCs w:val="28"/>
        </w:rPr>
      </w:pPr>
      <w:r w:rsidRPr="007F5F0D">
        <w:rPr>
          <w:sz w:val="28"/>
          <w:szCs w:val="28"/>
          <w:shd w:val="clear" w:color="auto" w:fill="FFFFFF"/>
        </w:rPr>
        <w:t xml:space="preserve">Объектом </w:t>
      </w:r>
      <w:r w:rsidR="007F5F0D" w:rsidRPr="007F5F0D">
        <w:rPr>
          <w:sz w:val="28"/>
          <w:szCs w:val="28"/>
          <w:shd w:val="clear" w:color="auto" w:fill="FFFFFF"/>
        </w:rPr>
        <w:t xml:space="preserve">данной статьи </w:t>
      </w:r>
      <w:r w:rsidRPr="007F5F0D">
        <w:rPr>
          <w:sz w:val="28"/>
          <w:szCs w:val="28"/>
          <w:shd w:val="clear" w:color="auto" w:fill="FFFFFF"/>
        </w:rPr>
        <w:t>является газовое месторождение Медвежье</w:t>
      </w:r>
      <w:r w:rsidR="007F5F0D" w:rsidRPr="007F5F0D">
        <w:rPr>
          <w:sz w:val="28"/>
          <w:szCs w:val="28"/>
          <w:shd w:val="clear" w:color="auto" w:fill="FFFFFF"/>
        </w:rPr>
        <w:t xml:space="preserve"> - </w:t>
      </w:r>
      <w:r w:rsidR="007F5F0D" w:rsidRPr="007F5F0D">
        <w:rPr>
          <w:sz w:val="28"/>
          <w:szCs w:val="28"/>
          <w:shd w:val="clear" w:color="auto" w:fill="FFFFFF"/>
        </w:rPr>
        <w:t>уникальное по запасам </w:t>
      </w:r>
      <w:r w:rsidR="007F5F0D" w:rsidRPr="007F5F0D">
        <w:rPr>
          <w:sz w:val="28"/>
          <w:szCs w:val="28"/>
          <w:shd w:val="clear" w:color="auto" w:fill="FFFFFF"/>
        </w:rPr>
        <w:t>газа</w:t>
      </w:r>
      <w:r w:rsidR="007F5F0D" w:rsidRPr="007F5F0D">
        <w:rPr>
          <w:sz w:val="28"/>
          <w:szCs w:val="28"/>
          <w:shd w:val="clear" w:color="auto" w:fill="FFFFFF"/>
        </w:rPr>
        <w:t>, расположено в </w:t>
      </w:r>
      <w:r w:rsidR="007F5F0D" w:rsidRPr="007F5F0D">
        <w:rPr>
          <w:sz w:val="28"/>
          <w:szCs w:val="28"/>
          <w:shd w:val="clear" w:color="auto" w:fill="FFFFFF"/>
        </w:rPr>
        <w:t>Ямало-Ненецком автономном округе</w:t>
      </w:r>
      <w:r w:rsidR="007F5F0D" w:rsidRPr="007F5F0D">
        <w:rPr>
          <w:sz w:val="28"/>
          <w:szCs w:val="28"/>
          <w:shd w:val="clear" w:color="auto" w:fill="FFFFFF"/>
        </w:rPr>
        <w:t>, в 50 км к юго-востоку от пос. </w:t>
      </w:r>
      <w:r w:rsidR="007F5F0D" w:rsidRPr="007F5F0D">
        <w:rPr>
          <w:sz w:val="28"/>
          <w:szCs w:val="28"/>
          <w:shd w:val="clear" w:color="auto" w:fill="FFFFFF"/>
        </w:rPr>
        <w:t>Ныда</w:t>
      </w:r>
      <w:r w:rsidR="007F5F0D" w:rsidRPr="007F5F0D">
        <w:rPr>
          <w:sz w:val="28"/>
          <w:szCs w:val="28"/>
          <w:shd w:val="clear" w:color="auto" w:fill="FFFFFF"/>
        </w:rPr>
        <w:t>.</w:t>
      </w:r>
      <w:r w:rsidR="007F5F0D" w:rsidRPr="007F5F0D">
        <w:t> </w:t>
      </w:r>
      <w:r w:rsidR="007F5F0D" w:rsidRPr="007F5F0D">
        <w:rPr>
          <w:sz w:val="28"/>
          <w:szCs w:val="28"/>
          <w:shd w:val="clear" w:color="auto" w:fill="FFFFFF"/>
        </w:rPr>
        <w:t>П</w:t>
      </w:r>
      <w:r w:rsidR="007F5F0D" w:rsidRPr="007F5F0D">
        <w:rPr>
          <w:sz w:val="28"/>
          <w:szCs w:val="28"/>
          <w:shd w:val="clear" w:color="auto" w:fill="FFFFFF"/>
        </w:rPr>
        <w:t xml:space="preserve">роведен анализ разработки </w:t>
      </w:r>
      <w:r w:rsidR="007F5F0D">
        <w:rPr>
          <w:sz w:val="28"/>
          <w:szCs w:val="28"/>
          <w:shd w:val="clear" w:color="auto" w:fill="FFFFFF"/>
        </w:rPr>
        <w:t>данного</w:t>
      </w:r>
      <w:r w:rsidR="007F5F0D" w:rsidRPr="007F5F0D">
        <w:rPr>
          <w:sz w:val="28"/>
          <w:szCs w:val="28"/>
          <w:shd w:val="clear" w:color="auto" w:fill="FFFFFF"/>
        </w:rPr>
        <w:t xml:space="preserve"> месторождения, предложены варианты </w:t>
      </w:r>
      <w:r w:rsidR="007F5F0D">
        <w:rPr>
          <w:sz w:val="28"/>
          <w:szCs w:val="28"/>
          <w:shd w:val="clear" w:color="auto" w:fill="FFFFFF"/>
        </w:rPr>
        <w:t xml:space="preserve">дальнейшей разработки </w:t>
      </w:r>
      <w:r w:rsidR="007F5F0D" w:rsidRPr="007F5F0D">
        <w:rPr>
          <w:sz w:val="28"/>
          <w:szCs w:val="28"/>
          <w:shd w:val="clear" w:color="auto" w:fill="FFFFFF"/>
        </w:rPr>
        <w:t xml:space="preserve"> и выбран </w:t>
      </w:r>
      <w:r w:rsidR="007F5F0D">
        <w:rPr>
          <w:sz w:val="28"/>
          <w:szCs w:val="28"/>
          <w:shd w:val="clear" w:color="auto" w:fill="FFFFFF"/>
        </w:rPr>
        <w:t>экономически эффективный</w:t>
      </w:r>
      <w:r w:rsidR="007F5F0D" w:rsidRPr="007F5F0D">
        <w:rPr>
          <w:sz w:val="28"/>
          <w:szCs w:val="28"/>
          <w:shd w:val="clear" w:color="auto" w:fill="FFFFFF"/>
        </w:rPr>
        <w:t xml:space="preserve">, обеспечивающий более длительную эксплуатацию месторождения, получение наибольшей прибыли и </w:t>
      </w:r>
      <w:r w:rsidR="008E00DD">
        <w:rPr>
          <w:sz w:val="28"/>
          <w:szCs w:val="28"/>
          <w:shd w:val="clear" w:color="auto" w:fill="FFFFFF"/>
        </w:rPr>
        <w:t xml:space="preserve">дальнейшей эксплуатации, </w:t>
      </w:r>
      <w:r w:rsidR="007F5F0D" w:rsidRPr="007F5F0D">
        <w:rPr>
          <w:sz w:val="28"/>
          <w:szCs w:val="28"/>
          <w:shd w:val="clear" w:color="auto" w:fill="FFFFFF"/>
        </w:rPr>
        <w:t xml:space="preserve">положившей начало газовой промышленности в нашей стране. </w:t>
      </w:r>
    </w:p>
    <w:p w:rsidR="007F5F0D" w:rsidRDefault="007F5F0D" w:rsidP="007F5F0D"/>
    <w:p w:rsidR="00AC19BF" w:rsidRPr="00BC6D56" w:rsidRDefault="00AC19BF">
      <w:pPr>
        <w:pStyle w:val="31"/>
        <w:jc w:val="both"/>
        <w:rPr>
          <w:sz w:val="24"/>
        </w:rPr>
      </w:pPr>
    </w:p>
    <w:p w:rsidR="006A4785" w:rsidRDefault="003F4565" w:rsidP="006A4785">
      <w:pPr>
        <w:spacing w:line="360" w:lineRule="auto"/>
        <w:rPr>
          <w:b/>
          <w:szCs w:val="28"/>
          <w:lang w:bidi="ru-RU"/>
        </w:rPr>
      </w:pPr>
      <w:r w:rsidRPr="00CA7742">
        <w:rPr>
          <w:b/>
          <w:szCs w:val="28"/>
          <w:lang w:bidi="ru-RU"/>
        </w:rPr>
        <w:t>Основные этапы проектирования разработки месторождения</w:t>
      </w:r>
    </w:p>
    <w:p w:rsidR="003F4565" w:rsidRDefault="003F4565" w:rsidP="003F4565">
      <w:pPr>
        <w:spacing w:line="360" w:lineRule="auto"/>
        <w:jc w:val="both"/>
      </w:pPr>
      <w:r>
        <w:rPr>
          <w:b/>
          <w:szCs w:val="28"/>
          <w:lang w:bidi="ru-RU"/>
        </w:rPr>
        <w:tab/>
      </w:r>
      <w:r w:rsidRPr="005D1DCB">
        <w:t>Промышленная эксплуатация сеноманской газовой залежи Медвежьего месторождения началась в апреле 1972 г. с вводом в эксплуатацию УКПГ-2. В период с 1973 по 1979 гг. были запущены в работу еще восемь УКПГ. С октября 1977 г. месторождение было выведено на проектный уровень годовых отборов газа 65 млрд. м</w:t>
      </w:r>
      <w:r w:rsidRPr="005D1DCB">
        <w:rPr>
          <w:vertAlign w:val="superscript"/>
        </w:rPr>
        <w:t>3</w:t>
      </w:r>
      <w:r w:rsidRPr="005D1DCB">
        <w:t>, в соответствии с решениями проекта разработки, выполненного в 1971 г.  За период с 1971 по 2012 гг. было выполнено 11 проектных документов по разработке сеноманской газовой залежи</w:t>
      </w:r>
      <w:r>
        <w:t xml:space="preserve">. </w:t>
      </w:r>
      <w:r w:rsidRPr="00AC19BF">
        <w:t>[1]</w:t>
      </w:r>
      <w:r>
        <w:t>.</w:t>
      </w:r>
    </w:p>
    <w:p w:rsidR="003F4565" w:rsidRPr="005D1DCB" w:rsidRDefault="003F4565" w:rsidP="003F4565">
      <w:pPr>
        <w:spacing w:line="355" w:lineRule="auto"/>
        <w:ind w:firstLine="851"/>
        <w:jc w:val="both"/>
      </w:pPr>
      <w:r w:rsidRPr="005D1DCB">
        <w:t xml:space="preserve">Анализ текущего состояния разработки за период 1972 - 1978 гг., позволил пересмотреть добывные возможности сеноманской залежи в сторону увеличения. В соответствии с решением ЦКР Мингазпрома № 30/79, с целью реализации мероприятий по совершенствованию разработки и повышению надежности эксплуатации </w:t>
      </w:r>
      <w:r w:rsidRPr="005D1DCB">
        <w:lastRenderedPageBreak/>
        <w:t>месторождения, было предусмотрено перераспределение объемов годовой добычи между южной (УКПГ-1-4) и центральной (УКПГ-5-8) зонами, бурение 30 дополнительных скважин на УКПГ-1–4 для вовлечения в активное дренирование периферийных зон и увеличения годовой добычи до 70 млрд. м</w:t>
      </w:r>
      <w:r w:rsidRPr="005D1DCB">
        <w:rPr>
          <w:vertAlign w:val="superscript"/>
        </w:rPr>
        <w:t>3</w:t>
      </w:r>
      <w:r w:rsidRPr="005D1DCB">
        <w:t xml:space="preserve"> в период 1979 – 1980 гг.</w:t>
      </w:r>
    </w:p>
    <w:p w:rsidR="003F4565" w:rsidRPr="005D1DCB" w:rsidRDefault="003F4565" w:rsidP="003F4565">
      <w:pPr>
        <w:spacing w:line="355" w:lineRule="auto"/>
        <w:ind w:firstLine="851"/>
        <w:jc w:val="both"/>
      </w:pPr>
      <w:r w:rsidRPr="005D1DCB">
        <w:t>В 1981 г. ООО «ТюменНИИгипрогаз» были выполнены «Коррективы к проекту разработки Медвежьего месторождения на годовой отбор 72 млрд. м</w:t>
      </w:r>
      <w:r w:rsidRPr="005D1DCB">
        <w:rPr>
          <w:vertAlign w:val="superscript"/>
        </w:rPr>
        <w:t>3</w:t>
      </w:r>
      <w:r w:rsidRPr="005D1DCB">
        <w:t xml:space="preserve"> газа в 1981 - 1985 гг.», в рамках которых обосновано увеличение годового отбора на 2 млрд. м</w:t>
      </w:r>
      <w:r w:rsidRPr="005D1DCB">
        <w:rPr>
          <w:vertAlign w:val="superscript"/>
        </w:rPr>
        <w:t>3</w:t>
      </w:r>
      <w:r w:rsidRPr="005D1DCB">
        <w:t xml:space="preserve"> и бурение 12 дополнительных эксплуатационных скважин на УКПГ-9.</w:t>
      </w:r>
    </w:p>
    <w:p w:rsidR="003F4565" w:rsidRDefault="003F4565" w:rsidP="003F4565">
      <w:pPr>
        <w:spacing w:line="355" w:lineRule="auto"/>
        <w:ind w:firstLine="851"/>
        <w:jc w:val="both"/>
      </w:pPr>
      <w:r w:rsidRPr="005D1DCB">
        <w:t>В 1985 г. на основе выполненного ООО «ТюменНИИгипрогаз" анализа разработки сеноманской газовой залежи Медвежьего месторождения и предложений по увеличению коэффициента газоотдачи рабочей комиссией по разработке газовых, газоконденсатных, нефтяных месторождений и эксплуатации ПХГ Мингазпрома принят уровень годовой добычи в объеме 72 млрд. м</w:t>
      </w:r>
      <w:r w:rsidRPr="005D1DCB">
        <w:rPr>
          <w:vertAlign w:val="superscript"/>
        </w:rPr>
        <w:t>3</w:t>
      </w:r>
      <w:r w:rsidRPr="005D1DCB">
        <w:t xml:space="preserve"> до 1990 г. с бурением 55 дополнительных эксплуатационных скважин.</w:t>
      </w:r>
    </w:p>
    <w:p w:rsidR="00A81B51" w:rsidRDefault="003F4565" w:rsidP="00A81B51">
      <w:pPr>
        <w:spacing w:line="355" w:lineRule="auto"/>
        <w:ind w:firstLine="851"/>
        <w:jc w:val="both"/>
        <w:rPr>
          <w:color w:val="000000"/>
        </w:rPr>
      </w:pPr>
      <w:r>
        <w:t xml:space="preserve">Не мало важно отметить, что </w:t>
      </w:r>
      <w:r w:rsidRPr="00A81B51">
        <w:t xml:space="preserve">реконструкция промыслов позволит решить проблему технических ограничений и разрабатывать залежь до конца 2030 г., к этому времени </w:t>
      </w:r>
      <w:r w:rsidRPr="00A81B51">
        <w:rPr>
          <w:color w:val="000000"/>
        </w:rPr>
        <w:t>из залежи будет отобрано 1992,24</w:t>
      </w:r>
      <w:r w:rsidRPr="00A81B51">
        <w:rPr>
          <w:lang w:val="en-US"/>
        </w:rPr>
        <w:t> </w:t>
      </w:r>
      <w:r w:rsidRPr="00A81B51">
        <w:t>млрд</w:t>
      </w:r>
      <w:r w:rsidRPr="00A81B51">
        <w:rPr>
          <w:color w:val="000000"/>
        </w:rPr>
        <w:t>. м</w:t>
      </w:r>
      <w:r w:rsidRPr="00A81B51">
        <w:rPr>
          <w:color w:val="000000"/>
          <w:vertAlign w:val="superscript"/>
        </w:rPr>
        <w:t>3</w:t>
      </w:r>
      <w:r w:rsidRPr="00A81B51">
        <w:rPr>
          <w:color w:val="000000"/>
        </w:rPr>
        <w:t xml:space="preserve"> газа или 84,9 % от утвержденн</w:t>
      </w:r>
      <w:r w:rsidR="005E454D">
        <w:rPr>
          <w:color w:val="000000"/>
        </w:rPr>
        <w:t xml:space="preserve">ых начальных запасов газа </w:t>
      </w:r>
      <w:r w:rsidR="005E454D">
        <w:t>[4</w:t>
      </w:r>
      <w:r w:rsidR="005E454D" w:rsidRPr="00AC19BF">
        <w:t>]</w:t>
      </w:r>
      <w:r w:rsidR="005E454D">
        <w:t>.</w:t>
      </w:r>
    </w:p>
    <w:p w:rsidR="00A81B51" w:rsidRPr="00A81B51" w:rsidRDefault="00A81B51" w:rsidP="00A81B51">
      <w:pPr>
        <w:pStyle w:val="3"/>
        <w:spacing w:line="355" w:lineRule="auto"/>
        <w:rPr>
          <w:rFonts w:ascii="Times New Roman" w:hAnsi="Times New Roman" w:cs="Times New Roman"/>
          <w:b/>
          <w:bCs/>
          <w:color w:val="auto"/>
          <w:szCs w:val="28"/>
        </w:rPr>
      </w:pPr>
      <w:r w:rsidRPr="00A81B51">
        <w:rPr>
          <w:rFonts w:ascii="Times New Roman" w:hAnsi="Times New Roman" w:cs="Times New Roman"/>
          <w:b/>
          <w:color w:val="auto"/>
          <w:szCs w:val="28"/>
        </w:rPr>
        <w:t>Анализ выполнения решений предыдущего проектного документа</w:t>
      </w:r>
    </w:p>
    <w:p w:rsidR="00A81B51" w:rsidRPr="004E5BAB" w:rsidRDefault="00A81B51" w:rsidP="00A81B51">
      <w:pPr>
        <w:autoSpaceDE w:val="0"/>
        <w:autoSpaceDN w:val="0"/>
        <w:adjustRightInd w:val="0"/>
        <w:spacing w:line="355" w:lineRule="auto"/>
        <w:ind w:firstLine="851"/>
        <w:jc w:val="both"/>
      </w:pPr>
      <w:r w:rsidRPr="004E5BAB">
        <w:t>На данный момент утвержденный технологический проект по разработке сенонских отложений Медвежьего месторождения отсутствует.</w:t>
      </w:r>
    </w:p>
    <w:p w:rsidR="00A81B51" w:rsidRPr="004E5BAB" w:rsidRDefault="00A81B51" w:rsidP="00A81B51">
      <w:pPr>
        <w:autoSpaceDE w:val="0"/>
        <w:autoSpaceDN w:val="0"/>
        <w:adjustRightInd w:val="0"/>
        <w:spacing w:line="355" w:lineRule="auto"/>
        <w:ind w:firstLine="851"/>
        <w:jc w:val="both"/>
      </w:pPr>
      <w:r w:rsidRPr="004E5BAB">
        <w:t>В настоящее время выполнение реконструкции и техперевооружения газопромысловых объектов сеноманской газовой залежи ведется с отставанием (таблица</w:t>
      </w:r>
      <w:r w:rsidR="003A1BD5">
        <w:t xml:space="preserve"> 1</w:t>
      </w:r>
      <w:r w:rsidRPr="004E5BAB">
        <w:t>). Причина отставания несвоевременное финансирование.</w:t>
      </w:r>
      <w:r w:rsidR="005E454D" w:rsidRPr="005E454D">
        <w:t xml:space="preserve"> </w:t>
      </w:r>
      <w:r w:rsidR="005E454D">
        <w:t>[2</w:t>
      </w:r>
      <w:r w:rsidR="005E454D" w:rsidRPr="00AC19BF">
        <w:t>]</w:t>
      </w:r>
      <w:r w:rsidR="005E454D">
        <w:t>.</w:t>
      </w:r>
    </w:p>
    <w:p w:rsidR="00A81B51" w:rsidRPr="004E5BAB" w:rsidRDefault="00A81B51" w:rsidP="00A81B51">
      <w:pPr>
        <w:autoSpaceDE w:val="0"/>
        <w:autoSpaceDN w:val="0"/>
        <w:adjustRightInd w:val="0"/>
        <w:rPr>
          <w:vertAlign w:val="subscript"/>
        </w:rPr>
      </w:pPr>
      <w:bookmarkStart w:id="0" w:name="_Ref513535470"/>
      <w:bookmarkStart w:id="1" w:name="_Toc514926125"/>
      <w:r w:rsidRPr="004E5BAB">
        <w:t xml:space="preserve">Таблица </w:t>
      </w:r>
      <w:bookmarkEnd w:id="0"/>
      <w:r w:rsidR="003A1BD5">
        <w:t>1</w:t>
      </w:r>
      <w:r w:rsidRPr="004E5BAB">
        <w:t xml:space="preserve"> – Сводная информация о выполнении решений проектного документа. </w:t>
      </w:r>
      <w:r w:rsidRPr="004E5BAB">
        <w:br/>
        <w:t>Пласт ПК</w:t>
      </w:r>
      <w:r w:rsidRPr="004E5BAB">
        <w:rPr>
          <w:vertAlign w:val="subscript"/>
        </w:rPr>
        <w:t>1</w:t>
      </w:r>
      <w:bookmarkEnd w:id="1"/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4503"/>
        <w:gridCol w:w="2976"/>
        <w:gridCol w:w="2155"/>
      </w:tblGrid>
      <w:tr w:rsidR="00A81B51" w:rsidRPr="00A81B51" w:rsidTr="009A32A7">
        <w:trPr>
          <w:trHeight w:val="227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Проектные решения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Дата проведения по действующему проекту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Выполнение</w:t>
            </w:r>
          </w:p>
        </w:tc>
      </w:tr>
      <w:tr w:rsidR="00A81B51" w:rsidRPr="00A81B51" w:rsidTr="009A32A7">
        <w:trPr>
          <w:trHeight w:val="540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Реконструкция УКПГ-9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 xml:space="preserve"> и </w:t>
            </w: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квартала 2011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 xml:space="preserve">выполнено. </w:t>
            </w: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 xml:space="preserve"> и </w:t>
            </w: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 2012 г.</w:t>
            </w:r>
          </w:p>
        </w:tc>
      </w:tr>
      <w:tr w:rsidR="00A81B51" w:rsidRPr="00A81B51" w:rsidTr="009A32A7">
        <w:trPr>
          <w:trHeight w:val="227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Реконструкция УКПГ-6 объединение промыслов 5, 7 с УКПГ-6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 2011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 xml:space="preserve">выполнено. </w:t>
            </w: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 xml:space="preserve"> и </w:t>
            </w: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 2012 г.</w:t>
            </w:r>
          </w:p>
        </w:tc>
      </w:tr>
      <w:tr w:rsidR="00A81B51" w:rsidRPr="00A81B51" w:rsidTr="009A32A7">
        <w:trPr>
          <w:trHeight w:val="227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Ликвидация промысла 5, переключение скважин на УКПГ-6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IV</w:t>
            </w:r>
            <w:r w:rsidRPr="00A81B51">
              <w:rPr>
                <w:sz w:val="18"/>
                <w:szCs w:val="18"/>
              </w:rPr>
              <w:t xml:space="preserve"> квартал 2011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> квартал 2012 г.</w:t>
            </w:r>
          </w:p>
        </w:tc>
      </w:tr>
      <w:tr w:rsidR="00A81B51" w:rsidRPr="00A81B51" w:rsidTr="009A32A7">
        <w:trPr>
          <w:trHeight w:val="227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Ликвидация промысла 7, переключение скважин на УКПГ-6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IV</w:t>
            </w:r>
            <w:r w:rsidRPr="00A81B51">
              <w:rPr>
                <w:sz w:val="18"/>
                <w:szCs w:val="18"/>
              </w:rPr>
              <w:t xml:space="preserve"> квартал 2011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> квартал 2013 г.</w:t>
            </w:r>
          </w:p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A81B51" w:rsidRPr="00A81B51" w:rsidTr="009A32A7">
        <w:trPr>
          <w:trHeight w:val="274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Реконструкция УКПГ-3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 xml:space="preserve"> и </w:t>
            </w: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квартала 2012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</w:t>
            </w:r>
            <w:r w:rsidRPr="00A81B51">
              <w:rPr>
                <w:sz w:val="18"/>
                <w:szCs w:val="18"/>
              </w:rPr>
              <w:t xml:space="preserve"> квартал 2014 г. - </w:t>
            </w:r>
            <w:r w:rsidRPr="00A81B51">
              <w:rPr>
                <w:sz w:val="18"/>
                <w:szCs w:val="18"/>
                <w:lang w:val="en-US"/>
              </w:rPr>
              <w:t>I</w:t>
            </w:r>
            <w:r w:rsidRPr="00A81B51">
              <w:rPr>
                <w:sz w:val="18"/>
                <w:szCs w:val="18"/>
              </w:rPr>
              <w:t> квартал 2016 г.</w:t>
            </w:r>
          </w:p>
        </w:tc>
      </w:tr>
      <w:tr w:rsidR="00A81B51" w:rsidRPr="00A81B51" w:rsidTr="009A32A7">
        <w:trPr>
          <w:trHeight w:val="227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Ликвидация промысла 2, переключение скважин на УКПГ-3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 2012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> квартал 2016 г.</w:t>
            </w:r>
          </w:p>
        </w:tc>
      </w:tr>
      <w:tr w:rsidR="00A81B51" w:rsidRPr="00A81B51" w:rsidTr="009A32A7">
        <w:trPr>
          <w:trHeight w:val="227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Реконструкция УКПГ-4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 xml:space="preserve"> и </w:t>
            </w: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квартала 2012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 xml:space="preserve"> квартал 2015 г. - </w:t>
            </w: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> квартал 2017 г.</w:t>
            </w:r>
          </w:p>
        </w:tc>
      </w:tr>
      <w:tr w:rsidR="00A81B51" w:rsidRPr="00A81B51" w:rsidTr="009A32A7">
        <w:trPr>
          <w:trHeight w:val="227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Реконструкция УКПГ-1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 xml:space="preserve"> и </w:t>
            </w: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квартала 2013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не выполнено</w:t>
            </w:r>
          </w:p>
        </w:tc>
      </w:tr>
      <w:tr w:rsidR="00A81B51" w:rsidRPr="00A81B51" w:rsidTr="009A32A7">
        <w:trPr>
          <w:trHeight w:val="227"/>
        </w:trPr>
        <w:tc>
          <w:tcPr>
            <w:tcW w:w="4503" w:type="dxa"/>
            <w:vAlign w:val="center"/>
          </w:tcPr>
          <w:p w:rsidR="00A81B51" w:rsidRPr="00A81B51" w:rsidRDefault="00A81B51" w:rsidP="009A32A7">
            <w:pPr>
              <w:ind w:left="-57" w:right="-57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Реконструкция УКПГ-8</w:t>
            </w:r>
          </w:p>
        </w:tc>
        <w:tc>
          <w:tcPr>
            <w:tcW w:w="2976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  <w:lang w:val="en-US"/>
              </w:rPr>
              <w:t>II</w:t>
            </w:r>
            <w:r w:rsidRPr="00A81B51">
              <w:rPr>
                <w:sz w:val="18"/>
                <w:szCs w:val="18"/>
              </w:rPr>
              <w:t xml:space="preserve"> и </w:t>
            </w:r>
            <w:r w:rsidRPr="00A81B51">
              <w:rPr>
                <w:sz w:val="18"/>
                <w:szCs w:val="18"/>
                <w:lang w:val="en-US"/>
              </w:rPr>
              <w:t>III</w:t>
            </w:r>
            <w:r w:rsidRPr="00A81B51">
              <w:rPr>
                <w:sz w:val="18"/>
                <w:szCs w:val="18"/>
              </w:rPr>
              <w:t xml:space="preserve"> квартала 2013 г.</w:t>
            </w:r>
          </w:p>
        </w:tc>
        <w:tc>
          <w:tcPr>
            <w:tcW w:w="2155" w:type="dxa"/>
            <w:vAlign w:val="center"/>
          </w:tcPr>
          <w:p w:rsidR="00A81B51" w:rsidRPr="00A81B51" w:rsidRDefault="00A81B51" w:rsidP="009A32A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1B51">
              <w:rPr>
                <w:sz w:val="18"/>
                <w:szCs w:val="18"/>
              </w:rPr>
              <w:t>не выполнено</w:t>
            </w:r>
          </w:p>
        </w:tc>
      </w:tr>
    </w:tbl>
    <w:p w:rsidR="00A81B51" w:rsidRPr="00A81B51" w:rsidRDefault="00A81B51" w:rsidP="003F4565">
      <w:pPr>
        <w:spacing w:line="355" w:lineRule="auto"/>
        <w:ind w:firstLine="851"/>
        <w:jc w:val="both"/>
      </w:pPr>
    </w:p>
    <w:p w:rsidR="003F4565" w:rsidRDefault="00A81B51" w:rsidP="003F4565">
      <w:pPr>
        <w:spacing w:line="360" w:lineRule="auto"/>
        <w:jc w:val="both"/>
        <w:rPr>
          <w:b/>
          <w:sz w:val="28"/>
          <w:szCs w:val="28"/>
        </w:rPr>
      </w:pPr>
      <w:r w:rsidRPr="00CA7742">
        <w:rPr>
          <w:b/>
          <w:sz w:val="28"/>
          <w:szCs w:val="28"/>
        </w:rPr>
        <w:t>Текущее состояние разработки эксплуатационных объектов</w:t>
      </w:r>
    </w:p>
    <w:p w:rsidR="00A81B51" w:rsidRPr="007B5F49" w:rsidRDefault="00A81B51" w:rsidP="00A81B51">
      <w:pPr>
        <w:suppressAutoHyphens/>
        <w:spacing w:line="360" w:lineRule="auto"/>
        <w:ind w:firstLine="851"/>
        <w:jc w:val="both"/>
      </w:pPr>
      <w:r w:rsidRPr="007B5F49">
        <w:t>По состоянию на 01.01.2018 общий фонд скважин на месторождении составлял 488 ед., в т. ч.: 289 действующих, 21 бездействующих, 80 наблюдательных и пьезометрических, 75 ликвидированных и 23 скважины находящихся в консервации (рисунок</w:t>
      </w:r>
      <w:r>
        <w:t xml:space="preserve"> 1</w:t>
      </w:r>
      <w:r w:rsidRPr="007B5F49">
        <w:t xml:space="preserve">). </w:t>
      </w:r>
      <w:r w:rsidR="005E454D">
        <w:t>[3</w:t>
      </w:r>
      <w:r w:rsidR="005E454D" w:rsidRPr="00AC19BF">
        <w:t>]</w:t>
      </w:r>
      <w:r w:rsidR="005E454D">
        <w:t>.</w:t>
      </w:r>
    </w:p>
    <w:p w:rsidR="00A81B51" w:rsidRPr="007B5F49" w:rsidRDefault="00A81B51" w:rsidP="00A81B51">
      <w:pPr>
        <w:suppressAutoHyphens/>
      </w:pPr>
    </w:p>
    <w:p w:rsidR="00A81B51" w:rsidRPr="007B5F49" w:rsidRDefault="00A81B51" w:rsidP="00A81B51">
      <w:pPr>
        <w:suppressAutoHyphens/>
        <w:jc w:val="center"/>
      </w:pPr>
      <w:r w:rsidRPr="007B5F4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2C3444" wp14:editId="7ADDF475">
                <wp:simplePos x="0" y="0"/>
                <wp:positionH relativeFrom="column">
                  <wp:posOffset>1720215</wp:posOffset>
                </wp:positionH>
                <wp:positionV relativeFrom="paragraph">
                  <wp:posOffset>506095</wp:posOffset>
                </wp:positionV>
                <wp:extent cx="647700" cy="409575"/>
                <wp:effectExtent l="0" t="0" r="19050" b="28575"/>
                <wp:wrapNone/>
                <wp:docPr id="293" name="Oval 4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81B51" w:rsidRPr="005A393F" w:rsidRDefault="00A81B51" w:rsidP="00A81B51">
                            <w:pPr>
                              <w:rPr>
                                <w:b/>
                              </w:rPr>
                            </w:pPr>
                            <w:r w:rsidRPr="005A393F">
                              <w:rPr>
                                <w:b/>
                              </w:rPr>
                              <w:t>488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2C3444" id="Oval 4237" o:spid="_x0000_s1026" style="position:absolute;left:0;text-align:left;margin-left:135.45pt;margin-top:39.85pt;width:51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">
                <v:textbox>
                  <w:txbxContent>
                    <w:p w:rsidR="00A81B51" w:rsidRPr="005A393F" w:rsidRDefault="00A81B51" w:rsidP="00A81B51">
                      <w:pPr>
                        <w:rPr>
                          <w:b/>
                        </w:rPr>
                      </w:pPr>
                      <w:r w:rsidRPr="005A393F">
                        <w:rPr>
                          <w:b/>
                        </w:rPr>
                        <w:t>488</w:t>
                      </w:r>
                    </w:p>
                  </w:txbxContent>
                </v:textbox>
              </v:oval>
            </w:pict>
          </mc:Fallback>
        </mc:AlternateContent>
      </w:r>
      <w:r w:rsidRPr="007B5F49">
        <w:rPr>
          <w:noProof/>
        </w:rPr>
        <w:t xml:space="preserve"> </w:t>
      </w:r>
      <w:r w:rsidRPr="007B5F49">
        <w:rPr>
          <w:noProof/>
        </w:rPr>
        <w:drawing>
          <wp:inline distT="0" distB="0" distL="0" distR="0" wp14:anchorId="2FF831F4" wp14:editId="5FA12472">
            <wp:extent cx="4997450" cy="1780902"/>
            <wp:effectExtent l="19050" t="19050" r="12700" b="1016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75" b="21797"/>
                    <a:stretch/>
                  </pic:blipFill>
                  <pic:spPr bwMode="auto">
                    <a:xfrm>
                      <a:off x="0" y="0"/>
                      <a:ext cx="5020800" cy="17892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1B51" w:rsidRPr="007B5F49" w:rsidRDefault="00A81B51" w:rsidP="00A81B51">
      <w:pPr>
        <w:suppressAutoHyphens/>
        <w:jc w:val="center"/>
      </w:pPr>
      <w:bookmarkStart w:id="2" w:name="_Ref513706408"/>
      <w:bookmarkStart w:id="3" w:name="_Toc514926243"/>
      <w:r w:rsidRPr="007B5F49">
        <w:t xml:space="preserve">Рисунок </w:t>
      </w:r>
      <w:bookmarkEnd w:id="2"/>
      <w:r>
        <w:t>1</w:t>
      </w:r>
      <w:r w:rsidRPr="007B5F49">
        <w:t xml:space="preserve"> – Состояние фонда скважин на 01.01.2018</w:t>
      </w:r>
      <w:bookmarkEnd w:id="3"/>
    </w:p>
    <w:p w:rsidR="00A81B51" w:rsidRPr="007B5F49" w:rsidRDefault="00A81B51" w:rsidP="00A81B51">
      <w:pPr>
        <w:suppressAutoHyphens/>
        <w:spacing w:line="360" w:lineRule="auto"/>
        <w:jc w:val="center"/>
      </w:pPr>
    </w:p>
    <w:p w:rsidR="00A81B51" w:rsidRPr="007B5F49" w:rsidRDefault="00A81B51" w:rsidP="00A81B51">
      <w:pPr>
        <w:suppressAutoHyphens/>
        <w:spacing w:line="360" w:lineRule="auto"/>
        <w:ind w:firstLine="851"/>
        <w:jc w:val="both"/>
      </w:pPr>
      <w:r w:rsidRPr="007B5F49">
        <w:t>Бездействующий фонд составляет 21 скважину. Основной причиной вывода скважин в бездействие является низкая производительность скважин (18 ед.) и три скважины (118, 409, 824) находятся в ожидании капитального ремонта (рисунок</w:t>
      </w:r>
      <w:r>
        <w:t xml:space="preserve"> 2</w:t>
      </w:r>
      <w:r w:rsidRPr="007B5F49">
        <w:t>).</w:t>
      </w:r>
    </w:p>
    <w:p w:rsidR="00A81B51" w:rsidRPr="007B5F49" w:rsidRDefault="00A81B51" w:rsidP="00A81B51">
      <w:pPr>
        <w:jc w:val="center"/>
      </w:pPr>
      <w:r w:rsidRPr="007B5F4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01C34" wp14:editId="5346DB38">
                <wp:simplePos x="0" y="0"/>
                <wp:positionH relativeFrom="column">
                  <wp:posOffset>2034540</wp:posOffset>
                </wp:positionH>
                <wp:positionV relativeFrom="paragraph">
                  <wp:posOffset>483870</wp:posOffset>
                </wp:positionV>
                <wp:extent cx="533400" cy="323850"/>
                <wp:effectExtent l="0" t="0" r="19050" b="19050"/>
                <wp:wrapNone/>
                <wp:docPr id="294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23850"/>
                        </a:xfrm>
                        <a:prstGeom prst="ellipse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9525">
                          <a:solidFill>
                            <a:srgbClr xmlns:a14="http://schemas.microsoft.com/office/drawing/2010/main" val="000000" mc:Ignorable="a14" a14:legacySpreadsheetColorIndex="64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81B51" w:rsidRDefault="00A81B51" w:rsidP="00A81B51">
                            <w:pPr>
                              <w:pStyle w:val="af0"/>
                              <w:spacing w:before="0"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lang w:val="en-US"/>
                              </w:rPr>
                              <w:t>21</w:t>
                            </w:r>
                          </w:p>
                        </w:txbxContent>
                      </wps:txbx>
                      <wps:bodyPr vertOverflow="clip" wrap="square" lIns="27432" tIns="27432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oval w14:anchorId="44001C34" id="Oval 13" o:spid="_x0000_s1027" style="position:absolute;left:0;text-align:left;margin-left:160.2pt;margin-top:38.1pt;width:42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">
                <v:textbox inset="2.16pt,2.16pt,2.16pt,0">
                  <w:txbxContent>
                    <w:p w:rsidR="00A81B51" w:rsidRDefault="00A81B51" w:rsidP="00A81B51">
                      <w:pPr>
                        <w:pStyle w:val="af0"/>
                        <w:spacing w:before="0" w:after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lang w:val="en-US"/>
                        </w:rPr>
                        <w:t>21</w:t>
                      </w:r>
                    </w:p>
                  </w:txbxContent>
                </v:textbox>
              </v:oval>
            </w:pict>
          </mc:Fallback>
        </mc:AlternateContent>
      </w:r>
      <w:r w:rsidRPr="007B5F49">
        <w:rPr>
          <w:noProof/>
        </w:rPr>
        <w:drawing>
          <wp:inline distT="0" distB="0" distL="0" distR="0" wp14:anchorId="6054D580" wp14:editId="318F6764">
            <wp:extent cx="4755515" cy="1466850"/>
            <wp:effectExtent l="19050" t="19050" r="26035" b="1905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84" b="28797"/>
                    <a:stretch/>
                  </pic:blipFill>
                  <pic:spPr bwMode="auto">
                    <a:xfrm>
                      <a:off x="0" y="0"/>
                      <a:ext cx="4755515" cy="1466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1B51" w:rsidRPr="007B5F49" w:rsidRDefault="00A81B51" w:rsidP="00A81B51">
      <w:pPr>
        <w:jc w:val="center"/>
      </w:pPr>
    </w:p>
    <w:p w:rsidR="00A81B51" w:rsidRDefault="00A81B51" w:rsidP="00A81B51">
      <w:pPr>
        <w:jc w:val="center"/>
      </w:pPr>
      <w:bookmarkStart w:id="4" w:name="_Ref513706356"/>
      <w:bookmarkStart w:id="5" w:name="_Toc514926244"/>
      <w:r w:rsidRPr="007B5F49">
        <w:t xml:space="preserve">Рисунок </w:t>
      </w:r>
      <w:bookmarkEnd w:id="4"/>
      <w:r>
        <w:t>2</w:t>
      </w:r>
      <w:r w:rsidRPr="007B5F49">
        <w:t xml:space="preserve"> – Состояние бездействующего фонда скважин на 01.01.2018</w:t>
      </w:r>
      <w:bookmarkEnd w:id="5"/>
    </w:p>
    <w:p w:rsidR="001D48EC" w:rsidRDefault="001D48EC" w:rsidP="001D48EC">
      <w:pPr>
        <w:pStyle w:val="2"/>
        <w:jc w:val="left"/>
        <w:rPr>
          <w:b/>
          <w:szCs w:val="28"/>
        </w:rPr>
      </w:pPr>
      <w:r w:rsidRPr="0069442A">
        <w:rPr>
          <w:b/>
          <w:szCs w:val="28"/>
        </w:rPr>
        <w:t>Анализ выработки запасов</w:t>
      </w:r>
    </w:p>
    <w:p w:rsidR="001D48EC" w:rsidRDefault="001D48EC" w:rsidP="001D48EC">
      <w:pPr>
        <w:spacing w:line="360" w:lineRule="auto"/>
        <w:ind w:firstLine="851"/>
        <w:jc w:val="both"/>
        <w:rPr>
          <w:rFonts w:eastAsia="Calibri"/>
          <w:lang w:eastAsia="en-US"/>
        </w:rPr>
      </w:pPr>
      <w:r w:rsidRPr="0069442A">
        <w:t>При определении запасов газа наибольшее распространение получил метод падения пластового давления. В основе метода определения запасов газа по данным о количестве отобранного газа и изменении во времени среднего пластового давления лежит уравнение материального баланса для газовой за</w:t>
      </w:r>
      <w:r w:rsidRPr="0069442A">
        <w:rPr>
          <w:rFonts w:eastAsia="Calibri"/>
          <w:lang w:eastAsia="en-US"/>
        </w:rPr>
        <w:t>лежи.</w:t>
      </w:r>
      <w:r w:rsidR="005E454D">
        <w:rPr>
          <w:rFonts w:eastAsia="Calibri"/>
          <w:lang w:eastAsia="en-US"/>
        </w:rPr>
        <w:t xml:space="preserve"> </w:t>
      </w:r>
      <w:r w:rsidR="005E454D">
        <w:t>[4</w:t>
      </w:r>
      <w:r w:rsidR="005E454D" w:rsidRPr="00AC19BF">
        <w:t>]</w:t>
      </w:r>
      <w:r w:rsidR="005E454D">
        <w:t>.</w:t>
      </w:r>
    </w:p>
    <w:p w:rsidR="001D48EC" w:rsidRDefault="001D48EC" w:rsidP="001D48EC">
      <w:pPr>
        <w:spacing w:line="360" w:lineRule="auto"/>
        <w:ind w:firstLine="851"/>
        <w:jc w:val="both"/>
      </w:pPr>
      <w:r>
        <w:t xml:space="preserve">В результате расчета по уравнению материального баланса величина начальных запасов газа </w:t>
      </w:r>
      <w:r w:rsidRPr="00622AB8">
        <w:t xml:space="preserve">составила </w:t>
      </w:r>
      <w:r>
        <w:t>2311,74</w:t>
      </w:r>
      <w:r w:rsidRPr="00622AB8">
        <w:t> млрд. м</w:t>
      </w:r>
      <w:r w:rsidRPr="00622AB8">
        <w:rPr>
          <w:vertAlign w:val="superscript"/>
        </w:rPr>
        <w:t>3</w:t>
      </w:r>
      <w:r w:rsidRPr="00622AB8">
        <w:t>. Сводные</w:t>
      </w:r>
      <w:r>
        <w:t xml:space="preserve"> результаты расчета дренируемых запасов газа без учета внедрения воды в залежь </w:t>
      </w:r>
      <w:r w:rsidRPr="00531A81">
        <w:t xml:space="preserve">представлены в </w:t>
      </w:r>
      <w:r w:rsidRPr="00542B6F">
        <w:t>таблице</w:t>
      </w:r>
      <w:r>
        <w:t xml:space="preserve"> 2</w:t>
      </w:r>
      <w:r w:rsidRPr="00542B6F">
        <w:t>.</w:t>
      </w:r>
    </w:p>
    <w:p w:rsidR="001D48EC" w:rsidRPr="0069442A" w:rsidRDefault="001D48EC" w:rsidP="001D48EC">
      <w:pPr>
        <w:spacing w:after="120"/>
      </w:pPr>
      <w:bookmarkStart w:id="6" w:name="_Ref513710866"/>
      <w:bookmarkStart w:id="7" w:name="_Toc514926143"/>
      <w:r w:rsidRPr="0069442A">
        <w:t xml:space="preserve">Таблица </w:t>
      </w:r>
      <w:bookmarkEnd w:id="6"/>
      <w:r>
        <w:t>2</w:t>
      </w:r>
      <w:r w:rsidRPr="0069442A">
        <w:t xml:space="preserve"> – Результаты оценки текущих дренируемых запасов газа сеноманской залежи Медвежьего месторождения без учета внедрения воды в залежь</w:t>
      </w:r>
      <w:bookmarkEnd w:id="7"/>
    </w:p>
    <w:tbl>
      <w:tblPr>
        <w:tblW w:w="5000" w:type="pct"/>
        <w:tblLook w:val="04A0" w:firstRow="1" w:lastRow="0" w:firstColumn="1" w:lastColumn="0" w:noHBand="0" w:noVBand="1"/>
      </w:tblPr>
      <w:tblGrid>
        <w:gridCol w:w="1755"/>
        <w:gridCol w:w="2641"/>
        <w:gridCol w:w="1754"/>
        <w:gridCol w:w="2902"/>
      </w:tblGrid>
      <w:tr w:rsidR="001D48EC" w:rsidRPr="0069442A" w:rsidTr="009A32A7">
        <w:trPr>
          <w:trHeight w:val="227"/>
        </w:trPr>
        <w:tc>
          <w:tcPr>
            <w:tcW w:w="9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1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Суммарный отбор газа, млрд. м</w:t>
            </w:r>
            <w:r w:rsidRPr="0069442A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P/Z, МПа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Текущие дренируемые запасы, млрд. м</w:t>
            </w:r>
            <w:r w:rsidRPr="0069442A">
              <w:rPr>
                <w:color w:val="000000"/>
                <w:sz w:val="20"/>
                <w:szCs w:val="20"/>
                <w:vertAlign w:val="superscript"/>
              </w:rPr>
              <w:t xml:space="preserve">3 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1,16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13,52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3180,41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69,69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13,19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2919,45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242,74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12,22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2625,62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450,37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11,04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2549,71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675,88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9,68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2471,28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897,28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8,36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2439,53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1115,22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7,03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2410,55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1315,79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5,79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2387,20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1471,73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4,81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2370,56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1593,18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4,04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2356,76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1693,20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3,38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2342,84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1769,19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2,88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2331,61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1825,48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2,50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2322,88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1867,32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2,21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2316,26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1895,72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2,02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2312,86</w:t>
            </w:r>
          </w:p>
        </w:tc>
      </w:tr>
      <w:tr w:rsidR="001D48EC" w:rsidRPr="0069442A" w:rsidTr="009A32A7">
        <w:trPr>
          <w:trHeight w:val="227"/>
        </w:trPr>
        <w:tc>
          <w:tcPr>
            <w:tcW w:w="9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1913,93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8EC" w:rsidRPr="0069442A" w:rsidRDefault="001D48EC" w:rsidP="009A32A7">
            <w:pPr>
              <w:jc w:val="center"/>
              <w:rPr>
                <w:color w:val="000000"/>
                <w:sz w:val="20"/>
                <w:szCs w:val="20"/>
              </w:rPr>
            </w:pPr>
            <w:r w:rsidRPr="0069442A">
              <w:rPr>
                <w:color w:val="000000"/>
                <w:sz w:val="20"/>
                <w:szCs w:val="20"/>
              </w:rPr>
              <w:t>2311,74</w:t>
            </w:r>
          </w:p>
        </w:tc>
      </w:tr>
    </w:tbl>
    <w:p w:rsidR="00A81B51" w:rsidRDefault="00A81B51" w:rsidP="003F4565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1D48EC" w:rsidRPr="0052178A" w:rsidRDefault="001D48EC" w:rsidP="001D48EC">
      <w:pPr>
        <w:pStyle w:val="2"/>
        <w:rPr>
          <w:b/>
          <w:szCs w:val="28"/>
        </w:rPr>
      </w:pPr>
      <w:r w:rsidRPr="0052178A">
        <w:rPr>
          <w:b/>
          <w:szCs w:val="28"/>
        </w:rPr>
        <w:t>Сопоставление фактических и проектных показателей разработки</w:t>
      </w:r>
    </w:p>
    <w:p w:rsidR="001D48EC" w:rsidRPr="0052178A" w:rsidRDefault="001D48EC" w:rsidP="001D48EC">
      <w:pPr>
        <w:shd w:val="clear" w:color="auto" w:fill="FFFFFF"/>
        <w:spacing w:line="360" w:lineRule="auto"/>
        <w:ind w:firstLine="851"/>
        <w:jc w:val="both"/>
      </w:pPr>
      <w:r w:rsidRPr="0052178A">
        <w:t>На данный момент утвержденный технологический проект по разработке сенонских отложений Медвежьего месторождения отсутствует.</w:t>
      </w:r>
    </w:p>
    <w:p w:rsidR="001D48EC" w:rsidRPr="0052178A" w:rsidRDefault="001D48EC" w:rsidP="001D48EC">
      <w:pPr>
        <w:suppressAutoHyphens/>
        <w:spacing w:line="360" w:lineRule="auto"/>
        <w:ind w:firstLine="851"/>
        <w:jc w:val="both"/>
      </w:pPr>
      <w:r w:rsidRPr="0052178A">
        <w:t>Суммарный отбор газа с начала разработки сеноманской газовой залежи по состоянию на 01.01.2018 составил 1913,9 млрд. м</w:t>
      </w:r>
      <w:r w:rsidRPr="0052178A">
        <w:rPr>
          <w:vertAlign w:val="superscript"/>
        </w:rPr>
        <w:t>3</w:t>
      </w:r>
      <w:r w:rsidRPr="0052178A">
        <w:t xml:space="preserve"> или</w:t>
      </w:r>
      <w:r w:rsidRPr="0052178A">
        <w:rPr>
          <w:vertAlign w:val="superscript"/>
        </w:rPr>
        <w:t xml:space="preserve"> </w:t>
      </w:r>
      <w:r w:rsidRPr="0052178A">
        <w:t>81,54</w:t>
      </w:r>
      <w:r w:rsidRPr="0052178A">
        <w:rPr>
          <w:lang w:val="en-US"/>
        </w:rPr>
        <w:t> </w:t>
      </w:r>
      <w:r w:rsidRPr="0052178A">
        <w:t xml:space="preserve">% </w:t>
      </w:r>
      <w:r w:rsidRPr="0052178A">
        <w:rPr>
          <w:spacing w:val="-6"/>
        </w:rPr>
        <w:t>от утвержденных</w:t>
      </w:r>
      <w:r w:rsidRPr="0052178A">
        <w:t xml:space="preserve"> запасов (2347,1 млрд. м</w:t>
      </w:r>
      <w:r w:rsidRPr="0052178A">
        <w:rPr>
          <w:vertAlign w:val="superscript"/>
        </w:rPr>
        <w:t>3</w:t>
      </w:r>
      <w:r w:rsidRPr="0052178A">
        <w:t>), и отстает от проектного значения 1924,5 млрд. м</w:t>
      </w:r>
      <w:r w:rsidRPr="0052178A">
        <w:rPr>
          <w:vertAlign w:val="superscript"/>
        </w:rPr>
        <w:t>3</w:t>
      </w:r>
      <w:r w:rsidRPr="0052178A">
        <w:t xml:space="preserve"> на 10,6 млрд. м</w:t>
      </w:r>
      <w:r w:rsidRPr="0052178A">
        <w:rPr>
          <w:vertAlign w:val="superscript"/>
        </w:rPr>
        <w:t>3</w:t>
      </w:r>
      <w:r w:rsidRPr="0052178A">
        <w:t xml:space="preserve"> или на 0,55 %. </w:t>
      </w:r>
    </w:p>
    <w:p w:rsidR="001D48EC" w:rsidRPr="0052178A" w:rsidRDefault="001D48EC" w:rsidP="001D48EC">
      <w:pPr>
        <w:spacing w:line="360" w:lineRule="auto"/>
        <w:ind w:firstLine="851"/>
        <w:jc w:val="both"/>
      </w:pPr>
      <w:r w:rsidRPr="0052178A">
        <w:t>Поэтапное освоение месторождения предопределило неравномерный характер распределения накопленной добычи газа по площади газоносности. По зонам отбора наибольшая суммарная добыча газа отмечается на южном участке залежи (УКПГ-1-4) – 833,7 млрд. м</w:t>
      </w:r>
      <w:r w:rsidRPr="0052178A">
        <w:rPr>
          <w:vertAlign w:val="superscript"/>
        </w:rPr>
        <w:t>3</w:t>
      </w:r>
      <w:r w:rsidRPr="0052178A">
        <w:t>, на центральном участке (УКПГ-6, 8, 8а) отобрано 698,3 млрд. м</w:t>
      </w:r>
      <w:r w:rsidRPr="0052178A">
        <w:rPr>
          <w:vertAlign w:val="superscript"/>
        </w:rPr>
        <w:t>3</w:t>
      </w:r>
      <w:r w:rsidRPr="0052178A">
        <w:t>, на Ныдинском (УКПГ-9) - 382,0 млрд. м</w:t>
      </w:r>
      <w:r w:rsidRPr="0052178A">
        <w:rPr>
          <w:vertAlign w:val="superscript"/>
        </w:rPr>
        <w:t>3</w:t>
      </w:r>
      <w:r w:rsidRPr="0052178A">
        <w:t>. Минимальный уровень добычи газа отмечается на участке УКПГ-8а, введенном в эксплуатацию последним – 89,6 млрд. м</w:t>
      </w:r>
      <w:r w:rsidRPr="0052178A">
        <w:rPr>
          <w:vertAlign w:val="superscript"/>
        </w:rPr>
        <w:t>3</w:t>
      </w:r>
      <w:r w:rsidRPr="0052178A">
        <w:t>.</w:t>
      </w:r>
      <w:r w:rsidR="005E454D">
        <w:t xml:space="preserve"> [2</w:t>
      </w:r>
      <w:r w:rsidR="005E454D" w:rsidRPr="00AC19BF">
        <w:t>]</w:t>
      </w:r>
      <w:r w:rsidR="005E454D">
        <w:t>.</w:t>
      </w:r>
    </w:p>
    <w:p w:rsidR="001D48EC" w:rsidRPr="0052178A" w:rsidRDefault="001D48EC" w:rsidP="001D48EC">
      <w:pPr>
        <w:tabs>
          <w:tab w:val="center" w:pos="4677"/>
          <w:tab w:val="right" w:pos="9355"/>
        </w:tabs>
        <w:spacing w:line="360" w:lineRule="auto"/>
        <w:ind w:firstLine="851"/>
        <w:jc w:val="both"/>
      </w:pPr>
      <w:r w:rsidRPr="0052178A">
        <w:t>За 2017 г. из сеноманской залежи добыто 7,1 млрд. м</w:t>
      </w:r>
      <w:r w:rsidRPr="0052178A">
        <w:rPr>
          <w:vertAlign w:val="superscript"/>
        </w:rPr>
        <w:t>3</w:t>
      </w:r>
      <w:r w:rsidRPr="0052178A">
        <w:t xml:space="preserve"> газа, что на 15,05 % ниже проектного отбора (8,3 млрд. м</w:t>
      </w:r>
      <w:r w:rsidRPr="0052178A">
        <w:rPr>
          <w:vertAlign w:val="superscript"/>
        </w:rPr>
        <w:t>3</w:t>
      </w:r>
      <w:r w:rsidRPr="0052178A">
        <w:t xml:space="preserve">). </w:t>
      </w:r>
      <w:r w:rsidR="005E454D">
        <w:t>[5</w:t>
      </w:r>
      <w:r w:rsidR="005E454D" w:rsidRPr="00AC19BF">
        <w:t>]</w:t>
      </w:r>
    </w:p>
    <w:p w:rsidR="001D48EC" w:rsidRPr="0052178A" w:rsidRDefault="001D48EC" w:rsidP="00EA080B">
      <w:pPr>
        <w:suppressAutoHyphens/>
        <w:spacing w:line="360" w:lineRule="auto"/>
        <w:ind w:firstLine="851"/>
        <w:jc w:val="both"/>
      </w:pPr>
      <w:r w:rsidRPr="0052178A">
        <w:t xml:space="preserve">Сопоставление проектной, плановой и фактической добычи газа за 2017 г. представлено в таблице </w:t>
      </w:r>
      <w:r>
        <w:t>3.</w:t>
      </w:r>
    </w:p>
    <w:p w:rsidR="001D48EC" w:rsidRDefault="001D48EC" w:rsidP="001D48EC">
      <w:pPr>
        <w:suppressAutoHyphens/>
        <w:ind w:left="1440" w:hanging="1440"/>
      </w:pPr>
      <w:bookmarkStart w:id="8" w:name="_Ref513711909"/>
      <w:bookmarkStart w:id="9" w:name="_Toc514926155"/>
      <w:r w:rsidRPr="0052178A">
        <w:t xml:space="preserve">Таблица </w:t>
      </w:r>
      <w:bookmarkEnd w:id="8"/>
      <w:r>
        <w:t>3</w:t>
      </w:r>
      <w:r w:rsidRPr="0052178A">
        <w:t xml:space="preserve"> – Проектная, плановая и фактическая добыча газа за 2017 г.</w:t>
      </w:r>
      <w:bookmarkEnd w:id="9"/>
    </w:p>
    <w:p w:rsidR="001D48EC" w:rsidRPr="0052178A" w:rsidRDefault="001D48EC" w:rsidP="001D48EC">
      <w:pPr>
        <w:suppressAutoHyphens/>
        <w:ind w:left="1440" w:hanging="1440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559"/>
        <w:gridCol w:w="1418"/>
        <w:gridCol w:w="1417"/>
        <w:gridCol w:w="884"/>
      </w:tblGrid>
      <w:tr w:rsidR="001D48EC" w:rsidRPr="0052178A" w:rsidTr="009A32A7">
        <w:trPr>
          <w:trHeight w:val="113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Показатели</w:t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Добыча газа, млн. м</w:t>
            </w:r>
            <w:r w:rsidRPr="0052178A">
              <w:rPr>
                <w:bCs/>
                <w:vertAlign w:val="superscript"/>
              </w:rPr>
              <w:t>3</w:t>
            </w:r>
          </w:p>
        </w:tc>
      </w:tr>
      <w:tr w:rsidR="001D48EC" w:rsidRPr="0052178A" w:rsidTr="009A32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EC" w:rsidRPr="0052178A" w:rsidRDefault="001D48EC" w:rsidP="009A32A7">
            <w:pPr>
              <w:ind w:left="-57" w:right="-5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</w:pPr>
            <w:r w:rsidRPr="0052178A">
              <w:rPr>
                <w:lang w:val="en-US"/>
              </w:rPr>
              <w:t>I</w:t>
            </w:r>
            <w:r w:rsidRPr="0052178A">
              <w:t xml:space="preserve">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</w:pPr>
            <w:r w:rsidRPr="0052178A">
              <w:rPr>
                <w:lang w:val="en-US"/>
              </w:rPr>
              <w:t>II</w:t>
            </w:r>
            <w:r w:rsidRPr="0052178A">
              <w:t xml:space="preserve"> 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</w:pPr>
            <w:r w:rsidRPr="0052178A">
              <w:rPr>
                <w:lang w:val="en-US"/>
              </w:rPr>
              <w:t>III</w:t>
            </w:r>
            <w:r w:rsidRPr="0052178A">
              <w:t xml:space="preserve">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</w:pPr>
            <w:r w:rsidRPr="0052178A">
              <w:rPr>
                <w:lang w:val="en-US"/>
              </w:rPr>
              <w:t>IV</w:t>
            </w:r>
            <w:r w:rsidRPr="0052178A">
              <w:t xml:space="preserve"> квартал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</w:pPr>
            <w:r w:rsidRPr="0052178A">
              <w:t>год</w:t>
            </w:r>
          </w:p>
        </w:tc>
      </w:tr>
      <w:tr w:rsidR="001D48EC" w:rsidRPr="0052178A" w:rsidTr="009A32A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rPr>
                <w:bCs/>
              </w:rPr>
            </w:pPr>
            <w:r w:rsidRPr="0052178A">
              <w:rPr>
                <w:bCs/>
              </w:rPr>
              <w:t>Проектная добыча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2140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2080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2020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8340</w:t>
            </w:r>
          </w:p>
        </w:tc>
      </w:tr>
      <w:tr w:rsidR="001D48EC" w:rsidRPr="0052178A" w:rsidTr="009A32A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rPr>
                <w:bCs/>
              </w:rPr>
            </w:pPr>
            <w:r w:rsidRPr="0052178A">
              <w:rPr>
                <w:bCs/>
              </w:rPr>
              <w:t>Плановая добыча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1802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1623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1289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1707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6421</w:t>
            </w:r>
          </w:p>
        </w:tc>
      </w:tr>
      <w:tr w:rsidR="001D48EC" w:rsidRPr="0052178A" w:rsidTr="009A32A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rPr>
                <w:bCs/>
              </w:rPr>
            </w:pPr>
            <w:r w:rsidRPr="0052178A">
              <w:rPr>
                <w:bCs/>
              </w:rPr>
              <w:t>Фактическая добыча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1876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1728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1446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2033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EC" w:rsidRPr="0052178A" w:rsidRDefault="001D48EC" w:rsidP="009A32A7">
            <w:pPr>
              <w:ind w:left="-57" w:right="-57"/>
              <w:jc w:val="center"/>
              <w:rPr>
                <w:bCs/>
              </w:rPr>
            </w:pPr>
            <w:r w:rsidRPr="0052178A">
              <w:rPr>
                <w:bCs/>
              </w:rPr>
              <w:t>7083</w:t>
            </w:r>
          </w:p>
        </w:tc>
      </w:tr>
    </w:tbl>
    <w:p w:rsidR="00EA080B" w:rsidRDefault="00EA080B" w:rsidP="00EA080B">
      <w:pPr>
        <w:pStyle w:val="1"/>
        <w:ind w:firstLine="0"/>
        <w:rPr>
          <w:b/>
          <w:szCs w:val="28"/>
        </w:rPr>
      </w:pPr>
    </w:p>
    <w:p w:rsidR="00EA080B" w:rsidRPr="0063408D" w:rsidRDefault="00EA080B" w:rsidP="00EA080B">
      <w:pPr>
        <w:pStyle w:val="1"/>
        <w:ind w:firstLine="0"/>
        <w:rPr>
          <w:b/>
          <w:sz w:val="24"/>
        </w:rPr>
      </w:pPr>
      <w:r w:rsidRPr="0063408D">
        <w:rPr>
          <w:b/>
          <w:sz w:val="24"/>
        </w:rPr>
        <w:t>Рассмотрение и обоснование ГТМ на Медвежьем месторождении</w:t>
      </w:r>
    </w:p>
    <w:p w:rsidR="00EA080B" w:rsidRPr="002875B6" w:rsidRDefault="00EA080B" w:rsidP="00EA080B">
      <w:pPr>
        <w:spacing w:line="360" w:lineRule="auto"/>
        <w:ind w:firstLine="851"/>
        <w:jc w:val="both"/>
        <w:rPr>
          <w:bCs/>
        </w:rPr>
      </w:pPr>
      <w:r w:rsidRPr="002875B6">
        <w:rPr>
          <w:bCs/>
        </w:rPr>
        <w:t xml:space="preserve">Расчеты прогнозных технологических показателей разработки сеноманской газовой залежи Медвежьего месторождения выполнены по двум вариантам. </w:t>
      </w:r>
      <w:r w:rsidR="005E454D">
        <w:t>[2</w:t>
      </w:r>
      <w:r w:rsidR="005E454D" w:rsidRPr="00AC19BF">
        <w:t>]</w:t>
      </w:r>
    </w:p>
    <w:p w:rsidR="00EA080B" w:rsidRPr="002875B6" w:rsidRDefault="00EA080B" w:rsidP="00EA080B">
      <w:pPr>
        <w:spacing w:line="360" w:lineRule="auto"/>
        <w:ind w:firstLine="851"/>
        <w:jc w:val="both"/>
        <w:rPr>
          <w:bCs/>
        </w:rPr>
      </w:pPr>
      <w:r w:rsidRPr="002875B6">
        <w:rPr>
          <w:bCs/>
        </w:rPr>
        <w:t>Вариант 1 соответствует проектным уровням отборов газа согласно рекомендуемому варианту действующего Технол</w:t>
      </w:r>
      <w:r>
        <w:rPr>
          <w:bCs/>
        </w:rPr>
        <w:t>огического проекта разработки</w:t>
      </w:r>
      <w:r w:rsidRPr="002875B6">
        <w:rPr>
          <w:bCs/>
        </w:rPr>
        <w:t xml:space="preserve"> (протокол ЦКР Роснедр по УВС № 20-12 от 14.06.2012). </w:t>
      </w:r>
    </w:p>
    <w:p w:rsidR="00EA080B" w:rsidRPr="002875B6" w:rsidRDefault="00EA080B" w:rsidP="00EA080B">
      <w:pPr>
        <w:spacing w:line="360" w:lineRule="auto"/>
        <w:ind w:firstLine="851"/>
        <w:jc w:val="both"/>
      </w:pPr>
      <w:r w:rsidRPr="002875B6">
        <w:rPr>
          <w:bCs/>
        </w:rPr>
        <w:t>Вариант 2 предусматривает максимально возможные («пиковые») уровни добычи газа на 2018-2020 гг.</w:t>
      </w:r>
    </w:p>
    <w:p w:rsidR="00EA080B" w:rsidRPr="009773C6" w:rsidRDefault="00EA080B" w:rsidP="00EA080B">
      <w:pPr>
        <w:spacing w:line="360" w:lineRule="auto"/>
        <w:ind w:firstLine="851"/>
        <w:jc w:val="both"/>
        <w:rPr>
          <w:bCs/>
        </w:rPr>
      </w:pPr>
      <w:r w:rsidRPr="002875B6">
        <w:rPr>
          <w:bCs/>
        </w:rPr>
        <w:t xml:space="preserve">По Варианту 1 в 2020 г. добыча газа в целом по залежи ожидается в объеме </w:t>
      </w:r>
      <w:r w:rsidRPr="002875B6">
        <w:t>6,49 </w:t>
      </w:r>
      <w:r w:rsidRPr="002875B6">
        <w:rPr>
          <w:bCs/>
        </w:rPr>
        <w:t>млрд. м</w:t>
      </w:r>
      <w:r w:rsidRPr="002875B6">
        <w:rPr>
          <w:bCs/>
          <w:vertAlign w:val="superscript"/>
        </w:rPr>
        <w:t>3</w:t>
      </w:r>
      <w:r w:rsidRPr="002875B6">
        <w:rPr>
          <w:bCs/>
        </w:rPr>
        <w:t xml:space="preserve">. </w:t>
      </w:r>
      <w:r w:rsidRPr="002875B6">
        <w:t>По состоянию на 01.01.2021 прогнозируется накопленная добыча газа в объеме 1932,99 </w:t>
      </w:r>
      <w:r w:rsidRPr="002875B6">
        <w:rPr>
          <w:bCs/>
        </w:rPr>
        <w:t>млрд. м</w:t>
      </w:r>
      <w:r w:rsidRPr="002875B6">
        <w:rPr>
          <w:bCs/>
          <w:vertAlign w:val="superscript"/>
        </w:rPr>
        <w:t>3</w:t>
      </w:r>
      <w:r w:rsidRPr="002875B6">
        <w:t xml:space="preserve"> или 82,35 % от утвержденных запасов. </w:t>
      </w:r>
      <w:r w:rsidRPr="002875B6">
        <w:rPr>
          <w:bCs/>
        </w:rPr>
        <w:t xml:space="preserve">В четвертом квартале 2020 г. </w:t>
      </w:r>
      <w:r w:rsidRPr="002875B6">
        <w:t xml:space="preserve">суточный отбор газа предполагается </w:t>
      </w:r>
      <w:r w:rsidRPr="002875B6">
        <w:rPr>
          <w:bCs/>
        </w:rPr>
        <w:t>17,07 млн. м</w:t>
      </w:r>
      <w:r w:rsidRPr="002875B6">
        <w:rPr>
          <w:bCs/>
          <w:vertAlign w:val="superscript"/>
        </w:rPr>
        <w:t>3</w:t>
      </w:r>
      <w:r w:rsidRPr="002875B6">
        <w:rPr>
          <w:bCs/>
        </w:rPr>
        <w:t>/сут. К началу 2021 г. пластовое давление в целом по залежи снизится до 1,37 МПа, в зоне отбора - до 1,27 МПа, средний дебит газа по скважинам составит 69,65 тыс. м</w:t>
      </w:r>
      <w:r w:rsidRPr="002875B6">
        <w:rPr>
          <w:bCs/>
          <w:vertAlign w:val="superscript"/>
        </w:rPr>
        <w:t>3</w:t>
      </w:r>
      <w:r w:rsidRPr="002875B6">
        <w:rPr>
          <w:bCs/>
        </w:rPr>
        <w:t>/год при депрессии 0,15 МПа.</w:t>
      </w:r>
    </w:p>
    <w:p w:rsidR="00EA080B" w:rsidRDefault="00EA080B" w:rsidP="00EA080B">
      <w:pPr>
        <w:spacing w:line="360" w:lineRule="auto"/>
        <w:ind w:firstLine="851"/>
        <w:jc w:val="both"/>
        <w:rPr>
          <w:bCs/>
        </w:rPr>
      </w:pPr>
      <w:r w:rsidRPr="002875B6">
        <w:rPr>
          <w:bCs/>
        </w:rPr>
        <w:t xml:space="preserve">По Варианту 2 в 2020 г. добыча газа в целом по залежи ожидается в объеме </w:t>
      </w:r>
      <w:r w:rsidRPr="002875B6">
        <w:t>6,56 </w:t>
      </w:r>
      <w:r w:rsidRPr="002875B6">
        <w:rPr>
          <w:bCs/>
        </w:rPr>
        <w:t>млрд. м</w:t>
      </w:r>
      <w:r w:rsidRPr="002875B6">
        <w:rPr>
          <w:bCs/>
          <w:vertAlign w:val="superscript"/>
        </w:rPr>
        <w:t>3</w:t>
      </w:r>
      <w:r w:rsidRPr="002875B6">
        <w:rPr>
          <w:bCs/>
        </w:rPr>
        <w:t xml:space="preserve">. </w:t>
      </w:r>
      <w:r w:rsidRPr="002875B6">
        <w:t>По состоянию на 01.01.2021 прогнозируется накопленная добыча газа в объеме 1933,15 </w:t>
      </w:r>
      <w:r w:rsidRPr="002875B6">
        <w:rPr>
          <w:bCs/>
        </w:rPr>
        <w:t>млрд. м</w:t>
      </w:r>
      <w:r w:rsidRPr="002875B6">
        <w:rPr>
          <w:bCs/>
          <w:vertAlign w:val="superscript"/>
        </w:rPr>
        <w:t>3</w:t>
      </w:r>
      <w:r w:rsidRPr="002875B6">
        <w:t xml:space="preserve"> или 82,36 % от утвержденных запасов. </w:t>
      </w:r>
      <w:r w:rsidRPr="002875B6">
        <w:rPr>
          <w:bCs/>
        </w:rPr>
        <w:t xml:space="preserve">В четвертом квартале 2020 г. </w:t>
      </w:r>
      <w:r w:rsidRPr="002875B6">
        <w:t xml:space="preserve">суточный отбор газа предполагается </w:t>
      </w:r>
      <w:r w:rsidRPr="002875B6">
        <w:rPr>
          <w:bCs/>
        </w:rPr>
        <w:t>17,28 млн. м</w:t>
      </w:r>
      <w:r w:rsidRPr="002875B6">
        <w:rPr>
          <w:bCs/>
          <w:vertAlign w:val="superscript"/>
        </w:rPr>
        <w:t>3</w:t>
      </w:r>
      <w:r w:rsidRPr="002875B6">
        <w:rPr>
          <w:bCs/>
        </w:rPr>
        <w:t>/сут. К началу 2021 г. пластовое давление в целом по залежи снизится до 1,37 МПа, в зоне отбора - до 1,27 МПа. Средний дебит газа по скважинам составит 71,84 тыс. м</w:t>
      </w:r>
      <w:r w:rsidRPr="002875B6">
        <w:rPr>
          <w:bCs/>
          <w:vertAlign w:val="superscript"/>
        </w:rPr>
        <w:t>3</w:t>
      </w:r>
      <w:r w:rsidRPr="002875B6">
        <w:rPr>
          <w:bCs/>
        </w:rPr>
        <w:t>/год при депрессии 0,15 МПа.</w:t>
      </w:r>
    </w:p>
    <w:p w:rsidR="0063408D" w:rsidRPr="0063408D" w:rsidRDefault="0063408D" w:rsidP="0063408D">
      <w:pPr>
        <w:pStyle w:val="1"/>
        <w:ind w:firstLine="0"/>
        <w:rPr>
          <w:b/>
          <w:sz w:val="24"/>
        </w:rPr>
      </w:pPr>
      <w:r w:rsidRPr="0063408D">
        <w:rPr>
          <w:b/>
          <w:sz w:val="24"/>
        </w:rPr>
        <w:t>Рекомендованная программа работ по контролю за месторождением на 5 лет</w:t>
      </w:r>
    </w:p>
    <w:p w:rsidR="0063408D" w:rsidRDefault="0063408D" w:rsidP="0063408D">
      <w:pPr>
        <w:spacing w:line="360" w:lineRule="auto"/>
        <w:ind w:firstLine="851"/>
        <w:jc w:val="both"/>
      </w:pPr>
      <w:r w:rsidRPr="00655E93">
        <w:t>В таблице</w:t>
      </w:r>
      <w:r>
        <w:t xml:space="preserve"> 4</w:t>
      </w:r>
      <w:r w:rsidRPr="00655E93">
        <w:t xml:space="preserve"> рекомендована программа исследовательских работ по контролю над разработкой сеноманской газовой залежи Медвежьего месторождения на 2019 г. и последующие годы, в которой приведены виды и методы исследований, периодичность проведения работ и объекты исследований.</w:t>
      </w:r>
      <w:r w:rsidR="005E454D">
        <w:t xml:space="preserve"> [5</w:t>
      </w:r>
      <w:r w:rsidR="005E454D" w:rsidRPr="00AC19BF">
        <w:t>]</w:t>
      </w:r>
    </w:p>
    <w:p w:rsidR="0063408D" w:rsidRPr="00655E93" w:rsidRDefault="0063408D" w:rsidP="0063408D">
      <w:pPr>
        <w:rPr>
          <w:rFonts w:eastAsia="Calibri"/>
        </w:rPr>
      </w:pPr>
      <w:bookmarkStart w:id="10" w:name="_Ref513711586"/>
      <w:bookmarkStart w:id="11" w:name="_Toc514926154"/>
      <w:r w:rsidRPr="00655E93">
        <w:rPr>
          <w:rFonts w:eastAsia="Calibri"/>
        </w:rPr>
        <w:t xml:space="preserve">Таблица </w:t>
      </w:r>
      <w:bookmarkEnd w:id="10"/>
      <w:r>
        <w:t>4</w:t>
      </w:r>
      <w:r w:rsidRPr="00655E93">
        <w:rPr>
          <w:rFonts w:eastAsia="Calibri"/>
        </w:rPr>
        <w:t xml:space="preserve"> </w:t>
      </w:r>
      <w:r w:rsidRPr="00655E93">
        <w:rPr>
          <w:rFonts w:eastAsia="Calibri"/>
          <w:color w:val="000000"/>
        </w:rPr>
        <w:t>–</w:t>
      </w:r>
      <w:r w:rsidRPr="00655E93">
        <w:rPr>
          <w:rFonts w:eastAsia="Calibri"/>
        </w:rPr>
        <w:t xml:space="preserve"> Программа работ по контролю за разработкой</w:t>
      </w:r>
      <w:bookmarkEnd w:id="11"/>
    </w:p>
    <w:tbl>
      <w:tblPr>
        <w:tblpPr w:leftFromText="180" w:rightFromText="180" w:vertAnchor="text" w:tblpY="1"/>
        <w:tblOverlap w:val="never"/>
        <w:tblW w:w="5000" w:type="pct"/>
        <w:tblLook w:val="00A0" w:firstRow="1" w:lastRow="0" w:firstColumn="1" w:lastColumn="0" w:noHBand="0" w:noVBand="0"/>
      </w:tblPr>
      <w:tblGrid>
        <w:gridCol w:w="4021"/>
        <w:gridCol w:w="5041"/>
      </w:tblGrid>
      <w:tr w:rsidR="0063408D" w:rsidRPr="00655E93" w:rsidTr="009A32A7">
        <w:trPr>
          <w:trHeight w:val="20"/>
        </w:trPr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  <w:lang w:val="en-US"/>
              </w:rPr>
              <w:t>Виды исследований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 xml:space="preserve"> Периодичность проведения работ</w:t>
            </w:r>
          </w:p>
        </w:tc>
      </w:tr>
      <w:tr w:rsidR="0063408D" w:rsidRPr="00655E93" w:rsidTr="009A32A7">
        <w:trPr>
          <w:trHeight w:val="258"/>
        </w:trPr>
        <w:tc>
          <w:tcPr>
            <w:tcW w:w="3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Замеры рабочих параметров эксплуатационных скважин (Рбуф., Рзт., tу) и расчет дебита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655E93">
              <w:rPr>
                <w:rFonts w:eastAsia="Calibri"/>
                <w:color w:val="000000"/>
                <w:sz w:val="22"/>
                <w:szCs w:val="22"/>
                <w:lang w:val="en-US"/>
              </w:rPr>
              <w:t>один раз в месяц</w:t>
            </w:r>
          </w:p>
        </w:tc>
      </w:tr>
      <w:tr w:rsidR="0063408D" w:rsidRPr="00655E93" w:rsidTr="009A32A7">
        <w:trPr>
          <w:trHeight w:val="258"/>
        </w:trPr>
        <w:tc>
          <w:tcPr>
            <w:tcW w:w="3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Замеры статических и расчет пластовых давлений в эксплуатационных и наблюдательных скважинах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 xml:space="preserve"> один раз в квартал</w:t>
            </w:r>
          </w:p>
        </w:tc>
      </w:tr>
      <w:tr w:rsidR="0063408D" w:rsidRPr="00655E93" w:rsidTr="009A32A7">
        <w:trPr>
          <w:trHeight w:val="258"/>
        </w:trPr>
        <w:tc>
          <w:tcPr>
            <w:tcW w:w="3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Контрольные замеры пластовых давлений в эксплуатационных скважинах глубинным манометром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до 50 % фонда, от одного раза в год</w:t>
            </w:r>
          </w:p>
        </w:tc>
      </w:tr>
      <w:tr w:rsidR="0063408D" w:rsidRPr="00655E93" w:rsidTr="009A32A7">
        <w:trPr>
          <w:trHeight w:val="258"/>
        </w:trPr>
        <w:tc>
          <w:tcPr>
            <w:tcW w:w="3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Замеры статических уровней и пластовых давлений в пьезометрических скважинах глубинным манометром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 xml:space="preserve"> один раз в год</w:t>
            </w: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lastRenderedPageBreak/>
              <w:t>Газодинамические исследования скважин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100 % действующего фонда один раз в год</w:t>
            </w: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 xml:space="preserve">Определение положения текущих забоев в эксплуатационных и наблюдательных скважинах 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в процессе любых исследований по ГИС-контролю</w:t>
            </w:r>
          </w:p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или по спец. программе.</w:t>
            </w: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Гидрохимический контроль за работой эксплуатационных скважин (отбор проб жидкости и проведение хим. анализов)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655E93">
              <w:rPr>
                <w:rFonts w:eastAsia="Calibri"/>
                <w:color w:val="000000"/>
                <w:sz w:val="22"/>
                <w:szCs w:val="22"/>
                <w:lang w:val="en-US"/>
              </w:rPr>
              <w:t>один раз в 6  месяцев</w:t>
            </w: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Контроль за динамикой ГВК (НК, ИНК, ШАМ, ТМ)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  <w:lang w:val="en-US"/>
              </w:rPr>
              <w:t>один раз в год</w:t>
            </w: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Определение профиля притока газа из пласта в скважину (РМ_Г, ТИ, ТМ, ШИ)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до 50 % фонда, от одного раза в год</w:t>
            </w: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Контроль технического состояния эксплуатационных скважин (ГК, ЛМ, ЭМД, МК, ТМ, ШИ)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при подозрениях на плохое тех. сост.</w:t>
            </w: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Комплекс исследований при повторной перфорации и проведении ремонтно - изоляционных работ в эксплуатационных скважинах</w:t>
            </w:r>
          </w:p>
        </w:tc>
        <w:tc>
          <w:tcPr>
            <w:tcW w:w="17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655E93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после каждого </w:t>
            </w:r>
            <w:r w:rsidRPr="00655E93">
              <w:rPr>
                <w:rFonts w:eastAsia="Calibri"/>
                <w:color w:val="000000"/>
                <w:sz w:val="22"/>
                <w:szCs w:val="22"/>
              </w:rPr>
              <w:t>КРС</w:t>
            </w:r>
          </w:p>
        </w:tc>
      </w:tr>
      <w:tr w:rsidR="0063408D" w:rsidRPr="00655E93" w:rsidTr="009A32A7">
        <w:trPr>
          <w:trHeight w:val="258"/>
        </w:trPr>
        <w:tc>
          <w:tcPr>
            <w:tcW w:w="3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63408D" w:rsidRPr="00655E93" w:rsidTr="009A32A7">
        <w:trPr>
          <w:trHeight w:val="20"/>
        </w:trPr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8D" w:rsidRPr="00655E93" w:rsidRDefault="0063408D" w:rsidP="009A32A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>Замеры межколонных давлений в эксплуатационных и наблюдательных скважинах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08D" w:rsidRPr="00655E93" w:rsidRDefault="0063408D" w:rsidP="009A32A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55E93">
              <w:rPr>
                <w:rFonts w:eastAsia="Calibri"/>
                <w:color w:val="000000"/>
                <w:sz w:val="22"/>
                <w:szCs w:val="22"/>
              </w:rPr>
              <w:t xml:space="preserve"> один раз в месяц</w:t>
            </w:r>
          </w:p>
        </w:tc>
      </w:tr>
    </w:tbl>
    <w:p w:rsidR="0063408D" w:rsidRDefault="0063408D" w:rsidP="0063408D">
      <w:pPr>
        <w:spacing w:line="360" w:lineRule="auto"/>
        <w:jc w:val="both"/>
        <w:rPr>
          <w:b/>
          <w:bCs/>
        </w:rPr>
      </w:pPr>
      <w:r w:rsidRPr="0063408D">
        <w:rPr>
          <w:b/>
          <w:bCs/>
        </w:rPr>
        <w:t>Подведение итогов</w:t>
      </w:r>
    </w:p>
    <w:p w:rsidR="0063408D" w:rsidRPr="00655E93" w:rsidRDefault="0063408D" w:rsidP="0063408D">
      <w:pPr>
        <w:suppressAutoHyphens/>
        <w:spacing w:line="360" w:lineRule="auto"/>
        <w:ind w:firstLine="851"/>
        <w:jc w:val="both"/>
      </w:pPr>
      <w:r w:rsidRPr="00655E93">
        <w:t>Сеноманская залежь является массивной, водоплавающей и представляет собой единый гидродинамически связанный объект, что определяет ее как самостоятельный объект разработки.</w:t>
      </w:r>
    </w:p>
    <w:p w:rsidR="0063408D" w:rsidRPr="00655E93" w:rsidRDefault="0063408D" w:rsidP="0063408D">
      <w:pPr>
        <w:numPr>
          <w:ilvl w:val="12"/>
          <w:numId w:val="0"/>
        </w:numPr>
        <w:tabs>
          <w:tab w:val="left" w:pos="1276"/>
        </w:tabs>
        <w:spacing w:line="360" w:lineRule="auto"/>
        <w:ind w:firstLine="851"/>
        <w:jc w:val="both"/>
      </w:pPr>
      <w:r w:rsidRPr="00655E93">
        <w:t>На Медвежьем месторождении, контроль за разработкой сеноманской залежи, осуществляется геологической службой ООО «Газпром добыча Надым», путем систематического контроля и анализа процесса разработки месторождения, на основе регулярных замеров и наблюдений, а также применения комплекса геолого-промысловых, геохимических и геофизических исследований, проводимых в эксплуатационных, наблюдательных и пьезометрических скважинах.</w:t>
      </w:r>
    </w:p>
    <w:p w:rsidR="0063408D" w:rsidRPr="00655E93" w:rsidRDefault="0063408D" w:rsidP="0063408D">
      <w:pPr>
        <w:spacing w:line="360" w:lineRule="auto"/>
        <w:ind w:firstLine="851"/>
        <w:jc w:val="both"/>
      </w:pPr>
      <w:r w:rsidRPr="00655E93">
        <w:t>Система контроля включает следующий комплекс исследований: систематические и контрольные замеры устьевых, статических и пластовых давлений, уровней жидкости в пьезометрических скважинах, контроль динамики внедрения подошвенной воды в залежь и построение карты подъема ГВК, измерение дебитов и химического состава газа, воды по скважинам в процессе разработки, контроль технического состояния скважин.</w:t>
      </w:r>
    </w:p>
    <w:p w:rsidR="0063408D" w:rsidRPr="00655E93" w:rsidRDefault="0063408D" w:rsidP="0063408D">
      <w:pPr>
        <w:spacing w:line="360" w:lineRule="auto"/>
        <w:ind w:firstLine="708"/>
        <w:jc w:val="both"/>
      </w:pPr>
      <w:r w:rsidRPr="00655E93">
        <w:t>Медвежье месторождение находится в периоде падающей добычи, режим работы залежи водонапорный. За 46-летний период эксплуатации отобрано более 2 трлн.м</w:t>
      </w:r>
      <w:r w:rsidRPr="00655E93">
        <w:rPr>
          <w:vertAlign w:val="superscript"/>
        </w:rPr>
        <w:t>3</w:t>
      </w:r>
      <w:r w:rsidRPr="00655E93">
        <w:t xml:space="preserve"> газа, что составляет 90% от утвержденных запасов газа. По данным геолого-промыслового контроля за разработкой в продукции многих скважин отмечается наличие механических </w:t>
      </w:r>
      <w:r w:rsidRPr="00655E93">
        <w:lastRenderedPageBreak/>
        <w:t>примесей и повышенное содержание жидкости (водный фактор выше 0,4 смЭ/м</w:t>
      </w:r>
      <w:r w:rsidRPr="00655E93">
        <w:rPr>
          <w:vertAlign w:val="superscript"/>
        </w:rPr>
        <w:t>3</w:t>
      </w:r>
      <w:r w:rsidRPr="00655E93">
        <w:t>), т.е. были выделены 43 скважины, в которых следует организовать капитальный ремонт по очистке зоны фильтра от песчано-жидкостных пробок.</w:t>
      </w:r>
    </w:p>
    <w:p w:rsidR="0063408D" w:rsidRPr="00655E93" w:rsidRDefault="0063408D" w:rsidP="0063408D">
      <w:pPr>
        <w:spacing w:line="360" w:lineRule="auto"/>
        <w:ind w:firstLine="708"/>
        <w:jc w:val="both"/>
      </w:pPr>
      <w:r w:rsidRPr="00655E93">
        <w:t>Результаты гидрохимического анализа показали, что с присутствием пластовой воды и смеси пластовой и конденсационной воды работают 83 скважины. В связи с существенным падением пластового давления и началом периода   падающей   добычи   на   месторождении   растет   число самозадавливающихся скважин, продувка стволов которых проводится с интенсивностью от 2 раз в неделю до 2 раз в месяц.</w:t>
      </w:r>
    </w:p>
    <w:p w:rsidR="0063408D" w:rsidRPr="00655E93" w:rsidRDefault="0063408D" w:rsidP="0063408D">
      <w:pPr>
        <w:spacing w:line="360" w:lineRule="auto"/>
        <w:ind w:firstLine="708"/>
        <w:jc w:val="both"/>
      </w:pPr>
      <w:r w:rsidRPr="00655E93">
        <w:t xml:space="preserve">По данным  геофизического  контроля  за разработкой  отмечен неравномерный подъем ГВК в различных частях месторождения, что связано со сложным литологическим строением сеноманской газовой залежи. </w:t>
      </w:r>
    </w:p>
    <w:p w:rsidR="0063408D" w:rsidRPr="00655E93" w:rsidRDefault="0063408D" w:rsidP="0063408D">
      <w:pPr>
        <w:spacing w:line="360" w:lineRule="auto"/>
        <w:ind w:firstLine="851"/>
        <w:jc w:val="both"/>
      </w:pPr>
      <w:r w:rsidRPr="00655E93">
        <w:t>Для увеличения числа точек наблюдения за динамикой внедрения подошвенной воды, начиная с 2011 г. наряду с результатами ГИС в наблюдательных скважинах, используются геофизические данные в эксплуатационном фонде (где песчано-глинистая пробка не перекрывала ожидаемый уровень контакта газ-вода).</w:t>
      </w:r>
    </w:p>
    <w:p w:rsidR="0063408D" w:rsidRPr="00655E93" w:rsidRDefault="0063408D" w:rsidP="0063408D">
      <w:pPr>
        <w:spacing w:line="360" w:lineRule="auto"/>
        <w:ind w:firstLine="851"/>
        <w:jc w:val="both"/>
      </w:pPr>
      <w:r w:rsidRPr="00655E93">
        <w:t>В зависимости от текущего подъема ГВК и проводимых ГТМ, возможно изменение фонда эксплуатационно-наблюдательных скважин.</w:t>
      </w:r>
    </w:p>
    <w:p w:rsidR="0063408D" w:rsidRPr="00655E93" w:rsidRDefault="0063408D" w:rsidP="0063408D">
      <w:pPr>
        <w:spacing w:line="360" w:lineRule="auto"/>
        <w:ind w:firstLine="851"/>
        <w:jc w:val="both"/>
      </w:pPr>
      <w:r w:rsidRPr="00655E93">
        <w:t>Для определения параметров и характеристик скважин, пласта и насыщающих его флюидов применяются газогидродинамические, геофизические и лабораторные методы исследований. Указанные методы дополняют друг друга, позволяют получить наиболее обоснованную информацию и выявить связь между отдельными параметрами и влияющими на них факторами.</w:t>
      </w:r>
    </w:p>
    <w:p w:rsidR="0063408D" w:rsidRPr="00655E93" w:rsidRDefault="0063408D" w:rsidP="0063408D">
      <w:pPr>
        <w:spacing w:line="360" w:lineRule="auto"/>
        <w:ind w:firstLine="851"/>
        <w:jc w:val="both"/>
      </w:pPr>
      <w:r w:rsidRPr="00655E93">
        <w:t>Сформированный объем исследований позволит вести мониторинг за изменением продуктивных характеристик и технического состояния скважин, а также осуществлять полный контроль разработки сеноманских залежей в целом.</w:t>
      </w:r>
    </w:p>
    <w:p w:rsidR="0063408D" w:rsidRPr="0063408D" w:rsidRDefault="0063408D" w:rsidP="0063408D">
      <w:pPr>
        <w:spacing w:line="360" w:lineRule="auto"/>
        <w:jc w:val="both"/>
        <w:rPr>
          <w:b/>
          <w:bCs/>
        </w:rPr>
      </w:pPr>
    </w:p>
    <w:p w:rsidR="00EA080B" w:rsidRPr="00EA080B" w:rsidRDefault="00EA080B" w:rsidP="00EA080B"/>
    <w:p w:rsidR="00A81B51" w:rsidRDefault="00A81B51" w:rsidP="003F4565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81B51" w:rsidRDefault="00A81B51" w:rsidP="003F4565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81B51" w:rsidRDefault="00A81B51" w:rsidP="003F4565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81B51" w:rsidRDefault="00A81B51" w:rsidP="003F4565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81B51" w:rsidRDefault="00A81B51" w:rsidP="003F4565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63408D" w:rsidRDefault="0063408D" w:rsidP="0063408D">
      <w:pPr>
        <w:pStyle w:val="31"/>
        <w:jc w:val="both"/>
        <w:rPr>
          <w:rFonts w:eastAsiaTheme="minorHAnsi"/>
          <w:bCs w:val="0"/>
          <w:sz w:val="28"/>
          <w:szCs w:val="28"/>
          <w:lang w:eastAsia="en-US"/>
        </w:rPr>
      </w:pPr>
    </w:p>
    <w:p w:rsidR="008E00DD" w:rsidRPr="00AE1A47" w:rsidRDefault="008E00DD" w:rsidP="0063408D">
      <w:pPr>
        <w:pStyle w:val="31"/>
        <w:jc w:val="both"/>
        <w:rPr>
          <w:rFonts w:eastAsiaTheme="minorHAnsi"/>
          <w:b w:val="0"/>
          <w:sz w:val="28"/>
          <w:szCs w:val="28"/>
          <w:lang w:eastAsia="en-US"/>
        </w:rPr>
      </w:pPr>
      <w:bookmarkStart w:id="12" w:name="_GoBack"/>
      <w:bookmarkEnd w:id="12"/>
    </w:p>
    <w:p w:rsidR="00636106" w:rsidRDefault="00636106" w:rsidP="00636106">
      <w:pPr>
        <w:spacing w:line="360" w:lineRule="auto"/>
        <w:ind w:firstLine="708"/>
        <w:jc w:val="center"/>
        <w:rPr>
          <w:b/>
          <w:szCs w:val="28"/>
        </w:rPr>
      </w:pPr>
      <w:r w:rsidRPr="0071102B">
        <w:rPr>
          <w:b/>
          <w:szCs w:val="28"/>
        </w:rPr>
        <w:lastRenderedPageBreak/>
        <w:t>СПИСОК ИСПОЛЬЗОВАННЫХ ИСТОЧНИКОВ</w:t>
      </w:r>
    </w:p>
    <w:p w:rsidR="0063408D" w:rsidRPr="0063408D" w:rsidRDefault="0063408D" w:rsidP="0063408D">
      <w:pPr>
        <w:pStyle w:val="ac"/>
        <w:numPr>
          <w:ilvl w:val="0"/>
          <w:numId w:val="24"/>
        </w:numPr>
        <w:spacing w:line="343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408D">
        <w:rPr>
          <w:rFonts w:ascii="Times New Roman" w:hAnsi="Times New Roman" w:cs="Times New Roman"/>
          <w:sz w:val="24"/>
          <w:szCs w:val="24"/>
        </w:rPr>
        <w:t>Проект поисково-разведочных работ для Ныдинского месторождения: Отчет о НИР / ООО «ТюменНИИгипрогаз»; Отв. исполн. Нежданов А.А., Нанивский Е.М., Ханнанов З.Д. - Тюмень, 1992 г. - 80 с.</w:t>
      </w:r>
    </w:p>
    <w:p w:rsidR="0063408D" w:rsidRPr="0063408D" w:rsidRDefault="0063408D" w:rsidP="0063408D">
      <w:pPr>
        <w:pStyle w:val="ac"/>
        <w:numPr>
          <w:ilvl w:val="0"/>
          <w:numId w:val="24"/>
        </w:numPr>
        <w:spacing w:line="343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408D">
        <w:rPr>
          <w:rFonts w:ascii="Times New Roman" w:hAnsi="Times New Roman" w:cs="Times New Roman"/>
          <w:sz w:val="24"/>
          <w:szCs w:val="24"/>
        </w:rPr>
        <w:t>Проект поисково-разведочных работ в меловых и юрских отложениях Медвежьего месторождения на основе переобработки и переинтерпретации сейсморазведочных работ: Отчет о НИР / ООО «ТюменНИИгипрогаз»; Отв. исполн. Туренков Н.А., Нежданов А.А. - Тюмень, 2002. -181 с.</w:t>
      </w:r>
    </w:p>
    <w:p w:rsidR="0063408D" w:rsidRPr="0063408D" w:rsidRDefault="0063408D" w:rsidP="0063408D">
      <w:pPr>
        <w:pStyle w:val="ac"/>
        <w:numPr>
          <w:ilvl w:val="0"/>
          <w:numId w:val="24"/>
        </w:numPr>
        <w:spacing w:line="343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408D">
        <w:rPr>
          <w:rFonts w:ascii="Times New Roman" w:hAnsi="Times New Roman" w:cs="Times New Roman"/>
          <w:sz w:val="24"/>
          <w:szCs w:val="24"/>
        </w:rPr>
        <w:t>Создание геологической модели и проекта поисково-разведочных работ по Ныдинскому участку Медвежьего месторождения: Отчет о НИР/ ООО «ТюменНИИгипрогаз»; Отв. исполн. Огибенин В.В., Тырцов Ю.И. - Тюмень, 2004.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408D">
        <w:rPr>
          <w:rFonts w:ascii="Times New Roman" w:hAnsi="Times New Roman" w:cs="Times New Roman"/>
          <w:sz w:val="24"/>
          <w:szCs w:val="24"/>
        </w:rPr>
        <w:t>- 211 с.</w:t>
      </w:r>
    </w:p>
    <w:p w:rsidR="0063408D" w:rsidRDefault="0063408D" w:rsidP="005E454D">
      <w:pPr>
        <w:pStyle w:val="ac"/>
        <w:numPr>
          <w:ilvl w:val="0"/>
          <w:numId w:val="24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63408D">
        <w:rPr>
          <w:rFonts w:ascii="Times New Roman" w:hAnsi="Times New Roman" w:cs="Times New Roman"/>
          <w:sz w:val="24"/>
          <w:szCs w:val="24"/>
        </w:rPr>
        <w:t>Проект поисково-оценочных работ на сенонские отложения в пределах Медвежьего лицензионного участка: Отчет о НИР/ ООО «ТюменНИИгипрогаз»; Отв. исп. Скрылев С.А., Нежданов А.А. - Тюмень, 2007.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408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408D">
        <w:rPr>
          <w:rFonts w:ascii="Times New Roman" w:hAnsi="Times New Roman" w:cs="Times New Roman"/>
          <w:sz w:val="24"/>
          <w:szCs w:val="24"/>
        </w:rPr>
        <w:t>214 с.</w:t>
      </w:r>
    </w:p>
    <w:p w:rsidR="005E454D" w:rsidRPr="00655E93" w:rsidRDefault="005E454D" w:rsidP="005E454D">
      <w:pPr>
        <w:pStyle w:val="af1"/>
        <w:numPr>
          <w:ilvl w:val="0"/>
          <w:numId w:val="24"/>
        </w:numPr>
        <w:ind w:left="425" w:hanging="357"/>
        <w:rPr>
          <w:szCs w:val="24"/>
        </w:rPr>
      </w:pPr>
      <w:r w:rsidRPr="00655E93">
        <w:rPr>
          <w:szCs w:val="24"/>
        </w:rPr>
        <w:t>РД 153-39.0-047-00 Регламент по созданию постоянно действующих геолого-технологических моделей нефтяных и газонефтяных месторождений. – М.: 2000.</w:t>
      </w:r>
    </w:p>
    <w:p w:rsidR="005E454D" w:rsidRPr="0063408D" w:rsidRDefault="005E454D" w:rsidP="005E454D">
      <w:pPr>
        <w:pStyle w:val="ac"/>
        <w:spacing w:line="343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19BF" w:rsidRPr="0071102B" w:rsidRDefault="00AC19BF" w:rsidP="0071102B">
      <w:pPr>
        <w:spacing w:line="360" w:lineRule="auto"/>
        <w:jc w:val="both"/>
        <w:rPr>
          <w:b/>
        </w:rPr>
      </w:pPr>
    </w:p>
    <w:sectPr w:rsidR="00AC19BF" w:rsidRPr="0071102B" w:rsidSect="006A4785">
      <w:pgSz w:w="11907" w:h="16840" w:code="9"/>
      <w:pgMar w:top="1134" w:right="1134" w:bottom="1134" w:left="1701" w:header="720" w:footer="720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62C" w:rsidRDefault="008A662C" w:rsidP="00F20DAF">
      <w:r>
        <w:separator/>
      </w:r>
    </w:p>
  </w:endnote>
  <w:endnote w:type="continuationSeparator" w:id="0">
    <w:p w:rsidR="008A662C" w:rsidRDefault="008A662C" w:rsidP="00F2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62C" w:rsidRDefault="008A662C" w:rsidP="00F20DAF">
      <w:r>
        <w:separator/>
      </w:r>
    </w:p>
  </w:footnote>
  <w:footnote w:type="continuationSeparator" w:id="0">
    <w:p w:rsidR="008A662C" w:rsidRDefault="008A662C" w:rsidP="00F20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0143F"/>
    <w:multiLevelType w:val="hybridMultilevel"/>
    <w:tmpl w:val="DE8AD1A4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" w15:restartNumberingAfterBreak="0">
    <w:nsid w:val="06F91D7A"/>
    <w:multiLevelType w:val="hybridMultilevel"/>
    <w:tmpl w:val="3AAAF2CC"/>
    <w:lvl w:ilvl="0" w:tplc="89C49366">
      <w:start w:val="1"/>
      <w:numFmt w:val="decimal"/>
      <w:lvlText w:val="%1."/>
      <w:lvlJc w:val="left"/>
      <w:pPr>
        <w:tabs>
          <w:tab w:val="num" w:pos="759"/>
        </w:tabs>
        <w:ind w:left="7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</w:lvl>
  </w:abstractNum>
  <w:abstractNum w:abstractNumId="2" w15:restartNumberingAfterBreak="0">
    <w:nsid w:val="0EE3468B"/>
    <w:multiLevelType w:val="multilevel"/>
    <w:tmpl w:val="05C6F1E0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07878D5"/>
    <w:multiLevelType w:val="hybridMultilevel"/>
    <w:tmpl w:val="17A0C066"/>
    <w:lvl w:ilvl="0" w:tplc="BD3C487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2E171A6"/>
    <w:multiLevelType w:val="hybridMultilevel"/>
    <w:tmpl w:val="806C34B8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5" w15:restartNumberingAfterBreak="0">
    <w:nsid w:val="146470E4"/>
    <w:multiLevelType w:val="multilevel"/>
    <w:tmpl w:val="90467B7C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50"/>
        </w:tabs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70"/>
        </w:tabs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90"/>
        </w:tabs>
        <w:ind w:left="1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0"/>
        </w:tabs>
        <w:ind w:left="2370" w:hanging="2160"/>
      </w:pPr>
      <w:rPr>
        <w:rFonts w:hint="default"/>
      </w:rPr>
    </w:lvl>
  </w:abstractNum>
  <w:abstractNum w:abstractNumId="6" w15:restartNumberingAfterBreak="0">
    <w:nsid w:val="192C7562"/>
    <w:multiLevelType w:val="hybridMultilevel"/>
    <w:tmpl w:val="CBAE6902"/>
    <w:lvl w:ilvl="0" w:tplc="D5A00638">
      <w:start w:val="1"/>
      <w:numFmt w:val="decimal"/>
      <w:lvlText w:val="%1."/>
      <w:lvlJc w:val="left"/>
      <w:pPr>
        <w:tabs>
          <w:tab w:val="num" w:pos="759"/>
        </w:tabs>
        <w:ind w:left="7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</w:lvl>
  </w:abstractNum>
  <w:abstractNum w:abstractNumId="7" w15:restartNumberingAfterBreak="0">
    <w:nsid w:val="1DA91DC2"/>
    <w:multiLevelType w:val="hybridMultilevel"/>
    <w:tmpl w:val="97C00DBA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8" w15:restartNumberingAfterBreak="0">
    <w:nsid w:val="1E1D6E85"/>
    <w:multiLevelType w:val="hybridMultilevel"/>
    <w:tmpl w:val="A6101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6DA6"/>
    <w:multiLevelType w:val="hybridMultilevel"/>
    <w:tmpl w:val="17A0C066"/>
    <w:lvl w:ilvl="0" w:tplc="BD3C487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F121B29"/>
    <w:multiLevelType w:val="hybridMultilevel"/>
    <w:tmpl w:val="D898E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D7D70"/>
    <w:multiLevelType w:val="hybridMultilevel"/>
    <w:tmpl w:val="EE5CD8F4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2" w15:restartNumberingAfterBreak="0">
    <w:nsid w:val="2673544C"/>
    <w:multiLevelType w:val="hybridMultilevel"/>
    <w:tmpl w:val="7F264A5C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3" w15:restartNumberingAfterBreak="0">
    <w:nsid w:val="2AAA6472"/>
    <w:multiLevelType w:val="hybridMultilevel"/>
    <w:tmpl w:val="91806EE2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4" w15:restartNumberingAfterBreak="0">
    <w:nsid w:val="3CF9523E"/>
    <w:multiLevelType w:val="hybridMultilevel"/>
    <w:tmpl w:val="16AC32E0"/>
    <w:lvl w:ilvl="0" w:tplc="8918F35E">
      <w:start w:val="2"/>
      <w:numFmt w:val="bullet"/>
      <w:lvlText w:val=""/>
      <w:lvlJc w:val="left"/>
      <w:pPr>
        <w:tabs>
          <w:tab w:val="num" w:pos="684"/>
        </w:tabs>
        <w:ind w:left="684" w:hanging="45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hint="default"/>
      </w:rPr>
    </w:lvl>
  </w:abstractNum>
  <w:abstractNum w:abstractNumId="15" w15:restartNumberingAfterBreak="0">
    <w:nsid w:val="43526BE9"/>
    <w:multiLevelType w:val="hybridMultilevel"/>
    <w:tmpl w:val="4552C8A0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6" w15:restartNumberingAfterBreak="0">
    <w:nsid w:val="47221C01"/>
    <w:multiLevelType w:val="hybridMultilevel"/>
    <w:tmpl w:val="266EC4E6"/>
    <w:lvl w:ilvl="0" w:tplc="28A843A2">
      <w:start w:val="3"/>
      <w:numFmt w:val="bullet"/>
      <w:lvlText w:val="-"/>
      <w:lvlJc w:val="left"/>
      <w:pPr>
        <w:tabs>
          <w:tab w:val="num" w:pos="639"/>
        </w:tabs>
        <w:ind w:left="639" w:hanging="4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hint="default"/>
      </w:rPr>
    </w:lvl>
  </w:abstractNum>
  <w:abstractNum w:abstractNumId="17" w15:restartNumberingAfterBreak="0">
    <w:nsid w:val="4AC353D3"/>
    <w:multiLevelType w:val="hybridMultilevel"/>
    <w:tmpl w:val="21E22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B4563D8"/>
    <w:multiLevelType w:val="hybridMultilevel"/>
    <w:tmpl w:val="47D41E5E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9" w15:restartNumberingAfterBreak="0">
    <w:nsid w:val="577C0894"/>
    <w:multiLevelType w:val="multilevel"/>
    <w:tmpl w:val="822EC34E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598171DF"/>
    <w:multiLevelType w:val="hybridMultilevel"/>
    <w:tmpl w:val="3B9E7D06"/>
    <w:lvl w:ilvl="0" w:tplc="7A688A6E">
      <w:start w:val="1"/>
      <w:numFmt w:val="decimal"/>
      <w:lvlText w:val="%1."/>
      <w:lvlJc w:val="left"/>
      <w:pPr>
        <w:tabs>
          <w:tab w:val="num" w:pos="330"/>
        </w:tabs>
        <w:ind w:left="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0"/>
        </w:tabs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</w:lvl>
  </w:abstractNum>
  <w:abstractNum w:abstractNumId="21" w15:restartNumberingAfterBreak="0">
    <w:nsid w:val="651C3063"/>
    <w:multiLevelType w:val="multilevel"/>
    <w:tmpl w:val="02E8D4B8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5AB284F"/>
    <w:multiLevelType w:val="hybridMultilevel"/>
    <w:tmpl w:val="7EA63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6A3CB8"/>
    <w:multiLevelType w:val="hybridMultilevel"/>
    <w:tmpl w:val="5484A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4059B"/>
    <w:multiLevelType w:val="hybridMultilevel"/>
    <w:tmpl w:val="5322A7B4"/>
    <w:lvl w:ilvl="0" w:tplc="CB90F8BE">
      <w:start w:val="1"/>
      <w:numFmt w:val="decimal"/>
      <w:lvlText w:val="%1."/>
      <w:lvlJc w:val="left"/>
      <w:pPr>
        <w:tabs>
          <w:tab w:val="num" w:pos="330"/>
        </w:tabs>
        <w:ind w:left="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0"/>
        </w:tabs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</w:lvl>
  </w:abstractNum>
  <w:abstractNum w:abstractNumId="25" w15:restartNumberingAfterBreak="0">
    <w:nsid w:val="7CF7690E"/>
    <w:multiLevelType w:val="hybridMultilevel"/>
    <w:tmpl w:val="236E85E0"/>
    <w:lvl w:ilvl="0" w:tplc="04190001">
      <w:start w:val="1"/>
      <w:numFmt w:val="bullet"/>
      <w:lvlText w:val=""/>
      <w:lvlJc w:val="left"/>
      <w:pPr>
        <w:tabs>
          <w:tab w:val="num" w:pos="954"/>
        </w:tabs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0"/>
  </w:num>
  <w:num w:numId="4">
    <w:abstractNumId w:val="24"/>
  </w:num>
  <w:num w:numId="5">
    <w:abstractNumId w:val="1"/>
  </w:num>
  <w:num w:numId="6">
    <w:abstractNumId w:val="5"/>
  </w:num>
  <w:num w:numId="7">
    <w:abstractNumId w:val="14"/>
  </w:num>
  <w:num w:numId="8">
    <w:abstractNumId w:val="19"/>
  </w:num>
  <w:num w:numId="9">
    <w:abstractNumId w:val="2"/>
  </w:num>
  <w:num w:numId="10">
    <w:abstractNumId w:val="21"/>
  </w:num>
  <w:num w:numId="11">
    <w:abstractNumId w:val="6"/>
  </w:num>
  <w:num w:numId="12">
    <w:abstractNumId w:val="18"/>
  </w:num>
  <w:num w:numId="13">
    <w:abstractNumId w:val="13"/>
  </w:num>
  <w:num w:numId="14">
    <w:abstractNumId w:val="7"/>
  </w:num>
  <w:num w:numId="15">
    <w:abstractNumId w:val="25"/>
  </w:num>
  <w:num w:numId="16">
    <w:abstractNumId w:val="11"/>
  </w:num>
  <w:num w:numId="17">
    <w:abstractNumId w:val="15"/>
  </w:num>
  <w:num w:numId="18">
    <w:abstractNumId w:val="12"/>
  </w:num>
  <w:num w:numId="19">
    <w:abstractNumId w:val="4"/>
  </w:num>
  <w:num w:numId="20">
    <w:abstractNumId w:val="0"/>
  </w:num>
  <w:num w:numId="21">
    <w:abstractNumId w:val="17"/>
  </w:num>
  <w:num w:numId="22">
    <w:abstractNumId w:val="8"/>
  </w:num>
  <w:num w:numId="23">
    <w:abstractNumId w:val="23"/>
  </w:num>
  <w:num w:numId="24">
    <w:abstractNumId w:val="3"/>
  </w:num>
  <w:num w:numId="25">
    <w:abstractNumId w:val="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efaultTabStop w:val="708"/>
  <w:autoHyphenation/>
  <w:hyphenationZone w:val="357"/>
  <w:drawingGridHorizontalSpacing w:val="78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713"/>
    <w:rsid w:val="000015C5"/>
    <w:rsid w:val="00024FF9"/>
    <w:rsid w:val="00073E8B"/>
    <w:rsid w:val="00170834"/>
    <w:rsid w:val="00191A23"/>
    <w:rsid w:val="001D48EC"/>
    <w:rsid w:val="001F4BE5"/>
    <w:rsid w:val="0027446A"/>
    <w:rsid w:val="00287603"/>
    <w:rsid w:val="00342DC6"/>
    <w:rsid w:val="0039439D"/>
    <w:rsid w:val="003A1BD5"/>
    <w:rsid w:val="003F4565"/>
    <w:rsid w:val="0046298F"/>
    <w:rsid w:val="004A47E2"/>
    <w:rsid w:val="005106A1"/>
    <w:rsid w:val="00586713"/>
    <w:rsid w:val="005E0810"/>
    <w:rsid w:val="005E454D"/>
    <w:rsid w:val="0063408D"/>
    <w:rsid w:val="00636106"/>
    <w:rsid w:val="0067142D"/>
    <w:rsid w:val="006A4785"/>
    <w:rsid w:val="0071102B"/>
    <w:rsid w:val="00757DDE"/>
    <w:rsid w:val="007A2D17"/>
    <w:rsid w:val="007E7E40"/>
    <w:rsid w:val="007F5F0D"/>
    <w:rsid w:val="007F6429"/>
    <w:rsid w:val="008811E9"/>
    <w:rsid w:val="00896EEA"/>
    <w:rsid w:val="008A662C"/>
    <w:rsid w:val="008D35FD"/>
    <w:rsid w:val="008E00DD"/>
    <w:rsid w:val="008F457F"/>
    <w:rsid w:val="0092522E"/>
    <w:rsid w:val="00926BAE"/>
    <w:rsid w:val="009656BD"/>
    <w:rsid w:val="0097294A"/>
    <w:rsid w:val="009A6831"/>
    <w:rsid w:val="00A81B51"/>
    <w:rsid w:val="00A848A8"/>
    <w:rsid w:val="00AB0E68"/>
    <w:rsid w:val="00AC19BF"/>
    <w:rsid w:val="00AE1A47"/>
    <w:rsid w:val="00B2164F"/>
    <w:rsid w:val="00B32779"/>
    <w:rsid w:val="00B67C3B"/>
    <w:rsid w:val="00BA17B0"/>
    <w:rsid w:val="00BB7129"/>
    <w:rsid w:val="00BC6D56"/>
    <w:rsid w:val="00C14436"/>
    <w:rsid w:val="00C365F4"/>
    <w:rsid w:val="00C919B3"/>
    <w:rsid w:val="00CC0AF9"/>
    <w:rsid w:val="00D17098"/>
    <w:rsid w:val="00D75B00"/>
    <w:rsid w:val="00DA6A57"/>
    <w:rsid w:val="00E138A6"/>
    <w:rsid w:val="00E831FE"/>
    <w:rsid w:val="00EA080B"/>
    <w:rsid w:val="00F10195"/>
    <w:rsid w:val="00F20DAF"/>
    <w:rsid w:val="00F628CD"/>
    <w:rsid w:val="00F8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181590"/>
  <w15:chartTrackingRefBased/>
  <w15:docId w15:val="{19462801-5E99-7D48-BA0C-0AE50FEA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298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60" w:lineRule="auto"/>
      <w:ind w:firstLine="234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1B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Pr>
      <w:b/>
      <w:bCs/>
      <w:sz w:val="36"/>
    </w:rPr>
  </w:style>
  <w:style w:type="paragraph" w:styleId="a5">
    <w:name w:val="Body Text Indent"/>
    <w:basedOn w:val="a"/>
    <w:semiHidden/>
    <w:pPr>
      <w:spacing w:line="360" w:lineRule="auto"/>
      <w:ind w:firstLine="234"/>
    </w:pPr>
    <w:rPr>
      <w:sz w:val="28"/>
    </w:rPr>
  </w:style>
  <w:style w:type="paragraph" w:styleId="20">
    <w:name w:val="Body Text 2"/>
    <w:basedOn w:val="a"/>
    <w:semiHidden/>
    <w:pPr>
      <w:spacing w:line="360" w:lineRule="auto"/>
    </w:pPr>
    <w:rPr>
      <w:sz w:val="28"/>
    </w:rPr>
  </w:style>
  <w:style w:type="paragraph" w:styleId="31">
    <w:name w:val="Body Text 3"/>
    <w:basedOn w:val="a"/>
    <w:semiHidden/>
    <w:pPr>
      <w:spacing w:line="360" w:lineRule="auto"/>
    </w:pPr>
    <w:rPr>
      <w:b/>
      <w:bCs/>
      <w:sz w:val="32"/>
    </w:rPr>
  </w:style>
  <w:style w:type="paragraph" w:styleId="21">
    <w:name w:val="Body Text Indent 2"/>
    <w:basedOn w:val="a"/>
    <w:semiHidden/>
    <w:pPr>
      <w:spacing w:line="360" w:lineRule="auto"/>
      <w:ind w:firstLine="234"/>
    </w:pPr>
    <w:rPr>
      <w:b/>
      <w:bCs/>
      <w:sz w:val="28"/>
    </w:rPr>
  </w:style>
  <w:style w:type="paragraph" w:styleId="32">
    <w:name w:val="Body Text Indent 3"/>
    <w:basedOn w:val="a"/>
    <w:semiHidden/>
    <w:pPr>
      <w:spacing w:line="360" w:lineRule="auto"/>
      <w:ind w:firstLine="232"/>
    </w:pPr>
    <w:rPr>
      <w:sz w:val="28"/>
    </w:rPr>
  </w:style>
  <w:style w:type="paragraph" w:styleId="a6">
    <w:name w:val="header"/>
    <w:basedOn w:val="a"/>
    <w:link w:val="a7"/>
    <w:uiPriority w:val="99"/>
    <w:unhideWhenUsed/>
    <w:rsid w:val="00F20D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0DAF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20D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0DAF"/>
    <w:rPr>
      <w:sz w:val="24"/>
      <w:szCs w:val="24"/>
    </w:rPr>
  </w:style>
  <w:style w:type="character" w:styleId="aa">
    <w:name w:val="Hyperlink"/>
    <w:basedOn w:val="a0"/>
    <w:uiPriority w:val="99"/>
    <w:unhideWhenUsed/>
    <w:rsid w:val="008811E9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811E9"/>
    <w:rPr>
      <w:color w:val="808080"/>
      <w:shd w:val="clear" w:color="auto" w:fill="E6E6E6"/>
    </w:rPr>
  </w:style>
  <w:style w:type="paragraph" w:styleId="ac">
    <w:name w:val="List Paragraph"/>
    <w:aliases w:val="Абзац списка 1"/>
    <w:basedOn w:val="a"/>
    <w:link w:val="ad"/>
    <w:uiPriority w:val="34"/>
    <w:qFormat/>
    <w:rsid w:val="005E08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Стиль1"/>
    <w:basedOn w:val="a"/>
    <w:link w:val="11"/>
    <w:qFormat/>
    <w:rsid w:val="005E0810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11">
    <w:name w:val="Стиль1 Знак"/>
    <w:basedOn w:val="a0"/>
    <w:link w:val="10"/>
    <w:rsid w:val="005E0810"/>
    <w:rPr>
      <w:sz w:val="28"/>
      <w:szCs w:val="28"/>
    </w:rPr>
  </w:style>
  <w:style w:type="character" w:styleId="ae">
    <w:name w:val="FollowedHyperlink"/>
    <w:basedOn w:val="a0"/>
    <w:uiPriority w:val="99"/>
    <w:semiHidden/>
    <w:unhideWhenUsed/>
    <w:rsid w:val="0039439D"/>
    <w:rPr>
      <w:color w:val="954F72" w:themeColor="followedHyperlink"/>
      <w:u w:val="single"/>
    </w:rPr>
  </w:style>
  <w:style w:type="table" w:styleId="af">
    <w:name w:val="Table Grid"/>
    <w:basedOn w:val="a1"/>
    <w:rsid w:val="006A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A81B5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0">
    <w:name w:val="Normal (Web)"/>
    <w:basedOn w:val="a"/>
    <w:unhideWhenUsed/>
    <w:rsid w:val="00A81B51"/>
    <w:pPr>
      <w:spacing w:before="100" w:beforeAutospacing="1" w:after="100" w:afterAutospacing="1"/>
    </w:pPr>
    <w:rPr>
      <w:rFonts w:eastAsiaTheme="minorEastAsia"/>
      <w:sz w:val="20"/>
      <w:szCs w:val="20"/>
    </w:rPr>
  </w:style>
  <w:style w:type="character" w:customStyle="1" w:styleId="ad">
    <w:name w:val="Абзац списка Знак"/>
    <w:aliases w:val="Абзац списка 1 Знак"/>
    <w:basedOn w:val="a0"/>
    <w:link w:val="ac"/>
    <w:uiPriority w:val="34"/>
    <w:rsid w:val="0063408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1">
    <w:name w:val="Абзац"/>
    <w:link w:val="af2"/>
    <w:qFormat/>
    <w:rsid w:val="005E454D"/>
    <w:pPr>
      <w:suppressAutoHyphens/>
      <w:spacing w:line="360" w:lineRule="auto"/>
      <w:ind w:firstLine="851"/>
      <w:jc w:val="both"/>
    </w:pPr>
    <w:rPr>
      <w:sz w:val="24"/>
    </w:rPr>
  </w:style>
  <w:style w:type="character" w:customStyle="1" w:styleId="af2">
    <w:name w:val="Абзац Знак"/>
    <w:basedOn w:val="a0"/>
    <w:link w:val="af1"/>
    <w:locked/>
    <w:rsid w:val="005E454D"/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757DDE"/>
    <w:rPr>
      <w:b/>
      <w:bCs/>
      <w:sz w:val="36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67C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7C3B"/>
    <w:rPr>
      <w:rFonts w:ascii="Courier New" w:hAnsi="Courier New" w:cs="Courier New"/>
    </w:rPr>
  </w:style>
  <w:style w:type="paragraph" w:styleId="af3">
    <w:name w:val="Title"/>
    <w:basedOn w:val="a"/>
    <w:next w:val="a"/>
    <w:link w:val="af4"/>
    <w:uiPriority w:val="10"/>
    <w:qFormat/>
    <w:rsid w:val="00B67C3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uiPriority w:val="10"/>
    <w:rsid w:val="00B67C3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4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kamillius@y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8</Pages>
  <Words>2313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РГУНГ</Company>
  <LinksUpToDate>false</LinksUpToDate>
  <CharactersWithSpaces>15473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Вязовцев И.П.</dc:creator>
  <cp:keywords/>
  <dc:description/>
  <cp:lastModifiedBy>Пользователь Microsoft Office</cp:lastModifiedBy>
  <cp:revision>20</cp:revision>
  <dcterms:created xsi:type="dcterms:W3CDTF">2018-06-13T00:33:00Z</dcterms:created>
  <dcterms:modified xsi:type="dcterms:W3CDTF">2019-06-10T17:02:00Z</dcterms:modified>
</cp:coreProperties>
</file>