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240" w:lineRule="auto"/>
        <w:rPr>
          <w:rFonts w:hint="default" w:ascii="Times New Roman" w:hAnsi="Times New Roman" w:cs="Times New Roman"/>
          <w:sz w:val="28"/>
          <w:szCs w:val="28"/>
        </w:rPr>
      </w:pPr>
      <w:bookmarkStart w:id="0" w:name="_Toc1252833"/>
      <w:r>
        <w:rPr>
          <w:rFonts w:hint="default" w:ascii="Times New Roman" w:hAnsi="Times New Roman" w:cs="Times New Roman"/>
          <w:sz w:val="28"/>
          <w:szCs w:val="28"/>
        </w:rPr>
        <w:t>НАУЧНАЯ СТАТЬЯ: «КАДРОВАЯ ПОЛИТИКА КАК ФАКТОР</w:t>
      </w:r>
      <w:bookmarkEnd w:id="0"/>
    </w:p>
    <w:p>
      <w:pPr>
        <w:pStyle w:val="2"/>
        <w:spacing w:before="0" w:after="0" w:line="240" w:lineRule="auto"/>
        <w:rPr>
          <w:rFonts w:hint="default" w:ascii="Times New Roman" w:hAnsi="Times New Roman" w:cs="Times New Roman"/>
          <w:sz w:val="28"/>
          <w:szCs w:val="28"/>
        </w:rPr>
      </w:pPr>
      <w:bookmarkStart w:id="1" w:name="_Toc1252834"/>
      <w:r>
        <w:rPr>
          <w:rFonts w:hint="default" w:ascii="Times New Roman" w:hAnsi="Times New Roman" w:cs="Times New Roman"/>
          <w:sz w:val="28"/>
          <w:szCs w:val="28"/>
        </w:rPr>
        <w:t>ЭКОНОМИЧЕСКОЙ БЕЗОПАСНОСТИ ОРГАНИЗАЦИИ»</w:t>
      </w:r>
      <w:bookmarkEnd w:id="1"/>
    </w:p>
    <w:p>
      <w:pPr>
        <w:tabs>
          <w:tab w:val="left" w:pos="2886"/>
          <w:tab w:val="left" w:leader="underscore" w:pos="5176"/>
          <w:tab w:val="left" w:pos="6486"/>
          <w:tab w:val="left" w:leader="underscore" w:pos="8603"/>
        </w:tabs>
        <w:spacing w:after="0" w:line="240" w:lineRule="auto"/>
        <w:ind w:right="-1"/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2886"/>
          <w:tab w:val="left" w:leader="underscore" w:pos="5176"/>
          <w:tab w:val="left" w:pos="6486"/>
          <w:tab w:val="left" w:leader="underscore" w:pos="8603"/>
        </w:tabs>
        <w:spacing w:after="0" w:line="240" w:lineRule="auto"/>
        <w:ind w:right="-1"/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  <w:lang w:eastAsia="ru-RU"/>
        </w:rPr>
        <w:t>Аннотация: в</w:t>
      </w:r>
      <w:r>
        <w:rPr>
          <w:rFonts w:hint="default" w:ascii="Times New Roman" w:hAnsi="Times New Roman" w:eastAsia="Calibri" w:cs="Times New Roman"/>
          <w:sz w:val="28"/>
          <w:szCs w:val="28"/>
          <w:lang w:eastAsia="ru-RU"/>
        </w:rPr>
        <w:t xml:space="preserve"> статье рассматриваются сущность и значение кадровой политики как фактор экономической безопасности ООО «Калужская Дверная компания»,  проанализированы сильные  и слабые стороны в развитии организации, разработаны направления совершенствования кадровой политики.</w:t>
      </w:r>
    </w:p>
    <w:p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  <w:lang w:eastAsia="ru-RU"/>
        </w:rPr>
        <w:t>Ключевые слова:</w:t>
      </w:r>
      <w:r>
        <w:rPr>
          <w:rFonts w:hint="default" w:ascii="Times New Roman" w:hAnsi="Times New Roman" w:eastAsia="Calibri" w:cs="Times New Roman"/>
          <w:sz w:val="28"/>
          <w:szCs w:val="28"/>
          <w:lang w:eastAsia="ru-RU"/>
        </w:rPr>
        <w:t xml:space="preserve"> кадровая политика, экономическая безопасность, управление персоналом.</w:t>
      </w:r>
    </w:p>
    <w:p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  <w:lang w:eastAsia="ru-RU"/>
        </w:rPr>
      </w:pPr>
    </w:p>
    <w:p>
      <w:pPr>
        <w:tabs>
          <w:tab w:val="left" w:pos="709"/>
        </w:tabs>
        <w:spacing w:after="0" w:line="360" w:lineRule="auto"/>
        <w:ind w:firstLine="567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48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ООО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«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Калужская Дверная Компания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»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зарегистрирована по адресу г.Калуга, ул.Московская, д.328А, 248031. ДИРЕКТОР организации ОБЩЕСТВО С ОГРАНИЧЕННОЙ ОТВЕТСТВЕННОСТЬЮ "Калужская Дверная Компания" Стихин Владимир Сергеевич. Основным видом деятельности компании является Торговля оптовая прочими бытовыми товарами. Также ООО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«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Калужская Дверная Компания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»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работает еще по 7 направлениям. Размер уставного капитала 10 000 руб.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ОБЩЕСТВО С ОГРАНИЧЕННОЙ ОТВЕТСТВЕННОСТЬЮ "Калужская Дверная Компания" присвоен ИНН 4028053899, КПП 402801001, ОГРН 1134028000985, ОКПО 10849726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Функции по управлению персоналом в ООО «Калужская Дверная Компания» возложены на отдел персонала. Отдел персонала состоит из начальника отдела персонала и менеджера по персоналу.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Оба сотрудника отдела имеют высшее профильное образование. 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Основными целями отдела персонала являются: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принципов кадровой политики, обеспечивающей достижение - стратегических целей;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эффективной системы материальной и моральной мотивации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создание системы аттестации и обучения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для руководства рекомендаций по осуществлению и модернизации кадровой политики предприятия;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нормирование труда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перспективное и текущее планирование персонала в соответствии со стратегическими и оперативными целями ООО «Калужская Дверная Компания»;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регулирование численности персонала (разработка и обновление методик привлечения и сокращения различных категорий персонала, организация процесса);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организация, методическое руководство и координация процесса оценки результатов деятельности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и координация процесса формирования корпоративной культуры, направленной на формирование и поддержание условий благоприятствующих решению задач ООО «Калужская Дверная Компания». 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повышение производительности труда посредством разработки и внедрения системы управления человеческими ресурсами, направленной на максимальную реализацию потенциала сотрудников, повышение удовлетворенности персонала условиями труда, выполняемой работой;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формирование и совершенствование системы рационального использования человеческих ресурсов.</w:t>
      </w:r>
    </w:p>
    <w:p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Основные функциональные обязанности сотрудников отдела персонала представлены в таблице 1.</w:t>
      </w:r>
    </w:p>
    <w:p>
      <w:pPr>
        <w:widowControl w:val="0"/>
        <w:spacing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pacing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1 - Основные функциональные обязанности сотрудников отдела персонала</w:t>
      </w:r>
    </w:p>
    <w:p>
      <w:pPr>
        <w:widowControl w:val="0"/>
        <w:spacing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7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1833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Сотрудники</w:t>
            </w:r>
          </w:p>
        </w:tc>
        <w:tc>
          <w:tcPr>
            <w:tcW w:w="7806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Обязанности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</w:trPr>
        <w:tc>
          <w:tcPr>
            <w:tcW w:w="1833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Начальник отдела персонала</w:t>
            </w:r>
          </w:p>
        </w:tc>
        <w:tc>
          <w:tcPr>
            <w:tcW w:w="7806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Руководит работниками отдела персонала.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Организует и возглавляет работу по комплектованию предприятия кадрами рабочих, служащих и специалистов требуемых специальностей и квалификации в соответствии с заявками подразделений.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Осуществляет работу по подбору, отбору и расстановке кадров на основе оценки их квалификации, личных и деловых качеств, контролирует правильность использования работников в подразделениях фирмы.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3" w:hRule="atLeast"/>
        </w:trPr>
        <w:tc>
          <w:tcPr>
            <w:tcW w:w="1833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Менеджер по персоналу</w:t>
            </w:r>
          </w:p>
        </w:tc>
        <w:tc>
          <w:tcPr>
            <w:tcW w:w="7806" w:type="dxa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Обеспечивает укомплектование предприятия работниками необходимых профессий, специальностей и квалификаций.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Определяет потребность в персонале, изучает рынок труда с целью определения возможных источников обеспечения необходимыми кадрами.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Разрабатывает и внедряет нормы труда.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Организует проведение оценки результатов трудовой деятельности работников, аттестаций, конкурсов на замещение вакантных должностей.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Оценивает потребности предприятия в развитии и повышении квалификации персонала.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Управляет процессом адаптации персонала.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Организует и проводит аттестацию персонала.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Организует индивидуальное обучение и обучение для всех сотрудников предприятия.</w:t>
            </w:r>
          </w:p>
        </w:tc>
      </w:tr>
    </w:tbl>
    <w:p>
      <w:pPr>
        <w:widowControl w:val="0"/>
        <w:spacing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Критериями эффективности для достижения поставленных целей служат: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наличие обоснованной кадровой концепции, соответствующей целям предприятия;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наличие технологии набора сотрудников, подходящих организации, как по личным, так и по деловым качествам;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обеспечение систематического обучения и повышения квалификации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своевременное закрытие вакансий;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наличие банка данных кадрового резерва, соответствующего потребностям предприятия.</w:t>
      </w:r>
    </w:p>
    <w:p>
      <w:pPr>
        <w:widowControl w:val="0"/>
        <w:tabs>
          <w:tab w:val="left" w:pos="855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Функции отдела персонала: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качественное, своевременное формирование и рациональное использование кадрового потенциала предприятия;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и внедрение системы мотивации работников предприятия;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планирование потребности в переподготовке и повышении квалификации персонала; организация обучения, стажировки, повышения квалификации персонала;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осуществление контроля над правильным применением трудового законодательства на предприятии – в части приема, перемещения, увольнения работников; наложения взысканий на работников, нарушающих требования должностных инструкций, трудовую дисциплину; продвижения по службе, понижения в должности.</w:t>
      </w:r>
    </w:p>
    <w:p>
      <w:pPr>
        <w:widowControl w:val="0"/>
        <w:tabs>
          <w:tab w:val="left" w:pos="855"/>
        </w:tabs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Основными задачами отдела персонала являются: 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разработка и внедрение системы подбора персонала; 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и внедрение пакета документов мотивационной системы для различных категорий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и внедрение пакета документов процедуры аттестации для различных категорий сотрудников;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разработка и внедрение пакета документов по адаптации персонала;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конструирование модели компетенций к кандидату на вакантную должность;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анализ полученных результатов; 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составление отчета о проделанной работе;</w:t>
      </w:r>
    </w:p>
    <w:p>
      <w:pPr>
        <w:widowControl w:val="0"/>
        <w:numPr>
          <w:ilvl w:val="0"/>
          <w:numId w:val="1"/>
        </w:numPr>
        <w:tabs>
          <w:tab w:val="left" w:pos="855"/>
          <w:tab w:val="left" w:pos="993"/>
        </w:tabs>
        <w:spacing w:after="0" w:line="360" w:lineRule="auto"/>
        <w:ind w:left="0"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предоставление отчета о закрытии вакансии, отчет о расходовании денежных средств на подбор персонала.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Таким образом, достижение целей и задач, поставленных отделу персонала, способствует сбалансированной и эффективной работе системы управления персоналом ООО «Калужская Дверная Компания».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140" w:firstLineChars="50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Структура персонала по категориям представлена в таблице 2 и на рисунке 1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2 - Структура персонала ООО «Калужская Дверная Компания» по категориям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6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гг.</w:t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181"/>
        <w:gridCol w:w="1181"/>
        <w:gridCol w:w="1181"/>
        <w:gridCol w:w="1417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Категория персонала</w:t>
            </w:r>
          </w:p>
        </w:tc>
        <w:tc>
          <w:tcPr>
            <w:tcW w:w="3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персонала, чел.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Служащие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Рабочие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Согласно данным таблицы 3, следует выделить, что общая численность персонала выросла за три года на 20% в основном за счет увеличения числа специалистов. </w:t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Рассмотрим структуру персонала по гендерному признаку в таблице 3</w:t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3 - Состав персонала ООО «Калужская дверная компания» по гендерному признаку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6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гг.</w:t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66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64"/>
        <w:gridCol w:w="842"/>
        <w:gridCol w:w="842"/>
        <w:gridCol w:w="842"/>
        <w:gridCol w:w="960"/>
        <w:gridCol w:w="960"/>
        <w:gridCol w:w="960"/>
        <w:gridCol w:w="1198"/>
        <w:gridCol w:w="1199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1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5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5" w:hRule="atLeast"/>
        </w:trPr>
        <w:tc>
          <w:tcPr>
            <w:tcW w:w="18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7" w:hRule="atLeast"/>
        </w:trPr>
        <w:tc>
          <w:tcPr>
            <w:tcW w:w="1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Женщины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110,9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93,4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1" w:hRule="atLeast"/>
        </w:trPr>
        <w:tc>
          <w:tcPr>
            <w:tcW w:w="1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Мужчины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123,0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103,3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5" w:hRule="atLeast"/>
        </w:trPr>
        <w:tc>
          <w:tcPr>
            <w:tcW w:w="1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119,2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100,5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 ООО «Калужская дверная компания» превалирует мужской пол – удельный вес мужчин на протяжении трех лет увеличивается и составил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году 73%. 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Далее рассмотрим состав персонала по возрасту в таблице 4.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4 - Состав персонала ООО «Калужская дверная компания» по возрасту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6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9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гг.</w:t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6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876"/>
        <w:gridCol w:w="811"/>
        <w:gridCol w:w="854"/>
        <w:gridCol w:w="890"/>
        <w:gridCol w:w="854"/>
        <w:gridCol w:w="899"/>
        <w:gridCol w:w="1188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" w:hRule="atLeast"/>
        </w:trPr>
        <w:tc>
          <w:tcPr>
            <w:tcW w:w="2152" w:type="dxa"/>
            <w:vMerge w:val="restart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541" w:type="dxa"/>
            <w:gridSpan w:val="3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</w:t>
            </w:r>
          </w:p>
        </w:tc>
        <w:tc>
          <w:tcPr>
            <w:tcW w:w="2643" w:type="dxa"/>
            <w:gridSpan w:val="3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377" w:type="dxa"/>
            <w:gridSpan w:val="2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152" w:type="dxa"/>
            <w:vMerge w:val="continue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 возрасту, лет: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7" w:type="dxa"/>
            <w:gridSpan w:val="2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до 20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61,1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72,7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20 до 30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112,5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30 до 40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111,9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40 до 50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170,3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96,8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50 до 60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91,3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15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старше 60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95,2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15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7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81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89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9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88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119,2</w:t>
            </w:r>
          </w:p>
        </w:tc>
        <w:tc>
          <w:tcPr>
            <w:tcW w:w="118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100,5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Как видим, отмечается рост численности персонала в возрасте от 20 до 50 лет, за счет замедления темпов роста работников более старшего возраста – от 50 лет. Снижение численности работников в предпенсионном возрасте компенсировалось притоком более молодых специалистов в возрасте 20-30 лет.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Наибольший удельный вес в структуре персонала занимают опытные работники – от 40 лет до 50 лет – наблюдается тенденция к росту данной категории сотрудников на 8 пунктов за три года. Удельный вес молодых специалистов в возрасте до 30 лет увеличился на 7 процентных пунктов. Таким образом, обновление персонала более молодыми происходит в недостаточно быстром темпе. Рассмотрим структуру персонала по образованию в таблице 5.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5 - Состав персонала ООО «Калужская дверная компания» по образованию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6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гг.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54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37"/>
        <w:gridCol w:w="1097"/>
        <w:gridCol w:w="928"/>
        <w:gridCol w:w="851"/>
        <w:gridCol w:w="850"/>
        <w:gridCol w:w="851"/>
        <w:gridCol w:w="922"/>
        <w:gridCol w:w="1002"/>
        <w:gridCol w:w="1002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2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8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</w:t>
            </w:r>
          </w:p>
        </w:tc>
        <w:tc>
          <w:tcPr>
            <w:tcW w:w="26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2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jc w:val="center"/>
        </w:trPr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 образованию: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8" w:hRule="atLeast"/>
          <w:jc w:val="center"/>
        </w:trPr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среднее специальное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102,4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45,2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9" w:hRule="atLeast"/>
          <w:jc w:val="center"/>
        </w:trPr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119,4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4" w:hRule="atLeast"/>
          <w:jc w:val="center"/>
        </w:trPr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неоконченное высшее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171,4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atLeast"/>
          <w:jc w:val="center"/>
        </w:trPr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119,2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100,5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Отмечается положительная динамика увеличения работников с высшим образованием. Увеличилась доля персонала с неоконченным высшим образованием на 10% за счет сокращения работников со средним специальным образованием. Далее рассмотрим состав персонала по трудовому стажу в таблице 6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Улучшилось качество персонала по показателю трудового стажа – темп роста работников с трудовым стажем от 10 лет составил 12 чел. Однако начиная со стажа от 15 лет и выше, наблюдается тенденция к замедлению темпов роста.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6 - Состав персонала ООО «Калужская дверная компания» по трудовому стажу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6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гг.</w:t>
      </w:r>
    </w:p>
    <w:p>
      <w:p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66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5"/>
        <w:gridCol w:w="898"/>
        <w:gridCol w:w="945"/>
        <w:gridCol w:w="850"/>
        <w:gridCol w:w="849"/>
        <w:gridCol w:w="850"/>
        <w:gridCol w:w="898"/>
        <w:gridCol w:w="93"/>
        <w:gridCol w:w="991"/>
        <w:gridCol w:w="991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</w:t>
            </w:r>
          </w:p>
        </w:tc>
        <w:tc>
          <w:tcPr>
            <w:tcW w:w="25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Темп роста, %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 / 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96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Группы персонала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 трудовому стажу, лет: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до 5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138,9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144,0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5 до 10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92,6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10 до 15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151,4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88,7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от 15 до 20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107,5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96,5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свыше 20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111,4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" w:hRule="atLeast"/>
        </w:trPr>
        <w:tc>
          <w:tcPr>
            <w:tcW w:w="22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119,2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100,5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 целом, можно констатировать, что качество персонала в организации находится в хорошем состоянии. Здесь отмечается высокий удельный вес персонала с большим опытом работы. Около 30% персонала имеют стаж в пределах от 15 до 20 лет. Работники со стажем от 10 лет и свыше 20 лет занимают относительно одинаковый вес в общей численности организации – около 20%. Тем не менее, отмечается снижение доли более опытных работников организации.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Движение персонала организации – это изменение среднесписочной численности работников организации в связи с увольнением и приемом на работу (таблица 7).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>
      <w:pPr>
        <w:widowControl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Таблица 7 - Данные о движении персонала ООО «Калужская Дверная Компания»</w:t>
      </w:r>
    </w:p>
    <w:p>
      <w:pPr>
        <w:widowControl w:val="0"/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5"/>
        <w:tblW w:w="969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49"/>
        <w:gridCol w:w="1183"/>
        <w:gridCol w:w="1183"/>
        <w:gridCol w:w="1183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9" w:hRule="atLeast"/>
        </w:trPr>
        <w:tc>
          <w:tcPr>
            <w:tcW w:w="6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9" w:hRule="atLeast"/>
        </w:trPr>
        <w:tc>
          <w:tcPr>
            <w:tcW w:w="6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1. Численность персонала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 Выбыли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2.1. По собственному желанию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2.2. Уволены по инициативе администрации 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3. Принято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4. Оборот по выбытию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0,045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0,057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0,080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5. Оборот по приему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0,237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0,062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0,090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6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6. Коэффициент текучести кадров (стр.2.1.+стр.2.2.)/стр.1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0,045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0,057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0,080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Общая среднесписочная численность персонала организации увеличилась на 20% и составила 212 чел. в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г. Рост штата обусловлен развитием предприятия. Коэффициент текучести кадров возрос до 8%. 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Наиболее распространенной причиной текучести кадров является неудовлетворенность системой и размером оплаты труда,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что говорит о недостаточно эффективной кадровой политике.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Текучесть кадров ослабляет организацию, следовательно, подобные явления недопустимы для успешной организации.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Организация труда — это система мероприятий, направленных на обеспечение условий для оптимального функционирования персонала в процессе производства, способствующих достижению максимальной результативности трудовой деятельности и развитию производства.  В организации трудового процесса находят применение специально разработанные нормативные документы, они содержат описание всех видов операций, наиболее рациональные методы выполнения этих работ с указанием затрат времени на проведение операции.</w:t>
      </w:r>
    </w:p>
    <w:p>
      <w:pPr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Основные нормативно-методические документы, используемые в ООО «Калужская Дверная Компания» в системе управления персоналом представлены в таблице 8.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8 - </w:t>
      </w: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Анализ основных нормативно-методических документов системы управления персоналом ООО «Калужская Дверная Компания»</w:t>
      </w:r>
    </w:p>
    <w:p>
      <w:p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701"/>
        <w:gridCol w:w="2512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Виды нормативно- методических документов</w:t>
            </w:r>
          </w:p>
        </w:tc>
        <w:tc>
          <w:tcPr>
            <w:tcW w:w="1701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Форма нормативно- методических документов</w:t>
            </w:r>
          </w:p>
        </w:tc>
        <w:tc>
          <w:tcPr>
            <w:tcW w:w="2512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Основное содержание, показатели документа</w:t>
            </w:r>
          </w:p>
        </w:tc>
        <w:tc>
          <w:tcPr>
            <w:tcW w:w="3544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Положительные/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отрицательные моменты в практике использования документа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</w:tcPr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1. Нормативно- справочные документы</w:t>
            </w:r>
          </w:p>
        </w:tc>
        <w:tc>
          <w:tcPr>
            <w:tcW w:w="1701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Учредительные документы </w:t>
            </w:r>
          </w:p>
        </w:tc>
        <w:tc>
          <w:tcPr>
            <w:tcW w:w="2512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Основы функционирования предприятия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Предприятие является обществом с ограниченной ответственностью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Совет учредителей – высший орган управления на предприятии</w:t>
            </w:r>
          </w:p>
        </w:tc>
        <w:tc>
          <w:tcPr>
            <w:tcW w:w="3544" w:type="dxa"/>
          </w:tcPr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Нормативно-справочные документы соответствуют всем требованиям действующего законодательства, все необходимые изменения своевременно вносятся.</w:t>
            </w:r>
          </w:p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При регистрации предприятия использованы типовые учредительные документы, в которых указано множество видов деятельности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707" w:type="dxa"/>
            <w:vMerge w:val="restart"/>
          </w:tcPr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2. Документы организационного характера</w:t>
            </w:r>
          </w:p>
        </w:tc>
        <w:tc>
          <w:tcPr>
            <w:tcW w:w="1701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Положения об отделах и службах предприятия, должностные инструкции</w:t>
            </w:r>
          </w:p>
        </w:tc>
        <w:tc>
          <w:tcPr>
            <w:tcW w:w="2512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Основные требования, права и обязанности, квалификационные характеристики отелов, служб и   должностей </w:t>
            </w:r>
          </w:p>
        </w:tc>
        <w:tc>
          <w:tcPr>
            <w:tcW w:w="3544" w:type="dxa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В наличии полный пакет положений об отделах и службах и должностных инструкций.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На должностных инструкциях отсутствуют подписи работников об ознакомлении с ними.</w:t>
            </w:r>
          </w:p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continue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Правила трудового распорядка</w:t>
            </w:r>
          </w:p>
        </w:tc>
        <w:tc>
          <w:tcPr>
            <w:tcW w:w="251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Регламентируют права и обязанности работников</w:t>
            </w:r>
          </w:p>
        </w:tc>
        <w:tc>
          <w:tcPr>
            <w:tcW w:w="354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Периодически обновляются, по полностью соответствуют необходимым требованиям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continue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Инструкция по делопроизводству</w:t>
            </w:r>
          </w:p>
        </w:tc>
        <w:tc>
          <w:tcPr>
            <w:tcW w:w="251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Регламентирует движение всех документов внутри ООО «Калужская дверная компания» и внешний документооборот с другими организациями </w:t>
            </w:r>
          </w:p>
        </w:tc>
        <w:tc>
          <w:tcPr>
            <w:tcW w:w="354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Необходима более тщательная проработка некоторых пунктов, касающихся внутреннего документооборота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707" w:type="dxa"/>
            <w:vMerge w:val="restart"/>
          </w:tcPr>
          <w:p>
            <w:pPr>
              <w:widowControl w:val="0"/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3. Документы технического и экономического характера</w:t>
            </w:r>
          </w:p>
        </w:tc>
        <w:tc>
          <w:tcPr>
            <w:tcW w:w="170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Технологический процесс</w:t>
            </w:r>
          </w:p>
        </w:tc>
        <w:tc>
          <w:tcPr>
            <w:tcW w:w="251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Описывает все трудовые операции, выполняемые сотрудниками</w:t>
            </w:r>
          </w:p>
        </w:tc>
        <w:tc>
          <w:tcPr>
            <w:tcW w:w="354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Необходимо более полное описание рабочих мест  сотрудников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continue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Инструкция по технике противопожарной безопасности</w:t>
            </w:r>
          </w:p>
        </w:tc>
        <w:tc>
          <w:tcPr>
            <w:tcW w:w="251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Включает в себя основные моменты при работе с оборудованием, а также при нахождении в помещении</w:t>
            </w: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Инструкция полностью соответствует правилам противопожарной безопасности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continue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Положение об оплате труда</w:t>
            </w:r>
          </w:p>
        </w:tc>
        <w:tc>
          <w:tcPr>
            <w:tcW w:w="251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Регламентируют основные аспекты взаимодействия работников и работодателя в части оплаты труда</w:t>
            </w:r>
          </w:p>
        </w:tc>
        <w:tc>
          <w:tcPr>
            <w:tcW w:w="354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Положение об оплате труда составлено в соответствии с Трудовым кодексом РФ, в нем прописаны основные условия оплаты персонала, не ущемляющие права работников.</w:t>
            </w:r>
          </w:p>
        </w:tc>
      </w:tr>
    </w:tbl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Рассмотрим основные кадровые процедуры ООО «Калужская Дверная Компания».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Процедура приема на работу: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1.Определение потребности в персонале (количественная и качественная).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2.Подбор кандидатов.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3.Отбор.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4.Найм.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Подбор, отбор кадров, отвечающих по своим профессиональным деловым и личностным качествам, требуют комплексного подхода, который состоит их следующих задач: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определение потребности в персонале с учетом основных целей организации;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получение информации о том, какие требования к работнику предъявляет вакантная должность;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установление квалификационных требований, необходимых для успешного выполнения работы;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определение личностных и деловых качеств;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поиск возможных источников кадрового пополнения и выбор методов привлечения подходящих кандидатов;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определение методов отбора, позволяющих лучше всего оценить пригодность кандидатов к работе в данной должности;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- обеспечение наилучших условий для адаптации новых работников к работе в организации.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Стандартная процедура отбора персонала в ООО «Калужская дверная компания» включает несколько этапов: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1. Предварительный отбор претендентов.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2. Проведение первичного собеседования.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3. Оценка претендентов.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4. Проверка предоставленной документации, сбор и проверка рекомендаций.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5. Медицинский осмотр.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6. Проведение итогового собеседования по найму.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7. Принятие окончательного решения о найме.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8. Обсуждение и оформление трудового договора.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Структура резюме включает: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1. Личные сведения (о семейном положении, возрасте, здоровье), если в информации о вакантном месте специально оговаривались дополнительные требования;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2. Цель, т.е. какую цель преследует претендент, направляя резюме в данную организацию (обычно получение определенной должности);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3. Опыт работы – описание дается в обратном хронологическом порядке в разрезе должностей, внимание сосредотачивают на приобретенных умениях, опыте, навыках;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4. Интересы - указывают те, которые способствуют росту квалификации по функциональной специфики вакантной должности.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         Процедура адаптации персонала ООО «Калужская дверная компания»: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 xml:space="preserve">а) Знакомство с предприятием, его особенностями, историей, внутренним трудовым распорядком, основными требованиями, возможными трудностями и т.д.; 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б) представление коллективу, ознакомление с рабочим местом;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в) собеседование с непосредственным руководителем;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г) ознакомление с социальными льготами, порядком оплаты труда и системой стимулирования;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д) инструктаж по пожарной безопасности и технике безопасности;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е) при необходимости – краткое обучение на рабочем месте;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ж) работа на рабочем месте.</w:t>
      </w:r>
    </w:p>
    <w:p>
      <w:pPr>
        <w:widowControl w:val="0"/>
        <w:spacing w:after="0" w:line="360" w:lineRule="auto"/>
        <w:ind w:firstLine="709"/>
        <w:jc w:val="both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Адаптацию проводит менеджер по персоналу и линейный руководитель. Период адаптации – 1 неделя.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Виды угроз со стороны персонала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1. Хищение имущества предприятия.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2. Использование ресурсов предприятия в собственных целях.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3. Умышленная порча и уничтожение имущества предприятия.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4. Получение заработной платы за невыполняемую работу.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5. Шантаж компетентностью (я - незаменимый работник).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6. Шантаж полномочиями (концентрация полномочий в одних руках).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7. Торговля коммерческими секретами.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8. Дисциплинарные нарушения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Создание в коллективе невыносимого морально-психологического климата.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Первое, что минимизирует все эти угрозы - правильная и эффективная оценка благонадёжности кандидата.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кадровой работе необходимо придерживаться следующего - проводить серьезный и всесторонний отбор сотрудников, при котором не допускается прием на работу людей, которые могут нанести вред интересам компании. Следует заботиться о формировании и поддержании оптимального социально-психологического климата в коллективе, создании корпоративной культуры. Обратить особое внимание на людей, наиболее подверженных вербовке - секретари, уборщики, системные администраторы и иные люди, которые знают коммерческие секреты или могут их узнать. Подвержены вербовочным устремлениям все, кто располагает доступом к информации, активам и ресурсам компании, любой ценный сотрудник. И перечень таких рисковых должностей должен быть составлен отдельно. Вопрос кадровой безопасности заключается в оценке самих этих сотрудников, насколько они сами по своим морально-нравственным качествам устойчивы или предрасположены к такой вербовке. Низкая устойчивость и моральная готовность к негативному поведению на фоне осведомленности о коммерческих секретах, вот материал для анализа и немедленных организационных мероприятий руководства компании. Вопрос, как оценить, кто есть кто. – Создать сеть осведомителей и добровольных помощников Службы безопасности среди персонала, используя различные мотивы, начиная от идеологии и заканчивая компроматами. – Определить мотивы совершения противоправных действий и работников, наиболее подверженных этим мотивам.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Проводить анализ жизни и работы сотрудников (расходы, материальные ценности, поведение и т. д.) с целью вычисления сотрудников, замешанных в противоправных действиях.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– Предупреждать ситуации, при которых работник или близкие ему люди могут оказаться в безвыходном критическом положении при возникновении острых жизненных проблем.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– Контроль адекватности поведения сотрудника, анализ смены поведения во времени.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– Применять психологические приемы работы с сотрудниками.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Контроль персонала со стороны Службы безопасности строится по направлениям: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– Контроль поведения и действий в течение рабочего времени;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– Контроль и проверка отчетности; 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– Контроль служебных и некоторых внеслужебных контактов.</w:t>
      </w: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4" w:name="_GoBack"/>
      <w:bookmarkEnd w:id="4"/>
    </w:p>
    <w:p>
      <w:pPr>
        <w:pStyle w:val="2"/>
        <w:rPr>
          <w:rFonts w:hint="default" w:ascii="Times New Roman" w:hAnsi="Times New Roman" w:cs="Times New Roman"/>
          <w:sz w:val="28"/>
          <w:szCs w:val="28"/>
          <w:shd w:val="clear" w:color="auto" w:fill="FFFFFF"/>
        </w:rPr>
      </w:pPr>
      <w:bookmarkStart w:id="2" w:name="_Toc1252835"/>
      <w:bookmarkStart w:id="3" w:name="_Toc482292417"/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>БИБЛИОГРАФИЧЕСКИЙ СПИСОК</w:t>
      </w:r>
      <w:bookmarkEnd w:id="2"/>
      <w:r>
        <w:rPr>
          <w:rFonts w:hint="default"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3"/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993"/>
          <w:tab w:val="left" w:pos="1134"/>
        </w:tabs>
        <w:spacing w:after="0" w:line="360" w:lineRule="auto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"http://base.consultant.ru/cons/cgi/online.cgi?req=doc;base=LAW;n=153956" \t "_blank"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Fonts w:hint="default" w:ascii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первая) от 30.11.1994г. № 51-ФЗ </w:t>
      </w:r>
      <w:r>
        <w:rPr>
          <w:rFonts w:hint="default" w:ascii="Times New Roman" w:hAnsi="Times New Roman" w:cs="Times New Roman"/>
          <w:sz w:val="28"/>
          <w:szCs w:val="28"/>
        </w:rPr>
        <w:fldChar w:fldCharType="end"/>
      </w:r>
    </w:p>
    <w:p>
      <w:pPr>
        <w:numPr>
          <w:ilvl w:val="0"/>
          <w:numId w:val="2"/>
        </w:numPr>
        <w:tabs>
          <w:tab w:val="left" w:pos="993"/>
          <w:tab w:val="left" w:pos="1134"/>
        </w:tabs>
        <w:spacing w:after="0" w:line="360" w:lineRule="auto"/>
        <w:contextualSpacing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"http://base.consultant.ru/cons/cgi/online.cgi?req=doc;base=LAW;n=154025" \t "_blank"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Fonts w:hint="default" w:ascii="Times New Roman" w:hAnsi="Times New Roman" w:cs="Times New Roman"/>
          <w:sz w:val="28"/>
          <w:szCs w:val="28"/>
        </w:rPr>
        <w:t xml:space="preserve">Налоговый кодекс Российской Федерации (часть первая) от 31.07.1998г. № 146-ФЗ </w:t>
      </w:r>
      <w:r>
        <w:rPr>
          <w:rFonts w:hint="default" w:ascii="Times New Roman" w:hAnsi="Times New Roman" w:cs="Times New Roman"/>
          <w:sz w:val="28"/>
          <w:szCs w:val="28"/>
        </w:rPr>
        <w:fldChar w:fldCharType="end"/>
      </w:r>
    </w:p>
    <w:p>
      <w:pPr>
        <w:pStyle w:val="7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eastAsia="ja-JP"/>
        </w:rPr>
        <w:t>Федеральный закон от 26.10.2002 № 127-ФЗ «О несостоятельности (банкротстве)».</w:t>
      </w:r>
    </w:p>
    <w:p>
      <w:pPr>
        <w:pStyle w:val="7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Гордиенко Д.В. Основы экономической безопасности государства. Курс лекций: учеб.-метод. пособие. – М.: Финансы и статистика; ИНФРА-М, 2009. -  224 с. </w:t>
      </w:r>
    </w:p>
    <w:p>
      <w:pPr>
        <w:pStyle w:val="7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eastAsia="Times New Roman" w:cs="Times New Roman"/>
          <w:iCs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Cs/>
          <w:sz w:val="28"/>
          <w:szCs w:val="28"/>
        </w:rPr>
        <w:t>Пащенко А.А. Проблемы экономической безопасности в учреждениях здравоохранения. В сборнике: Международная научно-техническая конференция молодых ученых БГТУ им. В.Г. Шухова. 2016. С. 5180-5182.</w:t>
      </w:r>
    </w:p>
    <w:p>
      <w:pPr>
        <w:pStyle w:val="7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Cs/>
          <w:sz w:val="28"/>
          <w:szCs w:val="28"/>
        </w:rPr>
        <w:t xml:space="preserve">Сигова М.В., Куликова О.М., Бобошко А.А. Факторы и условия обеспечения экономической безопасности учреждений регионе // Журнал правовых и экономических исследований. </w:t>
      </w:r>
      <w:r>
        <w:rPr>
          <w:rFonts w:hint="default" w:ascii="Times New Roman" w:hAnsi="Times New Roman" w:eastAsia="Times New Roman" w:cs="Times New Roman"/>
          <w:sz w:val="28"/>
          <w:szCs w:val="28"/>
        </w:rPr>
        <w:t>2015.</w:t>
      </w:r>
      <w:r>
        <w:rPr>
          <w:rStyle w:val="8"/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"https://elibrary.ru/contents.asp?issueid=1523378&amp;selid=25001314"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Style w:val="4"/>
          <w:rFonts w:hint="default" w:ascii="Times New Roman" w:hAnsi="Times New Roman" w:cs="Times New Roman"/>
          <w:color w:val="auto"/>
          <w:sz w:val="28"/>
          <w:szCs w:val="28"/>
          <w:u w:val="none"/>
        </w:rPr>
        <w:t>№ 4</w:t>
      </w:r>
      <w:r>
        <w:rPr>
          <w:rStyle w:val="4"/>
          <w:rFonts w:hint="default"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eastAsia="Times New Roman" w:cs="Times New Roman"/>
          <w:sz w:val="28"/>
          <w:szCs w:val="28"/>
        </w:rPr>
        <w:t>. С. 129-133.</w:t>
      </w:r>
    </w:p>
    <w:p>
      <w:pPr>
        <w:pStyle w:val="7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Cs/>
          <w:sz w:val="28"/>
          <w:szCs w:val="28"/>
        </w:rPr>
        <w:t>Тетерядченко К.В. Экономичекая безопасность организации.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sz w:val="28"/>
          <w:szCs w:val="28"/>
        </w:rPr>
        <w:t>В сборнике:</w:t>
      </w:r>
      <w:r>
        <w:rPr>
          <w:rStyle w:val="8"/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"https://elibrary.ru/item.asp?id=24610735"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Style w:val="4"/>
          <w:rFonts w:hint="default" w:ascii="Times New Roman" w:hAnsi="Times New Roman" w:cs="Times New Roman"/>
          <w:color w:val="auto"/>
          <w:sz w:val="28"/>
          <w:szCs w:val="28"/>
          <w:u w:val="none"/>
        </w:rPr>
        <w:t>Международная научно-техническая конференция молодых ученых БГТУ им. В.Г. Шухова</w:t>
      </w:r>
      <w:r>
        <w:rPr>
          <w:rStyle w:val="4"/>
          <w:rFonts w:hint="default"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eastAsia="Times New Roman" w:cs="Times New Roman"/>
          <w:sz w:val="28"/>
          <w:szCs w:val="28"/>
        </w:rPr>
        <w:t>. 2015. С. 4104-4107.</w:t>
      </w:r>
    </w:p>
    <w:p>
      <w:pPr>
        <w:pStyle w:val="7"/>
        <w:numPr>
          <w:ilvl w:val="0"/>
          <w:numId w:val="2"/>
        </w:numPr>
        <w:spacing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Уразгалиев В.Ш. Экономическая безопасность: учебник и практикум для вузов / В.Ш. Уразгалиев. – М.: Издательство Юрайт, 2016. – 374.</w:t>
      </w:r>
    </w:p>
    <w:p>
      <w:pPr>
        <w:pStyle w:val="7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Автаев Н.И. Экономическая безопасность предприятия в условиях антикризисного  управления // Актуальные вопросы экономики, управления и финансов в современной России [Электронный ресурс] : сборник трудов всероссийской научно-практической конференции. – Димитровград : Научная мысль, 2017. – Режим доступа : http://nauch-misl.ru/images/studkonf/31-10- svk/sbor.pdf.</w:t>
      </w:r>
    </w:p>
    <w:p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709"/>
        </w:tabs>
        <w:spacing w:after="0" w:line="360" w:lineRule="auto"/>
        <w:contextualSpacing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</w:p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77FF1"/>
    <w:multiLevelType w:val="multilevel"/>
    <w:tmpl w:val="1EB77FF1"/>
    <w:lvl w:ilvl="0" w:tentative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505DE7"/>
    <w:multiLevelType w:val="multilevel"/>
    <w:tmpl w:val="2E505DE7"/>
    <w:lvl w:ilvl="0" w:tentative="0">
      <w:start w:val="1"/>
      <w:numFmt w:val="bullet"/>
      <w:lvlText w:val=""/>
      <w:lvlJc w:val="left"/>
      <w:pPr>
        <w:tabs>
          <w:tab w:val="left" w:pos="1134"/>
        </w:tabs>
        <w:ind w:left="567" w:firstLine="56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F5E62"/>
    <w:rsid w:val="193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spacing w:before="240" w:after="60" w:line="360" w:lineRule="auto"/>
      <w:jc w:val="center"/>
      <w:outlineLvl w:val="0"/>
    </w:pPr>
    <w:rPr>
      <w:rFonts w:ascii="Times New Roman" w:hAnsi="Times New Roman" w:eastAsia="Times New Roman" w:cs="Times New Roman"/>
      <w:b/>
      <w:bCs/>
      <w:kern w:val="32"/>
      <w:sz w:val="28"/>
      <w:szCs w:val="28"/>
      <w:lang w:eastAsia="ru-RU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table" w:customStyle="1" w:styleId="6">
    <w:name w:val="Сетка таблицы1"/>
    <w:basedOn w:val="5"/>
    <w:uiPriority w:val="59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Office_11.2.0.8310_F1E327BC-269C-435d-A152-05C5408002CA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2019-09-05T17:35:00Z</dcterms:created>
  <dc:creator>Ekaterina.Stihina</dc:creator>
  <cp:lastModifiedBy>Ekaterina.Stihina</cp:lastModifiedBy>
  <dcterms:modified xsi:type="dcterms:W3CDTF">2019-09-05T17:49:56Z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1049-11.2.0.8310</vt:lpwstr>
  </property>
</Properties>
</file>