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E27" w:rsidRDefault="00994E27" w:rsidP="00994E2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  <w:r w:rsidRPr="00994E27">
        <w:rPr>
          <w:rFonts w:ascii="Times New Roman" w:eastAsiaTheme="minorHAnsi" w:hAnsi="Times New Roman" w:cs="Times New Roman"/>
          <w:b/>
          <w:sz w:val="28"/>
          <w:szCs w:val="28"/>
        </w:rPr>
        <w:t>Суд присяжных</w:t>
      </w:r>
    </w:p>
    <w:p w:rsidR="00994E27" w:rsidRPr="00994E27" w:rsidRDefault="00994E27" w:rsidP="00994E27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994E27" w:rsidRPr="00994E27" w:rsidRDefault="00994E27" w:rsidP="00994E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94E27">
        <w:rPr>
          <w:rFonts w:ascii="Times New Roman" w:eastAsiaTheme="minorHAnsi" w:hAnsi="Times New Roman" w:cs="Times New Roman"/>
          <w:sz w:val="28"/>
          <w:szCs w:val="28"/>
        </w:rPr>
        <w:t>В статье затрагиваются социально-правовые проблемы осуществления правосудия с участием присяжных заседателей. Реформирование суда присяжных, по мнению автора, не должно сводиться только к совершенствованию правовых процедур. Важным направлением государственной политики является формирование у населения уважительного отношения к суду присяжных, нравственной мотивации граждан участвовать в отправлении правосудия.</w:t>
      </w:r>
    </w:p>
    <w:p w:rsidR="00994E27" w:rsidRPr="00994E27" w:rsidRDefault="00994E27" w:rsidP="00994E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994E27" w:rsidRPr="00994E27" w:rsidRDefault="00994E27" w:rsidP="00994E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94E27">
        <w:rPr>
          <w:rFonts w:ascii="Times New Roman" w:eastAsiaTheme="minorHAnsi" w:hAnsi="Times New Roman" w:cs="Times New Roman"/>
          <w:sz w:val="28"/>
          <w:szCs w:val="28"/>
        </w:rPr>
        <w:t>Ключевые слова: суд присяжных, явка кандидатов в присяжные заседатели, гражданский долг.</w:t>
      </w:r>
    </w:p>
    <w:p w:rsidR="00994E27" w:rsidRPr="00994E27" w:rsidRDefault="00994E27" w:rsidP="00994E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en-US"/>
        </w:rPr>
      </w:pPr>
    </w:p>
    <w:p w:rsidR="00994E27" w:rsidRPr="00994E27" w:rsidRDefault="00994E27" w:rsidP="00994E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94E27">
        <w:rPr>
          <w:rFonts w:ascii="Times New Roman" w:eastAsiaTheme="minorHAnsi" w:hAnsi="Times New Roman" w:cs="Times New Roman"/>
          <w:sz w:val="28"/>
          <w:szCs w:val="28"/>
        </w:rPr>
        <w:t>Прошедшая реформа суда присяжных, в результате которой была расширена сфера применения данного института и одновременно сокращено количество присяжных, не затронула важного предпроцессуального этапа формирования коллегии присяжных заседателей. Речь идет о вызове кандидатов в присяжные и обеспечении их явки. В настоящее время она является крайне низкой, что, естественно, затрудняет процесс формирования коллегии. Далеко не всегда удается сформировать ее с первого раза. В некоторых регионах уровень явки состав</w:t>
      </w:r>
      <w:r>
        <w:rPr>
          <w:rFonts w:ascii="Times New Roman" w:eastAsiaTheme="minorHAnsi" w:hAnsi="Times New Roman" w:cs="Times New Roman"/>
          <w:sz w:val="28"/>
          <w:szCs w:val="28"/>
        </w:rPr>
        <w:t>ляет менее одного процента</w:t>
      </w:r>
      <w:r>
        <w:rPr>
          <w:rStyle w:val="a5"/>
          <w:rFonts w:ascii="Times New Roman" w:eastAsiaTheme="minorHAnsi" w:hAnsi="Times New Roman" w:cs="Times New Roman"/>
          <w:sz w:val="28"/>
          <w:szCs w:val="28"/>
        </w:rPr>
        <w:footnoteReference w:id="2"/>
      </w:r>
      <w:r w:rsidRPr="00994E27">
        <w:rPr>
          <w:rFonts w:ascii="Times New Roman" w:eastAsiaTheme="minorHAnsi" w:hAnsi="Times New Roman" w:cs="Times New Roman"/>
          <w:sz w:val="28"/>
          <w:szCs w:val="28"/>
        </w:rPr>
        <w:t>.</w:t>
      </w:r>
    </w:p>
    <w:p w:rsidR="00994E27" w:rsidRPr="00994E27" w:rsidRDefault="00994E27" w:rsidP="00994E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94E27">
        <w:rPr>
          <w:rFonts w:ascii="Times New Roman" w:eastAsiaTheme="minorHAnsi" w:hAnsi="Times New Roman" w:cs="Times New Roman"/>
          <w:sz w:val="28"/>
          <w:szCs w:val="28"/>
        </w:rPr>
        <w:lastRenderedPageBreak/>
        <w:t xml:space="preserve">Представляется, что именно низкая явка кандидатов в присяжные была одной из главных причин, по которой в конечном счете было решено сократить количество членов коллегии. По крайне мере в </w:t>
      </w:r>
      <w:hyperlink r:id="rId7" w:history="1">
        <w:r w:rsidRPr="00994E27">
          <w:rPr>
            <w:rFonts w:ascii="Times New Roman" w:eastAsiaTheme="minorHAnsi" w:hAnsi="Times New Roman" w:cs="Times New Roman"/>
            <w:color w:val="0000FF"/>
            <w:sz w:val="28"/>
            <w:szCs w:val="28"/>
          </w:rPr>
          <w:t>пояснительной записке</w:t>
        </w:r>
      </w:hyperlink>
      <w:r w:rsidRPr="00994E27">
        <w:rPr>
          <w:rFonts w:ascii="Times New Roman" w:eastAsiaTheme="minorHAnsi" w:hAnsi="Times New Roman" w:cs="Times New Roman"/>
          <w:sz w:val="28"/>
          <w:szCs w:val="28"/>
        </w:rPr>
        <w:t xml:space="preserve"> к проекту федерального закона "О внесении изменений в Уголовно-процессуальный кодекс Российской Федерации в связи с расширением применения института присяжных заседателей" указывалось, что в связи с уменьшением числа присяжных заседателей в составе коллегии уп</w:t>
      </w:r>
      <w:r>
        <w:rPr>
          <w:rFonts w:ascii="Times New Roman" w:eastAsiaTheme="minorHAnsi" w:hAnsi="Times New Roman" w:cs="Times New Roman"/>
          <w:sz w:val="28"/>
          <w:szCs w:val="28"/>
        </w:rPr>
        <w:t>ростится процедура их отбора</w:t>
      </w:r>
      <w:r>
        <w:rPr>
          <w:rStyle w:val="a5"/>
          <w:rFonts w:ascii="Times New Roman" w:eastAsiaTheme="minorHAnsi" w:hAnsi="Times New Roman" w:cs="Times New Roman"/>
          <w:sz w:val="28"/>
          <w:szCs w:val="28"/>
        </w:rPr>
        <w:footnoteReference w:id="3"/>
      </w:r>
      <w:r w:rsidRPr="00994E27">
        <w:rPr>
          <w:rFonts w:ascii="Times New Roman" w:eastAsiaTheme="minorHAnsi" w:hAnsi="Times New Roman" w:cs="Times New Roman"/>
          <w:sz w:val="28"/>
          <w:szCs w:val="28"/>
        </w:rPr>
        <w:t>. Между тем искусственно упростить порядок формирования коллегии присяжных - не значит повысить готовность граждан участвовать в отправлении правосудия. Подобный "арифметический" подход, без сомнения, не изменит тот социальный контекст, в котором проходит реформа суда присяжных.</w:t>
      </w:r>
    </w:p>
    <w:p w:rsidR="00994E27" w:rsidRPr="00994E27" w:rsidRDefault="00994E27" w:rsidP="00994E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94E27">
        <w:rPr>
          <w:rFonts w:ascii="Times New Roman" w:eastAsiaTheme="minorHAnsi" w:hAnsi="Times New Roman" w:cs="Times New Roman"/>
          <w:sz w:val="28"/>
          <w:szCs w:val="28"/>
        </w:rPr>
        <w:t>В основе суда присяжных заложены две глубокие нравственные идеи, тесно связанные друг с другом: самоограничение государственной власти и взаимная ответственность государства и общества за вынесение приговоров. Именно осознание этой ответственности как властью, так и гражданами придает суду присяжных подлинную социальную ценность. Значима не только процедура, но и целеполагание людей, участвующих в ней.</w:t>
      </w:r>
    </w:p>
    <w:p w:rsidR="00994E27" w:rsidRPr="00994E27" w:rsidRDefault="00994E27" w:rsidP="00994E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94E27">
        <w:rPr>
          <w:rFonts w:ascii="Times New Roman" w:eastAsiaTheme="minorHAnsi" w:hAnsi="Times New Roman" w:cs="Times New Roman"/>
          <w:sz w:val="28"/>
          <w:szCs w:val="28"/>
        </w:rPr>
        <w:t xml:space="preserve">Тем более что прямым следствием состоявшихся преобразований является вовлечение в отправление правосудия значительно большего количества граждан, чем это имело место ранее. По всей России со вступлением в силу нового закона почти 6 млн человек попали в списки кандидатов в присяжные. Включению в списки, по данным Судебного департамента РФ, в 2018 г. подлежало в общей сложности 5 млн 937 тыс. 600 </w:t>
      </w:r>
      <w:r>
        <w:rPr>
          <w:rFonts w:ascii="Times New Roman" w:eastAsiaTheme="minorHAnsi" w:hAnsi="Times New Roman" w:cs="Times New Roman"/>
          <w:sz w:val="28"/>
          <w:szCs w:val="28"/>
        </w:rPr>
        <w:lastRenderedPageBreak/>
        <w:t>человек</w:t>
      </w:r>
      <w:r>
        <w:rPr>
          <w:rStyle w:val="a5"/>
          <w:rFonts w:ascii="Times New Roman" w:eastAsiaTheme="minorHAnsi" w:hAnsi="Times New Roman" w:cs="Times New Roman"/>
          <w:sz w:val="28"/>
          <w:szCs w:val="28"/>
        </w:rPr>
        <w:footnoteReference w:id="4"/>
      </w:r>
      <w:r w:rsidRPr="00994E27">
        <w:rPr>
          <w:rFonts w:ascii="Times New Roman" w:eastAsiaTheme="minorHAnsi" w:hAnsi="Times New Roman" w:cs="Times New Roman"/>
          <w:sz w:val="28"/>
          <w:szCs w:val="28"/>
        </w:rPr>
        <w:t>. Каждый из этих людей - потенциальный присяжный, который может быть призван к осуществлению правосудия.</w:t>
      </w:r>
    </w:p>
    <w:p w:rsidR="00994E27" w:rsidRPr="00994E27" w:rsidRDefault="00994E27" w:rsidP="00994E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94E27">
        <w:rPr>
          <w:rFonts w:ascii="Times New Roman" w:eastAsiaTheme="minorHAnsi" w:hAnsi="Times New Roman" w:cs="Times New Roman"/>
          <w:sz w:val="28"/>
          <w:szCs w:val="28"/>
        </w:rPr>
        <w:t>В механизме правосудия эффективность правоприменения зависит не только от законодательного регулирования. Качество регламентации процедуры, безусловно, играет ключевую роль, но при этом важно, чтобы сама реализация процедуры не была затруднена, а временные и иные издержки были по возможности сокращены.</w:t>
      </w:r>
    </w:p>
    <w:p w:rsidR="00994E27" w:rsidRPr="00994E27" w:rsidRDefault="00994E27" w:rsidP="00994E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94E27">
        <w:rPr>
          <w:rFonts w:ascii="Times New Roman" w:eastAsiaTheme="minorHAnsi" w:hAnsi="Times New Roman" w:cs="Times New Roman"/>
          <w:sz w:val="28"/>
          <w:szCs w:val="28"/>
        </w:rPr>
        <w:t xml:space="preserve">Если театр, по образному выражению, начинается с вешалки, то суд присяжных начинается с направления судебной повестки. Как институт гражданского общества суд присяжных должен состояться идеологически, когда большинство граждан будут разделять осознание необходимости участвовать в отправлении правосудия. Для достижения данной цели государство, очевидно, должно предпринимать определенные шаги. Приходится констатировать, что на сегодняшний день пока не сформулирована даже четкая правовая политика в отношении суда присяжных. Достаточно сказать, что в </w:t>
      </w:r>
      <w:hyperlink r:id="rId8" w:history="1">
        <w:r w:rsidRPr="00994E27">
          <w:rPr>
            <w:rFonts w:ascii="Times New Roman" w:eastAsiaTheme="minorHAnsi" w:hAnsi="Times New Roman" w:cs="Times New Roman"/>
            <w:color w:val="0000FF"/>
            <w:sz w:val="28"/>
            <w:szCs w:val="28"/>
          </w:rPr>
          <w:t>ФЦП</w:t>
        </w:r>
      </w:hyperlink>
      <w:r w:rsidRPr="00994E27">
        <w:rPr>
          <w:rFonts w:ascii="Times New Roman" w:eastAsiaTheme="minorHAnsi" w:hAnsi="Times New Roman" w:cs="Times New Roman"/>
          <w:sz w:val="28"/>
          <w:szCs w:val="28"/>
        </w:rPr>
        <w:t xml:space="preserve"> "Развитие судебной системы России на 2013 - 2020 годы" вопросы совершенствования суда присяжных никак не освещаются. Если суд присяжных воспринимается государственной властью не как неотъемлемый элемент системы правосудия, а как особый институт, нуждающийся в отдельной концепции развития, требуется хотя бы в общих чертах разработать ее.</w:t>
      </w:r>
    </w:p>
    <w:p w:rsidR="00994E27" w:rsidRPr="00994E27" w:rsidRDefault="00994E27" w:rsidP="00994E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94E27">
        <w:rPr>
          <w:rFonts w:ascii="Times New Roman" w:eastAsiaTheme="minorHAnsi" w:hAnsi="Times New Roman" w:cs="Times New Roman"/>
          <w:sz w:val="28"/>
          <w:szCs w:val="28"/>
        </w:rPr>
        <w:t>Важной задачей в настоящее время является повышение заинтересованности граждан становиться присяжными. По закону участие в осуществлении правосудия в качестве присяжных является гражданским долгом (</w:t>
      </w:r>
      <w:hyperlink r:id="rId9" w:history="1">
        <w:r w:rsidRPr="00994E27">
          <w:rPr>
            <w:rFonts w:ascii="Times New Roman" w:eastAsiaTheme="minorHAnsi" w:hAnsi="Times New Roman" w:cs="Times New Roman"/>
            <w:color w:val="0000FF"/>
            <w:sz w:val="28"/>
            <w:szCs w:val="28"/>
          </w:rPr>
          <w:t>ч. 2 ст. 2</w:t>
        </w:r>
      </w:hyperlink>
      <w:r w:rsidRPr="00994E27">
        <w:rPr>
          <w:rFonts w:ascii="Times New Roman" w:eastAsiaTheme="minorHAnsi" w:hAnsi="Times New Roman" w:cs="Times New Roman"/>
          <w:sz w:val="28"/>
          <w:szCs w:val="28"/>
        </w:rPr>
        <w:t xml:space="preserve"> Федерального закона от 20.08.2004 N 113-ФЗ "О присяжных заседателях федеральных судов общей юрисдикции Российской Федерации"). Гражданский долг не является обязанностью. Выполнение его </w:t>
      </w:r>
      <w:r w:rsidRPr="00994E27">
        <w:rPr>
          <w:rFonts w:ascii="Times New Roman" w:eastAsiaTheme="minorHAnsi" w:hAnsi="Times New Roman" w:cs="Times New Roman"/>
          <w:sz w:val="28"/>
          <w:szCs w:val="28"/>
        </w:rPr>
        <w:lastRenderedPageBreak/>
        <w:t>обусловлено гражданской компетентностью, пониманием необходимости служения общему благу, порой поступаясь личными интересами.</w:t>
      </w:r>
    </w:p>
    <w:p w:rsidR="00994E27" w:rsidRPr="00994E27" w:rsidRDefault="00994E27" w:rsidP="00994E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94E27">
        <w:rPr>
          <w:rFonts w:ascii="Times New Roman" w:eastAsiaTheme="minorHAnsi" w:hAnsi="Times New Roman" w:cs="Times New Roman"/>
          <w:sz w:val="28"/>
          <w:szCs w:val="28"/>
        </w:rPr>
        <w:t>С другой стороны, вопрос не в отсутствии обязанности быть присяжным. Нельзя в принудительном порядке привлечь граждан к отправлению правосудия, заставив реализовать свое конституционное право (</w:t>
      </w:r>
      <w:hyperlink r:id="rId10" w:history="1">
        <w:r w:rsidRPr="00994E27">
          <w:rPr>
            <w:rFonts w:ascii="Times New Roman" w:eastAsiaTheme="minorHAnsi" w:hAnsi="Times New Roman" w:cs="Times New Roman"/>
            <w:color w:val="0000FF"/>
            <w:sz w:val="28"/>
            <w:szCs w:val="28"/>
          </w:rPr>
          <w:t>ч. 5 ст. 32</w:t>
        </w:r>
      </w:hyperlink>
      <w:r w:rsidRPr="00994E27">
        <w:rPr>
          <w:rFonts w:ascii="Times New Roman" w:eastAsiaTheme="minorHAnsi" w:hAnsi="Times New Roman" w:cs="Times New Roman"/>
          <w:sz w:val="28"/>
          <w:szCs w:val="28"/>
        </w:rPr>
        <w:t xml:space="preserve"> Конституции РФ), но явка кандидатов в присяжные в суд как таковая еще не влечет с необходимостью их отбор в коллегию. Закон предусматривает возможность освобождения от исполнения обязанностей присяжного заседателя лиц, имеющих уважительные причины для неучастия в судебном заседании (</w:t>
      </w:r>
      <w:hyperlink r:id="rId11" w:history="1">
        <w:r w:rsidRPr="00994E27">
          <w:rPr>
            <w:rFonts w:ascii="Times New Roman" w:eastAsiaTheme="minorHAnsi" w:hAnsi="Times New Roman" w:cs="Times New Roman"/>
            <w:color w:val="0000FF"/>
            <w:sz w:val="28"/>
            <w:szCs w:val="28"/>
          </w:rPr>
          <w:t>ч. 7 ст. 326</w:t>
        </w:r>
      </w:hyperlink>
      <w:r w:rsidRPr="00994E27">
        <w:rPr>
          <w:rFonts w:ascii="Times New Roman" w:eastAsiaTheme="minorHAnsi" w:hAnsi="Times New Roman" w:cs="Times New Roman"/>
          <w:sz w:val="28"/>
          <w:szCs w:val="28"/>
        </w:rPr>
        <w:t xml:space="preserve"> УПК РФ), допускается самоотвод кандидатов в присяжные (</w:t>
      </w:r>
      <w:hyperlink r:id="rId12" w:history="1">
        <w:r w:rsidRPr="00994E27">
          <w:rPr>
            <w:rFonts w:ascii="Times New Roman" w:eastAsiaTheme="minorHAnsi" w:hAnsi="Times New Roman" w:cs="Times New Roman"/>
            <w:color w:val="0000FF"/>
            <w:sz w:val="28"/>
            <w:szCs w:val="28"/>
          </w:rPr>
          <w:t>ч. 4 ст. 328</w:t>
        </w:r>
      </w:hyperlink>
      <w:r w:rsidRPr="00994E27">
        <w:rPr>
          <w:rFonts w:ascii="Times New Roman" w:eastAsiaTheme="minorHAnsi" w:hAnsi="Times New Roman" w:cs="Times New Roman"/>
          <w:sz w:val="28"/>
          <w:szCs w:val="28"/>
        </w:rPr>
        <w:t xml:space="preserve"> УПК РФ). Игнорирование же самого вызова в суд - не просто форма абсентеизма, сродни уклонению от участия в голосовании на выборах, но акт неуважения к институту власти, ответственность за которое с формально-юридических позиций вполне обоснованна.</w:t>
      </w:r>
    </w:p>
    <w:p w:rsidR="00994E27" w:rsidRPr="00994E27" w:rsidRDefault="00994E27" w:rsidP="00994E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94E27">
        <w:rPr>
          <w:rFonts w:ascii="Times New Roman" w:eastAsiaTheme="minorHAnsi" w:hAnsi="Times New Roman" w:cs="Times New Roman"/>
          <w:sz w:val="28"/>
          <w:szCs w:val="28"/>
        </w:rPr>
        <w:t>Не лишним будет упомянуть, что законодательство России дореволюционного периода устанавливало наказание за уклонение от явки в суд для исполнения обязанностей присяжного заседателя независимо от того, принимало ли лицо присягу, в виде денежного взыскания и лишения права участвовать в выборах и быть избираемым на должности, требующие общественного доверия (ст. 414.1 Уложения о наказаниях уголовных и исправительных).</w:t>
      </w:r>
    </w:p>
    <w:p w:rsidR="00994E27" w:rsidRPr="00994E27" w:rsidRDefault="00994E27" w:rsidP="00994E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94E27">
        <w:rPr>
          <w:rFonts w:ascii="Times New Roman" w:eastAsiaTheme="minorHAnsi" w:hAnsi="Times New Roman" w:cs="Times New Roman"/>
          <w:sz w:val="28"/>
          <w:szCs w:val="28"/>
        </w:rPr>
        <w:t xml:space="preserve">С введением суда присяжных в России </w:t>
      </w:r>
      <w:hyperlink r:id="rId13" w:history="1">
        <w:r w:rsidRPr="00994E27">
          <w:rPr>
            <w:rFonts w:ascii="Times New Roman" w:eastAsiaTheme="minorHAnsi" w:hAnsi="Times New Roman" w:cs="Times New Roman"/>
            <w:color w:val="0000FF"/>
            <w:sz w:val="28"/>
            <w:szCs w:val="28"/>
          </w:rPr>
          <w:t>Законом</w:t>
        </w:r>
      </w:hyperlink>
      <w:r w:rsidRPr="00994E27">
        <w:rPr>
          <w:rFonts w:ascii="Times New Roman" w:eastAsiaTheme="minorHAnsi" w:hAnsi="Times New Roman" w:cs="Times New Roman"/>
          <w:sz w:val="28"/>
          <w:szCs w:val="28"/>
        </w:rPr>
        <w:t xml:space="preserve"> от 16 июля 1993 г. N 5451-1 Кодекс об административных правонарушениях РСФСР был дополнен </w:t>
      </w:r>
      <w:hyperlink r:id="rId14" w:history="1">
        <w:r w:rsidRPr="00994E27">
          <w:rPr>
            <w:rFonts w:ascii="Times New Roman" w:eastAsiaTheme="minorHAnsi" w:hAnsi="Times New Roman" w:cs="Times New Roman"/>
            <w:color w:val="0000FF"/>
            <w:sz w:val="28"/>
            <w:szCs w:val="28"/>
          </w:rPr>
          <w:t>ст. 165.6</w:t>
        </w:r>
      </w:hyperlink>
      <w:r w:rsidRPr="00994E27">
        <w:rPr>
          <w:rFonts w:ascii="Times New Roman" w:eastAsiaTheme="minorHAnsi" w:hAnsi="Times New Roman" w:cs="Times New Roman"/>
          <w:sz w:val="28"/>
          <w:szCs w:val="28"/>
        </w:rPr>
        <w:t xml:space="preserve">, в соответствии с которой неявка гражданина без уважительной причины по вызову в суд для исполнения обязанностей присяжного заседателя влекла предупреждение или наложение штрафа в размере до одного минимального размера оплаты труда (в </w:t>
      </w:r>
      <w:hyperlink r:id="rId15" w:history="1">
        <w:r w:rsidRPr="00994E27">
          <w:rPr>
            <w:rFonts w:ascii="Times New Roman" w:eastAsiaTheme="minorHAnsi" w:hAnsi="Times New Roman" w:cs="Times New Roman"/>
            <w:color w:val="0000FF"/>
            <w:sz w:val="28"/>
            <w:szCs w:val="28"/>
          </w:rPr>
          <w:t>КоАП</w:t>
        </w:r>
      </w:hyperlink>
      <w:r w:rsidRPr="00994E27">
        <w:rPr>
          <w:rFonts w:ascii="Times New Roman" w:eastAsiaTheme="minorHAnsi" w:hAnsi="Times New Roman" w:cs="Times New Roman"/>
          <w:sz w:val="28"/>
          <w:szCs w:val="28"/>
        </w:rPr>
        <w:t xml:space="preserve"> РФ аналогичная норма отсутствует).</w:t>
      </w:r>
    </w:p>
    <w:p w:rsidR="00994E27" w:rsidRPr="00994E27" w:rsidRDefault="00994E27" w:rsidP="00994E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94E27">
        <w:rPr>
          <w:rFonts w:ascii="Times New Roman" w:eastAsiaTheme="minorHAnsi" w:hAnsi="Times New Roman" w:cs="Times New Roman"/>
          <w:sz w:val="28"/>
          <w:szCs w:val="28"/>
        </w:rPr>
        <w:lastRenderedPageBreak/>
        <w:t>Наконец, во многих зарубежных странах, в том числе в США, где количество дел, рассматриваемых судом присяжных, несравнимо больше, чем в России, предусмотрена ответственность за неявку в суд для участия в отборе жюри присяжных.</w:t>
      </w:r>
    </w:p>
    <w:p w:rsidR="00994E27" w:rsidRPr="00994E27" w:rsidRDefault="00994E27" w:rsidP="00994E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94E27">
        <w:rPr>
          <w:rFonts w:ascii="Times New Roman" w:eastAsiaTheme="minorHAnsi" w:hAnsi="Times New Roman" w:cs="Times New Roman"/>
          <w:sz w:val="28"/>
          <w:szCs w:val="28"/>
        </w:rPr>
        <w:t>Особенно интересный и показательный пример работы с кандидатами в присяжные заседатели представляет собой штат Массачусетс, где действует Программа привлечения к ответственности лиц, не исполняющих обязанности присяжных (thedelinquentjurorprosecutionprogram), принятая в 1996 г. Программа предусматривает основания и порядок применения санкций к лицам, не отвечающим на вызовы явиться для формирования коллегии;к лицам, отвечающим на вызовы, но не являющимся в суд, а также к покинувшим суд на этапе формирования коллегии присяжных, не будучи отведенными или освобожденными от исполнения обязанностей присяжного.</w:t>
      </w:r>
    </w:p>
    <w:p w:rsidR="00994E27" w:rsidRPr="00994E27" w:rsidRDefault="00994E27" w:rsidP="00994E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94E27">
        <w:rPr>
          <w:rFonts w:ascii="Times New Roman" w:eastAsiaTheme="minorHAnsi" w:hAnsi="Times New Roman" w:cs="Times New Roman"/>
          <w:sz w:val="28"/>
          <w:szCs w:val="28"/>
        </w:rPr>
        <w:t>Не пришедшему в суд гражданину направляется извещение о неявке (failuretoappearnotice), содержащее требование о необходимости указания причины неявки. Ответить на извещение можно по телефону или по электронной почте.</w:t>
      </w:r>
    </w:p>
    <w:p w:rsidR="00994E27" w:rsidRPr="00994E27" w:rsidRDefault="00994E27" w:rsidP="00994E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94E27">
        <w:rPr>
          <w:rFonts w:ascii="Times New Roman" w:eastAsiaTheme="minorHAnsi" w:hAnsi="Times New Roman" w:cs="Times New Roman"/>
          <w:sz w:val="28"/>
          <w:szCs w:val="28"/>
        </w:rPr>
        <w:t>Если лицо не отвечает на данное извещение, отправляя заполненную анкету (qualificationquestionnaires), то получает уже уведомление о совершенном правонарушении (noticeofdelinquency). После этого следует связаться с аппаратом Уполномоченного по присяжным (OfficeofJuryCommissioner) и объяснить причину неявки в суд, представив доказательства невозможности участия в рассмотрении дела в составе коллегии. Можно также просить об отсрочке исполнения обязанностей присяжного (topostponethedayofservice). Такая процедура, к слову, положительно оценивается американскими юристами, поскольку в дальнейшем облегчает формирование коллегии присяжных при рассмотрении других дел.</w:t>
      </w:r>
    </w:p>
    <w:p w:rsidR="00994E27" w:rsidRPr="00994E27" w:rsidRDefault="00994E27" w:rsidP="00994E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94E27">
        <w:rPr>
          <w:rFonts w:ascii="Times New Roman" w:eastAsiaTheme="minorHAnsi" w:hAnsi="Times New Roman" w:cs="Times New Roman"/>
          <w:sz w:val="28"/>
          <w:szCs w:val="28"/>
        </w:rPr>
        <w:t xml:space="preserve">В случае если лицо не отвечает и на это уведомление, оно получает извещение о слушании дела по заявлению о возбуждении уголовного </w:t>
      </w:r>
      <w:r w:rsidRPr="00994E27">
        <w:rPr>
          <w:rFonts w:ascii="Times New Roman" w:eastAsiaTheme="minorHAnsi" w:hAnsi="Times New Roman" w:cs="Times New Roman"/>
          <w:sz w:val="28"/>
          <w:szCs w:val="28"/>
        </w:rPr>
        <w:lastRenderedPageBreak/>
        <w:t>преследования (noticeofhearingonanapplicationforcriminalcomplaint). У гражданина на данном этапе все еще есть возможность объяснить причины своего неправомерного поведения и выполнить долг присяжного.</w:t>
      </w:r>
    </w:p>
    <w:p w:rsidR="00994E27" w:rsidRPr="00994E27" w:rsidRDefault="00994E27" w:rsidP="00994E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94E27">
        <w:rPr>
          <w:rFonts w:ascii="Times New Roman" w:eastAsiaTheme="minorHAnsi" w:hAnsi="Times New Roman" w:cs="Times New Roman"/>
          <w:sz w:val="28"/>
          <w:szCs w:val="28"/>
        </w:rPr>
        <w:t>При неявке вызванного субъекта на слушание возбуждается уголовное преследование, "нарушителю" направляется повестка о вызове в суд для предъявления обвинения (summonsforarraignmentnotice). При неявке в суд для предъявления обвинения судья вправе выдать ордер на арест такого лица. В дальнейшем лицо, признанное виновным, может быть подвергнуто наказанию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в размере до 2 000 долларов</w:t>
      </w:r>
      <w:r>
        <w:rPr>
          <w:rStyle w:val="a5"/>
          <w:rFonts w:ascii="Times New Roman" w:eastAsiaTheme="minorHAnsi" w:hAnsi="Times New Roman" w:cs="Times New Roman"/>
          <w:sz w:val="28"/>
          <w:szCs w:val="28"/>
        </w:rPr>
        <w:footnoteReference w:id="5"/>
      </w:r>
      <w:r w:rsidRPr="00994E27">
        <w:rPr>
          <w:rFonts w:ascii="Times New Roman" w:eastAsiaTheme="minorHAnsi" w:hAnsi="Times New Roman" w:cs="Times New Roman"/>
          <w:sz w:val="28"/>
          <w:szCs w:val="28"/>
        </w:rPr>
        <w:t>.</w:t>
      </w:r>
    </w:p>
    <w:p w:rsidR="00994E27" w:rsidRPr="00994E27" w:rsidRDefault="00994E27" w:rsidP="00994E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94E27">
        <w:rPr>
          <w:rFonts w:ascii="Times New Roman" w:eastAsiaTheme="minorHAnsi" w:hAnsi="Times New Roman" w:cs="Times New Roman"/>
          <w:sz w:val="28"/>
          <w:szCs w:val="28"/>
        </w:rPr>
        <w:t>Такой продуманный дифференцированный подход к проблеме явки кандидатов в присяжные приносит свои результаты. В 2008 г. к исполнению обязанностей присяжных было призвано 915 428 человек, из которых не ответили на из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вещение 58 830, т.е. лишь 6% </w:t>
      </w:r>
      <w:r>
        <w:rPr>
          <w:rStyle w:val="a5"/>
          <w:rFonts w:ascii="Times New Roman" w:eastAsiaTheme="minorHAnsi" w:hAnsi="Times New Roman" w:cs="Times New Roman"/>
          <w:sz w:val="28"/>
          <w:szCs w:val="28"/>
        </w:rPr>
        <w:footnoteReference w:id="6"/>
      </w:r>
      <w:r w:rsidRPr="00994E27">
        <w:rPr>
          <w:rFonts w:ascii="Times New Roman" w:eastAsiaTheme="minorHAnsi" w:hAnsi="Times New Roman" w:cs="Times New Roman"/>
          <w:sz w:val="28"/>
          <w:szCs w:val="28"/>
        </w:rPr>
        <w:t>.</w:t>
      </w:r>
    </w:p>
    <w:p w:rsidR="00994E27" w:rsidRPr="00994E27" w:rsidRDefault="00994E27" w:rsidP="00994E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94E27">
        <w:rPr>
          <w:rFonts w:ascii="Times New Roman" w:eastAsiaTheme="minorHAnsi" w:hAnsi="Times New Roman" w:cs="Times New Roman"/>
          <w:sz w:val="28"/>
          <w:szCs w:val="28"/>
        </w:rPr>
        <w:t>На наш взгляд, более всего примечательно, что государство настолько заинтересовано в нормальном функционировании суда присяжных, что гражданам, по сути, предоставляется возможность выбрать время, когда участие в суде присяжных будет для них максимально удобным. Ответственность же за неявку наступает при несоблюдении целого ряда условий и с учетом изложенного выглядит вполне оправданной.</w:t>
      </w:r>
    </w:p>
    <w:p w:rsidR="00994E27" w:rsidRPr="00994E27" w:rsidRDefault="00994E27" w:rsidP="00994E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94E27">
        <w:rPr>
          <w:rFonts w:ascii="Times New Roman" w:eastAsiaTheme="minorHAnsi" w:hAnsi="Times New Roman" w:cs="Times New Roman"/>
          <w:sz w:val="28"/>
          <w:szCs w:val="28"/>
        </w:rPr>
        <w:t xml:space="preserve">Кроме того, с 1994 г. в Массачусетсе действует разработанная Уполномоченным по присяжным программа информирования населения о суде присяжных. Программа направлена на повышение уровня осведомленности граждан о процессуальных и организационно-правовых </w:t>
      </w:r>
      <w:r w:rsidRPr="00994E27">
        <w:rPr>
          <w:rFonts w:ascii="Times New Roman" w:eastAsiaTheme="minorHAnsi" w:hAnsi="Times New Roman" w:cs="Times New Roman"/>
          <w:sz w:val="28"/>
          <w:szCs w:val="28"/>
        </w:rPr>
        <w:lastRenderedPageBreak/>
        <w:t xml:space="preserve">вопросах деятельности суда присяжных. Одной из задач программы является сокращение уровня делинквентного поведения кандидатов в присяжные (jurordelinquency), под которым, как указывалось выше, понимаются различные формы уклонения от исполнения обязанностей участвовать в осуществлении правосудия. Программа включает чтение лекций, инсценировки судебных процессов, показ видеоматериалов, анализ судебных прецедентов и т.д. Важно, что целевая аудитория программы охватывает студентов школ, колледжей и университетов. В этой программе принимают участие судьи, сотрудники аппаратов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судов, работники прокуратуры </w:t>
      </w:r>
      <w:r>
        <w:rPr>
          <w:rStyle w:val="a5"/>
          <w:rFonts w:ascii="Times New Roman" w:eastAsiaTheme="minorHAnsi" w:hAnsi="Times New Roman" w:cs="Times New Roman"/>
          <w:sz w:val="28"/>
          <w:szCs w:val="28"/>
        </w:rPr>
        <w:footnoteReference w:id="7"/>
      </w:r>
      <w:r w:rsidRPr="00994E27">
        <w:rPr>
          <w:rFonts w:ascii="Times New Roman" w:eastAsiaTheme="minorHAnsi" w:hAnsi="Times New Roman" w:cs="Times New Roman"/>
          <w:sz w:val="28"/>
          <w:szCs w:val="28"/>
        </w:rPr>
        <w:t>.</w:t>
      </w:r>
    </w:p>
    <w:p w:rsidR="00994E27" w:rsidRPr="00994E27" w:rsidRDefault="00994E27" w:rsidP="00994E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94E27">
        <w:rPr>
          <w:rFonts w:ascii="Times New Roman" w:eastAsiaTheme="minorHAnsi" w:hAnsi="Times New Roman" w:cs="Times New Roman"/>
          <w:sz w:val="28"/>
          <w:szCs w:val="28"/>
        </w:rPr>
        <w:t>Суд присяжных в американской правовой культуре занимает особое место, поскольку всегда воспринимался не просто как правовой институт, но как одна из основ построения демократического общества. Судом присяжных дорожат и стараются поддерживать и развивать в гражданах должный уровень уважения к нему. В России же, к сожалению, суд присяжных пока не занимает значительного места в политико-правовом дискурсе. Периодически обсуждается, как правило, лишь законодательное регулирование процедуры рассмотрения дел без учета предпосылок ее осуществления.</w:t>
      </w:r>
    </w:p>
    <w:p w:rsidR="00994E27" w:rsidRPr="00994E27" w:rsidRDefault="00994E27" w:rsidP="00994E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94E27">
        <w:rPr>
          <w:rFonts w:ascii="Times New Roman" w:eastAsiaTheme="minorHAnsi" w:hAnsi="Times New Roman" w:cs="Times New Roman"/>
          <w:sz w:val="28"/>
          <w:szCs w:val="28"/>
        </w:rPr>
        <w:t>Фундамент суда присяжных должен быть заложен в правосознании граждан, чему может способствовать лишь системное применение комплекса правовых и неправовых инструментов воздействия. Их обобщенный перечень представляется нам следующим образом.</w:t>
      </w:r>
    </w:p>
    <w:p w:rsidR="00994E27" w:rsidRPr="00994E27" w:rsidRDefault="00994E27" w:rsidP="00994E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94E27">
        <w:rPr>
          <w:rFonts w:ascii="Times New Roman" w:eastAsiaTheme="minorHAnsi" w:hAnsi="Times New Roman" w:cs="Times New Roman"/>
          <w:sz w:val="28"/>
          <w:szCs w:val="28"/>
        </w:rPr>
        <w:t>1. Информационно-разъяснительная работа с учащимися средних школ, вузов, сотрудниками государственных и негосударственных организаций; подготовка справочных материалов для будущих присяжных.</w:t>
      </w:r>
    </w:p>
    <w:p w:rsidR="00994E27" w:rsidRPr="00994E27" w:rsidRDefault="00994E27" w:rsidP="00994E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94E27">
        <w:rPr>
          <w:rFonts w:ascii="Times New Roman" w:eastAsiaTheme="minorHAnsi" w:hAnsi="Times New Roman" w:cs="Times New Roman"/>
          <w:sz w:val="28"/>
          <w:szCs w:val="28"/>
        </w:rPr>
        <w:t xml:space="preserve">2. Создание положительного образа суда присяжных в массовой культуре средствами телевидения, кинематографа, литературы и т.д. </w:t>
      </w:r>
      <w:r w:rsidRPr="00994E27">
        <w:rPr>
          <w:rFonts w:ascii="Times New Roman" w:eastAsiaTheme="minorHAnsi" w:hAnsi="Times New Roman" w:cs="Times New Roman"/>
          <w:sz w:val="28"/>
          <w:szCs w:val="28"/>
        </w:rPr>
        <w:lastRenderedPageBreak/>
        <w:t>Правдоподобность этого образа должна обеспечиваться привлечением компетентных специалистов в качестве консультантов.</w:t>
      </w:r>
    </w:p>
    <w:p w:rsidR="00994E27" w:rsidRPr="00994E27" w:rsidRDefault="00994E27" w:rsidP="00994E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94E27">
        <w:rPr>
          <w:rFonts w:ascii="Times New Roman" w:eastAsiaTheme="minorHAnsi" w:hAnsi="Times New Roman" w:cs="Times New Roman"/>
          <w:sz w:val="28"/>
          <w:szCs w:val="28"/>
        </w:rPr>
        <w:t>3. Продвижение идеи социальной значимости суда присяжных средствами наглядной агитации (различные формы наружной рекламы, видеоролики на уличных экранах и т.д.).</w:t>
      </w:r>
    </w:p>
    <w:p w:rsidR="00994E27" w:rsidRPr="00994E27" w:rsidRDefault="00994E27" w:rsidP="00994E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94E27">
        <w:rPr>
          <w:rFonts w:ascii="Times New Roman" w:eastAsiaTheme="minorHAnsi" w:hAnsi="Times New Roman" w:cs="Times New Roman"/>
          <w:sz w:val="28"/>
          <w:szCs w:val="28"/>
        </w:rPr>
        <w:t>4. Проведение социологических (социолого-правовых) исследований, направленных на изучение общественного мнения о суде присяжных.</w:t>
      </w:r>
    </w:p>
    <w:p w:rsidR="00994E27" w:rsidRPr="00994E27" w:rsidRDefault="00994E27" w:rsidP="00994E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94E27">
        <w:rPr>
          <w:rFonts w:ascii="Times New Roman" w:eastAsiaTheme="minorHAnsi" w:hAnsi="Times New Roman" w:cs="Times New Roman"/>
          <w:sz w:val="28"/>
          <w:szCs w:val="28"/>
        </w:rPr>
        <w:t>5. Мониторинг уровня удовлетворенности правосудием лиц, участвовавших в рассмотрении уголовных дел в качестве присяжных заседателей. Важно иметь "обратную связь" и понимать, как осуществление правосудия в качестве присяжных влияет на самих граждан и насколько эта деятельность для них морально обременительна.</w:t>
      </w:r>
    </w:p>
    <w:p w:rsidR="00994E27" w:rsidRPr="00994E27" w:rsidRDefault="00994E27" w:rsidP="00994E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94E27">
        <w:rPr>
          <w:rFonts w:ascii="Times New Roman" w:eastAsiaTheme="minorHAnsi" w:hAnsi="Times New Roman" w:cs="Times New Roman"/>
          <w:sz w:val="28"/>
          <w:szCs w:val="28"/>
        </w:rPr>
        <w:t>6. Введение ответственности для лиц, не являющихся по вызову в суд для формирования коллегии присяжных.</w:t>
      </w:r>
    </w:p>
    <w:p w:rsidR="00994E27" w:rsidRPr="00994E27" w:rsidRDefault="00994E27" w:rsidP="00994E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94E27">
        <w:rPr>
          <w:rFonts w:ascii="Times New Roman" w:eastAsiaTheme="minorHAnsi" w:hAnsi="Times New Roman" w:cs="Times New Roman"/>
          <w:sz w:val="28"/>
          <w:szCs w:val="28"/>
        </w:rPr>
        <w:t>7. Совершенствование процедуры составления списков кандидатов в присяжные и порядка извещения лиц о необходимости явиться в суд.</w:t>
      </w:r>
    </w:p>
    <w:p w:rsidR="00994E27" w:rsidRPr="00994E27" w:rsidRDefault="00994E27" w:rsidP="00994E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94E27">
        <w:rPr>
          <w:rFonts w:ascii="Times New Roman" w:eastAsiaTheme="minorHAnsi" w:hAnsi="Times New Roman" w:cs="Times New Roman"/>
          <w:sz w:val="28"/>
          <w:szCs w:val="28"/>
        </w:rPr>
        <w:t>Ответственность кандидатов в присяжные не является единственно необходимым средством привлечения граждан к отправлению правосудия. На наш взгляд, ее введение в перспективе могло бы принести эффект лишь в совокупности с названными мерами. Акцент следует сделать прежде всего на правовом воспитании и правовом просвещении, которое должно вестись постоянно и целенаправленно. При всей несомненной сложности этой работы следует признать, что ее правильная организация способна существенно повлиять как на качество правосудия в стране, так и на отношение граждан к судебной власти.</w:t>
      </w:r>
    </w:p>
    <w:p w:rsidR="00994E27" w:rsidRPr="00994E27" w:rsidRDefault="00994E27" w:rsidP="00994E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994E27" w:rsidRPr="00994E27" w:rsidRDefault="00994E27" w:rsidP="00994E2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994E27">
        <w:rPr>
          <w:rFonts w:ascii="Times New Roman" w:eastAsiaTheme="minorHAnsi" w:hAnsi="Times New Roman" w:cs="Times New Roman"/>
          <w:sz w:val="28"/>
          <w:szCs w:val="28"/>
        </w:rPr>
        <w:t>Литература</w:t>
      </w:r>
    </w:p>
    <w:p w:rsidR="00994E27" w:rsidRPr="00994E27" w:rsidRDefault="00994E27" w:rsidP="00994E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994E27" w:rsidRPr="00994E27" w:rsidRDefault="00994E27" w:rsidP="00994E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94E27">
        <w:rPr>
          <w:rFonts w:ascii="Times New Roman" w:eastAsiaTheme="minorHAnsi" w:hAnsi="Times New Roman" w:cs="Times New Roman"/>
          <w:sz w:val="28"/>
          <w:szCs w:val="28"/>
        </w:rPr>
        <w:t xml:space="preserve">1. Древаль Л.Н. О некоторых проблемах уголовного судопроизводства с участием присяжных заседателей / Л.Н. Древаль, Т.И. Делигиоз // Вестник </w:t>
      </w:r>
      <w:r w:rsidRPr="00994E27">
        <w:rPr>
          <w:rFonts w:ascii="Times New Roman" w:eastAsiaTheme="minorHAnsi" w:hAnsi="Times New Roman" w:cs="Times New Roman"/>
          <w:sz w:val="28"/>
          <w:szCs w:val="28"/>
        </w:rPr>
        <w:lastRenderedPageBreak/>
        <w:t>Дальневосточного юридического института МВД России. 2015. N 1 (30). С. 26 - 31.</w:t>
      </w:r>
    </w:p>
    <w:p w:rsidR="00F81CDF" w:rsidRPr="00994E27" w:rsidRDefault="00994E27" w:rsidP="00994E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94E27">
        <w:rPr>
          <w:rFonts w:ascii="Times New Roman" w:eastAsiaTheme="minorHAnsi" w:hAnsi="Times New Roman" w:cs="Times New Roman"/>
          <w:sz w:val="28"/>
          <w:szCs w:val="28"/>
        </w:rPr>
        <w:t>2. Якишева Е.З. Суд присяжных / Е.З. Якишева // Концепт. 2016. Т. 17. С. 263 - 271.</w:t>
      </w:r>
    </w:p>
    <w:sectPr w:rsidR="00F81CDF" w:rsidRPr="00994E27" w:rsidSect="000F3531">
      <w:pgSz w:w="11905" w:h="16838"/>
      <w:pgMar w:top="1134" w:right="850" w:bottom="1134" w:left="1701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1CDF" w:rsidRDefault="00F81CDF" w:rsidP="00994E27">
      <w:pPr>
        <w:spacing w:after="0" w:line="240" w:lineRule="auto"/>
      </w:pPr>
      <w:r>
        <w:separator/>
      </w:r>
    </w:p>
  </w:endnote>
  <w:endnote w:type="continuationSeparator" w:id="1">
    <w:p w:rsidR="00F81CDF" w:rsidRDefault="00F81CDF" w:rsidP="00994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1CDF" w:rsidRDefault="00F81CDF" w:rsidP="00994E27">
      <w:pPr>
        <w:spacing w:after="0" w:line="240" w:lineRule="auto"/>
      </w:pPr>
      <w:r>
        <w:separator/>
      </w:r>
    </w:p>
  </w:footnote>
  <w:footnote w:type="continuationSeparator" w:id="1">
    <w:p w:rsidR="00F81CDF" w:rsidRDefault="00F81CDF" w:rsidP="00994E27">
      <w:pPr>
        <w:spacing w:after="0" w:line="240" w:lineRule="auto"/>
      </w:pPr>
      <w:r>
        <w:continuationSeparator/>
      </w:r>
    </w:p>
  </w:footnote>
  <w:footnote w:id="2">
    <w:p w:rsidR="00994E27" w:rsidRPr="00994E27" w:rsidRDefault="00994E27" w:rsidP="00994E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Style w:val="a5"/>
        </w:rPr>
        <w:footnoteRef/>
      </w:r>
      <w:r>
        <w:t xml:space="preserve"> </w:t>
      </w:r>
      <w:r w:rsidRPr="00994E27">
        <w:rPr>
          <w:rFonts w:ascii="Times New Roman" w:eastAsiaTheme="minorHAnsi" w:hAnsi="Times New Roman" w:cs="Times New Roman"/>
          <w:sz w:val="24"/>
          <w:szCs w:val="24"/>
        </w:rPr>
        <w:t xml:space="preserve">См.: Древаль Л.Н., Делигиоз Т.И. О некоторых проблемах уголовного судопроизводства с участием присяжных заседателей // Вестник ДВЮИ МВД России. 2015. N 1 (30). С. 26 - 31; Якишева Е.З. Суд присяжных // Концепт. 2016. Т. 17. С. 263 - 271. URL: https://e-koncept.ru/2016/46231.htm (дата обращения: 10.02.2019); </w:t>
      </w:r>
      <w:hyperlink r:id="rId1" w:history="1">
        <w:r w:rsidRPr="00994E27">
          <w:rPr>
            <w:rFonts w:ascii="Times New Roman" w:eastAsiaTheme="minorHAnsi" w:hAnsi="Times New Roman" w:cs="Times New Roman"/>
            <w:color w:val="0000FF"/>
            <w:sz w:val="24"/>
            <w:szCs w:val="24"/>
          </w:rPr>
          <w:t>Обобщение</w:t>
        </w:r>
      </w:hyperlink>
      <w:r w:rsidRPr="00994E27">
        <w:rPr>
          <w:rFonts w:ascii="Times New Roman" w:eastAsiaTheme="minorHAnsi" w:hAnsi="Times New Roman" w:cs="Times New Roman"/>
          <w:sz w:val="24"/>
          <w:szCs w:val="24"/>
        </w:rPr>
        <w:t xml:space="preserve"> судебной практики рассмотрения в Оренбургском областном суде уголовных дел с участием присяжных заседателей за 2013 - 2016 годы. URL: https://oblsud.orb.sudrf.ru/modules.php?name=docum_sud&amp;id=537 (дата обращения: 10.02.2019); Справка по результатам обобщения судебной практики по рассмотрению Пермским краевым судом уголовных дел с участием присяжных заседателей в 2014, 2015, 2016 гг. URL: https://kirov.perm.sudrf.ru/modules.php?name=docum_sud&amp;id=269 (дата обращения: 10.02.2019).</w:t>
      </w:r>
    </w:p>
  </w:footnote>
  <w:footnote w:id="3">
    <w:p w:rsidR="00994E27" w:rsidRPr="00994E27" w:rsidRDefault="00994E27" w:rsidP="00994E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</w:rPr>
      </w:pPr>
      <w:r>
        <w:rPr>
          <w:rStyle w:val="a5"/>
        </w:rPr>
        <w:footnoteRef/>
      </w:r>
      <w:r>
        <w:t xml:space="preserve"> </w:t>
      </w:r>
      <w:hyperlink r:id="rId2" w:history="1">
        <w:r w:rsidRPr="00994E27">
          <w:rPr>
            <w:rFonts w:ascii="Times New Roman" w:eastAsiaTheme="minorHAnsi" w:hAnsi="Times New Roman" w:cs="Times New Roman"/>
            <w:color w:val="000000" w:themeColor="text1"/>
            <w:sz w:val="24"/>
            <w:szCs w:val="24"/>
          </w:rPr>
          <w:t>Пояснительная записка</w:t>
        </w:r>
      </w:hyperlink>
      <w:r w:rsidRPr="00994E27">
        <w:rPr>
          <w:rFonts w:ascii="Times New Roman" w:eastAsiaTheme="minorHAnsi" w:hAnsi="Times New Roman" w:cs="Times New Roman"/>
          <w:color w:val="000000" w:themeColor="text1"/>
          <w:sz w:val="24"/>
          <w:szCs w:val="24"/>
        </w:rPr>
        <w:t xml:space="preserve"> к проекту федерального закона "О внесении изменений в Уголовно-процессуальный кодекс Российской Федерации в связи с расширением применения института присяжных заседателей". URL: https://asozd2.duma.gov.ru/addwork/scans.nsf/lD/OpenElement (дата обращения: 10.02.2019).</w:t>
      </w:r>
    </w:p>
    <w:p w:rsidR="00994E27" w:rsidRDefault="00994E27">
      <w:pPr>
        <w:pStyle w:val="a3"/>
      </w:pPr>
    </w:p>
  </w:footnote>
  <w:footnote w:id="4">
    <w:p w:rsidR="00994E27" w:rsidRPr="00994E27" w:rsidRDefault="00994E27" w:rsidP="00994E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Style w:val="a5"/>
        </w:rPr>
        <w:footnoteRef/>
      </w:r>
      <w:r>
        <w:t xml:space="preserve"> </w:t>
      </w:r>
      <w:r w:rsidRPr="00994E27">
        <w:rPr>
          <w:rFonts w:ascii="Times New Roman" w:eastAsiaTheme="minorHAnsi" w:hAnsi="Times New Roman" w:cs="Times New Roman"/>
          <w:sz w:val="24"/>
          <w:szCs w:val="24"/>
        </w:rPr>
        <w:t>Присяжные начали рассматривать первые дела по новым правилам. URL: https://pravo.ru/news/203167/ (дата обращения: 10.02.2019).</w:t>
      </w:r>
    </w:p>
    <w:p w:rsidR="00994E27" w:rsidRPr="00994E27" w:rsidRDefault="00994E27">
      <w:pPr>
        <w:pStyle w:val="a3"/>
        <w:rPr>
          <w:sz w:val="24"/>
          <w:szCs w:val="24"/>
        </w:rPr>
      </w:pPr>
    </w:p>
  </w:footnote>
  <w:footnote w:id="5">
    <w:p w:rsidR="00994E27" w:rsidRPr="00994E27" w:rsidRDefault="00994E27" w:rsidP="00994E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Style w:val="a5"/>
        </w:rPr>
        <w:footnoteRef/>
      </w:r>
      <w:r w:rsidRPr="00994E27">
        <w:rPr>
          <w:lang w:val="en-US"/>
        </w:rPr>
        <w:t xml:space="preserve"> </w:t>
      </w:r>
      <w:r w:rsidRPr="00994E27">
        <w:rPr>
          <w:rFonts w:ascii="Times New Roman" w:eastAsiaTheme="minorHAnsi" w:hAnsi="Times New Roman" w:cs="Times New Roman"/>
          <w:sz w:val="24"/>
          <w:szCs w:val="24"/>
        </w:rPr>
        <w:t>См</w:t>
      </w:r>
      <w:r w:rsidRPr="00994E27">
        <w:rPr>
          <w:rFonts w:ascii="Times New Roman" w:eastAsiaTheme="minorHAnsi" w:hAnsi="Times New Roman" w:cs="Times New Roman"/>
          <w:sz w:val="24"/>
          <w:szCs w:val="24"/>
          <w:lang w:val="en-US"/>
        </w:rPr>
        <w:t>.: Massachusetts General Laws. Chapter 234, section 42. URL: https://malegislature.gov/Laws/GeneralLaws/PartIII (</w:t>
      </w:r>
      <w:r w:rsidRPr="00994E27">
        <w:rPr>
          <w:rFonts w:ascii="Times New Roman" w:eastAsiaTheme="minorHAnsi" w:hAnsi="Times New Roman" w:cs="Times New Roman"/>
          <w:sz w:val="24"/>
          <w:szCs w:val="24"/>
        </w:rPr>
        <w:t>датаобращения</w:t>
      </w:r>
      <w:r w:rsidRPr="00994E27">
        <w:rPr>
          <w:rFonts w:ascii="Times New Roman" w:eastAsiaTheme="minorHAnsi" w:hAnsi="Times New Roman" w:cs="Times New Roman"/>
          <w:sz w:val="24"/>
          <w:szCs w:val="24"/>
          <w:lang w:val="en-US"/>
        </w:rPr>
        <w:t xml:space="preserve">: 10.02.2019); Assessment of juror utilization in the Massachusetts trial courts: final report. </w:t>
      </w:r>
      <w:r w:rsidRPr="00994E27">
        <w:rPr>
          <w:rFonts w:ascii="Times New Roman" w:eastAsiaTheme="minorHAnsi" w:hAnsi="Times New Roman" w:cs="Times New Roman"/>
          <w:sz w:val="24"/>
          <w:szCs w:val="24"/>
        </w:rPr>
        <w:t>June 22, 2007. URL: https://www.ncsc-jurystudies.org (дата обращения: 10.02.2019).</w:t>
      </w:r>
    </w:p>
  </w:footnote>
  <w:footnote w:id="6">
    <w:p w:rsidR="00994E27" w:rsidRPr="00994E27" w:rsidRDefault="00994E27" w:rsidP="00994E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Style w:val="a5"/>
        </w:rPr>
        <w:footnoteRef/>
      </w:r>
      <w:r w:rsidRPr="00994E27">
        <w:rPr>
          <w:lang w:val="en-US"/>
        </w:rPr>
        <w:t xml:space="preserve"> </w:t>
      </w:r>
      <w:r w:rsidRPr="00994E27">
        <w:rPr>
          <w:rFonts w:ascii="Times New Roman" w:eastAsiaTheme="minorHAnsi" w:hAnsi="Times New Roman" w:cs="Times New Roman"/>
          <w:sz w:val="24"/>
          <w:szCs w:val="24"/>
        </w:rPr>
        <w:t>См</w:t>
      </w:r>
      <w:r w:rsidRPr="00994E27">
        <w:rPr>
          <w:rFonts w:ascii="Times New Roman" w:eastAsiaTheme="minorHAnsi" w:hAnsi="Times New Roman" w:cs="Times New Roman"/>
          <w:sz w:val="24"/>
          <w:szCs w:val="24"/>
          <w:lang w:val="en-US"/>
        </w:rPr>
        <w:t xml:space="preserve">.: Saltzman J. Law's long arm finds shirkers of jury duty. </w:t>
      </w:r>
      <w:r w:rsidRPr="00994E27">
        <w:rPr>
          <w:rFonts w:ascii="Times New Roman" w:eastAsiaTheme="minorHAnsi" w:hAnsi="Times New Roman" w:cs="Times New Roman"/>
          <w:sz w:val="24"/>
          <w:szCs w:val="24"/>
        </w:rPr>
        <w:t>URL: https://archive.boston.com/news/local/massachusetts/articles/2009/10/05/massachusetts_cracks_down_on_jury_duty_shirkers/?page=2 (дата обращения: 10.02.2019).</w:t>
      </w:r>
    </w:p>
    <w:p w:rsidR="00994E27" w:rsidRDefault="00994E27">
      <w:pPr>
        <w:pStyle w:val="a3"/>
      </w:pPr>
    </w:p>
  </w:footnote>
  <w:footnote w:id="7">
    <w:p w:rsidR="00994E27" w:rsidRPr="00994E27" w:rsidRDefault="00994E27" w:rsidP="00994E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Style w:val="a5"/>
        </w:rPr>
        <w:footnoteRef/>
      </w:r>
      <w:r w:rsidRPr="00994E27">
        <w:rPr>
          <w:lang w:val="en-US"/>
        </w:rPr>
        <w:t xml:space="preserve"> </w:t>
      </w:r>
      <w:r w:rsidRPr="00994E27">
        <w:rPr>
          <w:rFonts w:ascii="Times New Roman" w:eastAsiaTheme="minorHAnsi" w:hAnsi="Times New Roman" w:cs="Times New Roman"/>
          <w:sz w:val="24"/>
          <w:szCs w:val="24"/>
        </w:rPr>
        <w:t>См</w:t>
      </w:r>
      <w:r w:rsidRPr="00994E27">
        <w:rPr>
          <w:rFonts w:ascii="Times New Roman" w:eastAsiaTheme="minorHAnsi" w:hAnsi="Times New Roman" w:cs="Times New Roman"/>
          <w:sz w:val="24"/>
          <w:szCs w:val="24"/>
          <w:lang w:val="en-US"/>
        </w:rPr>
        <w:t xml:space="preserve">.: About the Public Outreach Program. </w:t>
      </w:r>
      <w:r w:rsidRPr="00994E27">
        <w:rPr>
          <w:rFonts w:ascii="Times New Roman" w:eastAsiaTheme="minorHAnsi" w:hAnsi="Times New Roman" w:cs="Times New Roman"/>
          <w:sz w:val="24"/>
          <w:szCs w:val="24"/>
        </w:rPr>
        <w:t>URL: https://www.mass.gov/service-details/learn-about-the-public-outreach-program (дата обращения: 10.02.2019).</w:t>
      </w:r>
    </w:p>
    <w:p w:rsidR="00994E27" w:rsidRDefault="00994E27">
      <w:pPr>
        <w:pStyle w:val="a3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94E27"/>
    <w:rsid w:val="00994E27"/>
    <w:rsid w:val="00DB7A53"/>
    <w:rsid w:val="00F81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994E2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94E27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994E2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A1312428F88893C5C705BF5BD4B345947D50033FDCFC679FF15B7B40CDD66A1FC8148DA4F4C7EEA1D25A1581C2CD2871F2A81A72213EEE9jD1BF" TargetMode="External"/><Relationship Id="rId13" Type="http://schemas.openxmlformats.org/officeDocument/2006/relationships/hyperlink" Target="consultantplus://offline/ref=0A1312428F88893C5C705BF5BD4B345940DC0C3AF7CC9B73F74CBBB60BD239A4FB9048D94A527EE30A2CF508j511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A1312428F88893C5C7047E6A04B345945D00735FDCEC679FF15B7B40CDD66A1EE8110D64D4960EA1D30F70959j710F" TargetMode="External"/><Relationship Id="rId12" Type="http://schemas.openxmlformats.org/officeDocument/2006/relationships/hyperlink" Target="consultantplus://offline/ref=0A1312428F88893C5C705BF5BD4B345947D50033FDC4C679FF15B7B40CDD66A1FC8148DA4F4E7CEC1525A1581C2CD2871F2A81A72213EEE9jD1B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A1312428F88893C5C705BF5BD4B345947D50033FDC4C679FF15B7B40CDD66A1FC8148DA4F4878E31325A1581C2CD2871F2A81A72213EEE9jD1BF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0A1312428F88893C5C705BF5BD4B345947D50235F1CEC679FF15B7B40CDD66A1EE8110D64D4960EA1D30F70959j710F" TargetMode="External"/><Relationship Id="rId10" Type="http://schemas.openxmlformats.org/officeDocument/2006/relationships/hyperlink" Target="consultantplus://offline/ref=0A1312428F88893C5C705BF5BD4B345946DC0236FF91917BAE40B9B1048D2EB1B2C445DB4E4E78E1407FB15C557BDA9B1A3D9FAC3C10jE17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A1312428F88893C5C705BF5BD4B345946D50C32F6C0C679FF15B7B40CDD66A1FC8148DA4F4C7EEB1625A1581C2CD2871F2A81A72213EEE9jD1BF" TargetMode="External"/><Relationship Id="rId14" Type="http://schemas.openxmlformats.org/officeDocument/2006/relationships/hyperlink" Target="consultantplus://offline/ref=0A1312428F88893C5C705BF5BD4B345947D40C37F5CC9B73F74CBBB60BD239B6FBC844DB4E4E76E31F7AA44D0D74DD80043488B03E11EFjE11F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consultantplus://offline/ref=0A1312428F88893C5C7047E6A04B345945D00735FDCEC679FF15B7B40CDD66A1EE8110D64D4960EA1D30F70959j710F" TargetMode="External"/><Relationship Id="rId1" Type="http://schemas.openxmlformats.org/officeDocument/2006/relationships/hyperlink" Target="consultantplus://offline/ref=0A1312428F88893C5C7044FBBA26610A49D70C36FCC5C424F51DEEB80EDA69FEEB94018E424E7BF41427EB0B5878jD1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95C17-A630-4ABD-943A-C6E1DE446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2148</Words>
  <Characters>12246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Электро</dc:creator>
  <cp:keywords/>
  <dc:description/>
  <cp:lastModifiedBy>Дмитрий Электро</cp:lastModifiedBy>
  <cp:revision>2</cp:revision>
  <dcterms:created xsi:type="dcterms:W3CDTF">2019-09-27T14:14:00Z</dcterms:created>
  <dcterms:modified xsi:type="dcterms:W3CDTF">2019-09-27T14:27:00Z</dcterms:modified>
</cp:coreProperties>
</file>