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62563">
        <w:rPr>
          <w:rFonts w:ascii="Times New Roman" w:hAnsi="Times New Roman" w:cs="Times New Roman"/>
          <w:b/>
          <w:i/>
          <w:sz w:val="24"/>
          <w:szCs w:val="24"/>
        </w:rPr>
        <w:t xml:space="preserve">Опытно-экспериментальная работа "Влияние дифференцированного подхода на результативность трудового обучения подростков с ограниченными возможностями здоровья " 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  <w:i/>
        </w:rPr>
      </w:pPr>
      <w:r w:rsidRPr="00A62563">
        <w:rPr>
          <w:rFonts w:ascii="Times New Roman" w:hAnsi="Times New Roman" w:cs="Times New Roman"/>
          <w:i/>
        </w:rPr>
        <w:t>Димитров Виктор Николаевич, учитель технологии (сельхоз труд)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  <w:i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  <w:b/>
          <w:i/>
        </w:rPr>
        <w:t>Цель</w:t>
      </w:r>
      <w:r w:rsidRPr="00A62563">
        <w:rPr>
          <w:rFonts w:ascii="Times New Roman" w:hAnsi="Times New Roman" w:cs="Times New Roman"/>
        </w:rPr>
        <w:t>: доказать экспериментальным путем, что дифференцированный подход в трудовом обучении способствует более эффективному усвоению знаний и умений, также развитию коммуникативных способностей умственно отсталых подростков.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Объект изучения: Трудовое обучение подростков с ограниченными возможностями здоровья 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Предмет изучения:  Возможности дифференцированного подхода в трудовом обучении подростков с ограниченными возможностями здоровья.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  <w:b/>
          <w:i/>
        </w:rPr>
        <w:t>Гипотеза</w:t>
      </w:r>
      <w:r w:rsidRPr="00A62563">
        <w:rPr>
          <w:rFonts w:ascii="Times New Roman" w:hAnsi="Times New Roman" w:cs="Times New Roman"/>
          <w:b/>
        </w:rPr>
        <w:t>:</w:t>
      </w:r>
      <w:r w:rsidRPr="00A62563">
        <w:rPr>
          <w:rFonts w:ascii="Times New Roman" w:hAnsi="Times New Roman" w:cs="Times New Roman"/>
        </w:rPr>
        <w:t xml:space="preserve"> Предполагается, что дифференцированный подход в трудовом обучении подростков с ограниченными возможностями здоровья способствует: более эффективному усвоению знаний и умений, а так же развитию коммуникативных способностей.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Для того</w:t>
      </w:r>
      <w:proofErr w:type="gramStart"/>
      <w:r w:rsidRPr="00A62563">
        <w:rPr>
          <w:rFonts w:ascii="Times New Roman" w:hAnsi="Times New Roman" w:cs="Times New Roman"/>
        </w:rPr>
        <w:t>,</w:t>
      </w:r>
      <w:proofErr w:type="gramEnd"/>
      <w:r w:rsidRPr="00A62563">
        <w:rPr>
          <w:rFonts w:ascii="Times New Roman" w:hAnsi="Times New Roman" w:cs="Times New Roman"/>
        </w:rPr>
        <w:t xml:space="preserve"> чтобы применить в обучении дифференцированный подход необходимо получить характеристику личности каждого учащегося и знать его возможности, чтобы правильно подготовит его к усвоению учебного материала и применить большую или меньшую степень самостоятельности.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Для изучения ведущих интегральных качеств личности, структуры интеллекта, коммуникативности в общении мною был применен ряд диагностических методик (Приложение 1), что позволит в дальнейшем определить пути дифференцированного подхода в трудовом обучении данного контингента воспитанников.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Результаты и анализ экспериментального исследования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Опытно-экспериментальную работу я проводил на базе «Тепикинской </w:t>
      </w:r>
      <w:proofErr w:type="gramStart"/>
      <w:r w:rsidRPr="00A62563">
        <w:rPr>
          <w:rFonts w:ascii="Times New Roman" w:hAnsi="Times New Roman" w:cs="Times New Roman"/>
        </w:rPr>
        <w:t>школы-интернат</w:t>
      </w:r>
      <w:proofErr w:type="gramEnd"/>
      <w:r w:rsidRPr="00A62563">
        <w:rPr>
          <w:rFonts w:ascii="Times New Roman" w:hAnsi="Times New Roman" w:cs="Times New Roman"/>
        </w:rPr>
        <w:t>» в течение второй и третьей четвертей 2017-2018 учебного года.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Работа проводилась в три этапа на уроках трудового </w:t>
      </w:r>
      <w:proofErr w:type="gramStart"/>
      <w:r w:rsidRPr="00A62563">
        <w:rPr>
          <w:rFonts w:ascii="Times New Roman" w:hAnsi="Times New Roman" w:cs="Times New Roman"/>
        </w:rPr>
        <w:t>обучения по профилю</w:t>
      </w:r>
      <w:proofErr w:type="gramEnd"/>
      <w:r w:rsidRPr="00A62563">
        <w:rPr>
          <w:rFonts w:ascii="Times New Roman" w:hAnsi="Times New Roman" w:cs="Times New Roman"/>
        </w:rPr>
        <w:t xml:space="preserve"> – сельскохозяйственный труд. 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Первый этап: констатирующий – вторая четверть (с 12.11.17г. по 28.12.17г.)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Второй этап: формирующий - третья четверть (с 12.01.18г. по 21.0318г.)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Третий этап: контрольный – сравнение результатов успеваемости второй и третей четвертей.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В эксперименте принимали участие 15 человек. Возраст учащихся 15 – 16 лет</w:t>
      </w:r>
      <w:proofErr w:type="gramStart"/>
      <w:r w:rsidRPr="00A62563">
        <w:rPr>
          <w:rFonts w:ascii="Times New Roman" w:hAnsi="Times New Roman" w:cs="Times New Roman"/>
        </w:rPr>
        <w:t xml:space="preserve">.. </w:t>
      </w:r>
      <w:proofErr w:type="gramEnd"/>
      <w:r w:rsidRPr="00A62563">
        <w:rPr>
          <w:rFonts w:ascii="Times New Roman" w:hAnsi="Times New Roman" w:cs="Times New Roman"/>
        </w:rPr>
        <w:t>Состояние психического здоровья характеризуется легкой степенью умственной отсталости различной этиологии.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Первый этап эксперимента (констатирующий)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  <w:b/>
          <w:i/>
        </w:rPr>
        <w:t>Цель:</w:t>
      </w:r>
      <w:r w:rsidRPr="00A62563">
        <w:rPr>
          <w:rFonts w:ascii="Times New Roman" w:hAnsi="Times New Roman" w:cs="Times New Roman"/>
        </w:rPr>
        <w:t xml:space="preserve"> Получить более полную характеристику каждого участника эксперимента, проведя диагностические исследования. Определить результативность успеваемости учащихся за вторую четверть в каждой подгруппе. 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Содержание эксперимента: Исследования проводились в течение второй четверти 2016-2017 учебного года на базе Тепикинской  школы-интерната.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На первом этапе эксперимента были проведены исследования и получены результаты (Приложение 2).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В ходе эксперимента были изучены ведущие интегральные качества личности воспитанников при помощи теста “опросник </w:t>
      </w:r>
      <w:proofErr w:type="spellStart"/>
      <w:r w:rsidRPr="00A62563">
        <w:rPr>
          <w:rFonts w:ascii="Times New Roman" w:hAnsi="Times New Roman" w:cs="Times New Roman"/>
        </w:rPr>
        <w:t>Айзенка</w:t>
      </w:r>
      <w:proofErr w:type="spellEnd"/>
      <w:r w:rsidRPr="00A62563">
        <w:rPr>
          <w:rFonts w:ascii="Times New Roman" w:hAnsi="Times New Roman" w:cs="Times New Roman"/>
        </w:rPr>
        <w:t xml:space="preserve">” (для подростков) и методики </w:t>
      </w:r>
      <w:proofErr w:type="spellStart"/>
      <w:r w:rsidRPr="00A62563">
        <w:rPr>
          <w:rFonts w:ascii="Times New Roman" w:hAnsi="Times New Roman" w:cs="Times New Roman"/>
        </w:rPr>
        <w:t>А.В.Белова</w:t>
      </w:r>
      <w:proofErr w:type="spellEnd"/>
      <w:r w:rsidRPr="00A62563">
        <w:rPr>
          <w:rFonts w:ascii="Times New Roman" w:hAnsi="Times New Roman" w:cs="Times New Roman"/>
        </w:rPr>
        <w:t>. Результаты приведены в таблице 1 (Приложение 2)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Для диагностики структуры интеллекта был применен тест Д. Векслера. Результаты приведены в таблице 2. (Приложение 2)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Для оценки уровня общительности был применен тест </w:t>
      </w:r>
      <w:proofErr w:type="spellStart"/>
      <w:r w:rsidRPr="00A62563">
        <w:rPr>
          <w:rFonts w:ascii="Times New Roman" w:hAnsi="Times New Roman" w:cs="Times New Roman"/>
        </w:rPr>
        <w:t>В.Ф.Ряховского</w:t>
      </w:r>
      <w:proofErr w:type="spellEnd"/>
      <w:r w:rsidRPr="00A62563">
        <w:rPr>
          <w:rFonts w:ascii="Times New Roman" w:hAnsi="Times New Roman" w:cs="Times New Roman"/>
        </w:rPr>
        <w:t>. результаты приведены в таблице 3 (Приложение 2)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Для диагностики коммуникативных и организаторских способностей применена методика “КОС”. Результаты приведены в таблице 4  (Приложение 2)</w:t>
      </w:r>
      <w:r w:rsidRPr="00A62563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Для исследования предпочтений и отношений в классном коллективе была применена методика </w:t>
      </w:r>
      <w:proofErr w:type="spellStart"/>
      <w:r w:rsidRPr="00A62563">
        <w:rPr>
          <w:rFonts w:ascii="Times New Roman" w:hAnsi="Times New Roman" w:cs="Times New Roman"/>
        </w:rPr>
        <w:t>Л.М.Фридмана</w:t>
      </w:r>
      <w:proofErr w:type="spellEnd"/>
      <w:r w:rsidRPr="00A62563">
        <w:rPr>
          <w:rFonts w:ascii="Times New Roman" w:hAnsi="Times New Roman" w:cs="Times New Roman"/>
        </w:rPr>
        <w:t>. Результаты исследования приведены в таблице5 (Приложение 2)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Примененные методики диагностического исследования позволили мне получить характеристику на каждого подростка, участвующего в эксперименте, с присущим только ему сочетанием черт и особенностей, образующих его индивидуальность. 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lastRenderedPageBreak/>
        <w:t>В конце второй четверти я оценил результативность трудового обучения пятнадцати  участников эксперимента по итогам успеваемости за вторую четверть.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Результаты успеваемости за вто</w:t>
      </w:r>
      <w:r>
        <w:rPr>
          <w:rFonts w:ascii="Times New Roman" w:hAnsi="Times New Roman" w:cs="Times New Roman"/>
        </w:rPr>
        <w:t>рую четверть приведены в таб.</w:t>
      </w:r>
      <w:r w:rsidRPr="00A62563">
        <w:rPr>
          <w:rFonts w:ascii="Times New Roman" w:hAnsi="Times New Roman" w:cs="Times New Roman"/>
        </w:rPr>
        <w:t xml:space="preserve"> 6 и в виде гистограммы на рис. 1 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Таблица 6. Результаты успеваемости за вторую четверть. </w:t>
      </w:r>
      <w:proofErr w:type="gramStart"/>
      <w:r w:rsidRPr="00A62563">
        <w:rPr>
          <w:rFonts w:ascii="Times New Roman" w:hAnsi="Times New Roman" w:cs="Times New Roman"/>
        </w:rPr>
        <w:t>К-во</w:t>
      </w:r>
      <w:proofErr w:type="gramEnd"/>
      <w:r w:rsidRPr="00A62563">
        <w:rPr>
          <w:rFonts w:ascii="Times New Roman" w:hAnsi="Times New Roman" w:cs="Times New Roman"/>
        </w:rPr>
        <w:t xml:space="preserve"> уч-ся</w:t>
      </w:r>
      <w:r w:rsidRPr="00A62563">
        <w:rPr>
          <w:rFonts w:ascii="Times New Roman" w:hAnsi="Times New Roman" w:cs="Times New Roman"/>
        </w:rPr>
        <w:tab/>
        <w:t>оценка, %</w:t>
      </w:r>
    </w:p>
    <w:p w:rsidR="00013843" w:rsidRPr="00A62563" w:rsidRDefault="00013843" w:rsidP="00013843">
      <w:pPr>
        <w:spacing w:after="0" w:line="240" w:lineRule="atLeast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“5”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“4”</w:t>
      </w:r>
      <w:r w:rsidRPr="00A6256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8775B6" wp14:editId="71BB8CCC">
            <wp:extent cx="5000625" cy="3371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2563">
        <w:rPr>
          <w:rFonts w:ascii="Times New Roman" w:hAnsi="Times New Roman" w:cs="Times New Roman"/>
        </w:rPr>
        <w:t>“3”</w:t>
      </w:r>
      <w:r w:rsidRPr="00A62563">
        <w:rPr>
          <w:rFonts w:ascii="Times New Roman" w:hAnsi="Times New Roman" w:cs="Times New Roman"/>
        </w:rPr>
        <w:tab/>
        <w:t>%</w:t>
      </w:r>
    </w:p>
    <w:p w:rsidR="00013843" w:rsidRPr="00A62563" w:rsidRDefault="00F44A45" w:rsidP="0001384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ab/>
        <w:t>4</w:t>
      </w:r>
      <w:r>
        <w:rPr>
          <w:rFonts w:ascii="Times New Roman" w:hAnsi="Times New Roman" w:cs="Times New Roman"/>
        </w:rPr>
        <w:tab/>
        <w:t>17,9</w:t>
      </w:r>
      <w:r>
        <w:rPr>
          <w:rFonts w:ascii="Times New Roman" w:hAnsi="Times New Roman" w:cs="Times New Roman"/>
        </w:rPr>
        <w:tab/>
        <w:t>8</w:t>
      </w:r>
      <w:r>
        <w:rPr>
          <w:rFonts w:ascii="Times New Roman" w:hAnsi="Times New Roman" w:cs="Times New Roman"/>
        </w:rPr>
        <w:tab/>
        <w:t>35,7</w:t>
      </w:r>
      <w:r>
        <w:rPr>
          <w:rFonts w:ascii="Times New Roman" w:hAnsi="Times New Roman" w:cs="Times New Roman"/>
        </w:rPr>
        <w:tab/>
      </w:r>
      <w:r w:rsidR="00013843" w:rsidRPr="00A62563">
        <w:rPr>
          <w:rFonts w:ascii="Times New Roman" w:hAnsi="Times New Roman" w:cs="Times New Roman"/>
        </w:rPr>
        <w:t>3</w:t>
      </w:r>
      <w:r w:rsidR="00013843" w:rsidRPr="00A62563">
        <w:rPr>
          <w:rFonts w:ascii="Times New Roman" w:hAnsi="Times New Roman" w:cs="Times New Roman"/>
        </w:rPr>
        <w:tab/>
        <w:t>46,4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Рис. 1 Результативность обучения во второй четверти.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Проведенные в конце второй четверти самостоятельные работы подтвердили результаты успеваемости: из общего количества учащихся на оценку “5” с самостоятельной работой справились – 2 человек, на “4” – 8 , на “3” – 3, не справились с работой – 1 человек.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Таким образом: на этапе констатирующего эксперимента были получены довольно полные характеристики учащихся об их характере, темпераменте, нейродинамических нарушениях, уровне интеллектуального развития, коммуникативности в общении, отношениях в классных коллективах, выявлены слабые и сильные стороны в усвоении программного материала. Обнаружено, что на высоком уровне во второй четверти успевают 17,9% учащихся, на среднем – 35,7% </w:t>
      </w:r>
      <w:proofErr w:type="gramStart"/>
      <w:r w:rsidRPr="00A62563">
        <w:rPr>
          <w:rFonts w:ascii="Times New Roman" w:hAnsi="Times New Roman" w:cs="Times New Roman"/>
        </w:rPr>
        <w:t>на</w:t>
      </w:r>
      <w:proofErr w:type="gramEnd"/>
      <w:r w:rsidRPr="00A62563">
        <w:rPr>
          <w:rFonts w:ascii="Times New Roman" w:hAnsi="Times New Roman" w:cs="Times New Roman"/>
        </w:rPr>
        <w:t xml:space="preserve"> </w:t>
      </w:r>
      <w:proofErr w:type="gramStart"/>
      <w:r w:rsidRPr="00A62563">
        <w:rPr>
          <w:rFonts w:ascii="Times New Roman" w:hAnsi="Times New Roman" w:cs="Times New Roman"/>
        </w:rPr>
        <w:t>низком</w:t>
      </w:r>
      <w:proofErr w:type="gramEnd"/>
      <w:r w:rsidRPr="00A62563">
        <w:rPr>
          <w:rFonts w:ascii="Times New Roman" w:hAnsi="Times New Roman" w:cs="Times New Roman"/>
        </w:rPr>
        <w:t xml:space="preserve"> – 46,4% из общего количества испытуемых. 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Качество знаний во второй четверти составило 53,6 %.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Второй этап эксперимента (формирующий)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DC52D7">
        <w:rPr>
          <w:rFonts w:ascii="Times New Roman" w:hAnsi="Times New Roman" w:cs="Times New Roman"/>
          <w:b/>
          <w:i/>
        </w:rPr>
        <w:t>Цель</w:t>
      </w:r>
      <w:r w:rsidRPr="00A62563">
        <w:rPr>
          <w:rFonts w:ascii="Times New Roman" w:hAnsi="Times New Roman" w:cs="Times New Roman"/>
        </w:rPr>
        <w:t xml:space="preserve">: Проверить эффективность дифференцированного подхода при усвоении знаний и умений, а так же в развитии коммуникативных способностей подростков с ограниченными возможностями здоровья на уроках трудового обучения. Определить результативность трудового </w:t>
      </w:r>
      <w:proofErr w:type="gramStart"/>
      <w:r w:rsidRPr="00A62563">
        <w:rPr>
          <w:rFonts w:ascii="Times New Roman" w:hAnsi="Times New Roman" w:cs="Times New Roman"/>
        </w:rPr>
        <w:t>обучения по итогам</w:t>
      </w:r>
      <w:proofErr w:type="gramEnd"/>
      <w:r w:rsidRPr="00A62563">
        <w:rPr>
          <w:rFonts w:ascii="Times New Roman" w:hAnsi="Times New Roman" w:cs="Times New Roman"/>
        </w:rPr>
        <w:t xml:space="preserve"> третьей четверти.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Содержание эксперимента: Исследования проводились с учащимися прежнего состава в течение третьей четверти 2016-2017 учебного года на базе Тепикинской школы-интерната. Количество учащихся – 15 человек. 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Условия эксперимента: Мною было определено, что в классах на уроках сельскохозяйственного труда, в течение третей четверти систематически будет использоваться дифференцированный подход, а результативность трудового обучения будет определяться по итогам успеваемости за третью четверть.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На этапе формирующего эксперимента была проведена следующая работа: </w:t>
      </w:r>
      <w:proofErr w:type="gramStart"/>
      <w:r w:rsidRPr="00A62563">
        <w:rPr>
          <w:rFonts w:ascii="Times New Roman" w:hAnsi="Times New Roman" w:cs="Times New Roman"/>
        </w:rPr>
        <w:t>Учащиеся были “разбиты” на 4 группы по результатам диагностических исследований (Приложение 2.</w:t>
      </w:r>
      <w:proofErr w:type="gramEnd"/>
      <w:r w:rsidRPr="00A62563">
        <w:rPr>
          <w:rFonts w:ascii="Times New Roman" w:hAnsi="Times New Roman" w:cs="Times New Roman"/>
        </w:rPr>
        <w:t xml:space="preserve"> Таблица 2)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К первой группе были отнесены учащиеся, которые относятся к трудовому обучению осознано, как к профессиональной подготовке, что связано с социальными мотивами. Это учащиеся, добивающиеся завершения начатой работы, умеющие правильно распределять время на подготовительные и основные операции. При возникающих трудностях они обращаются за</w:t>
      </w:r>
      <w:r>
        <w:rPr>
          <w:rFonts w:ascii="Times New Roman" w:hAnsi="Times New Roman" w:cs="Times New Roman"/>
        </w:rPr>
        <w:t xml:space="preserve"> </w:t>
      </w:r>
      <w:r w:rsidRPr="00A62563">
        <w:rPr>
          <w:rFonts w:ascii="Times New Roman" w:hAnsi="Times New Roman" w:cs="Times New Roman"/>
        </w:rPr>
        <w:t>помощью к учителю или товарищам. Подростки этой группы отличаются самостоятельностью, целеустремленностью, аккуратностью, ответственностью, положительным отношением к труду.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lastRenderedPageBreak/>
        <w:t>Вторая группа – это учащиеся, отношение которых к труду характеризуется наличием элементов опосредованности. У них наблюдается постоянство в выборе предпочитаемых видов труда, частичное проявление социальной мотивации. Учащиеся этой группы не проявляют необходимой целеустремленности в достижении поставленной цели. Учитель постоянно возвращает этих детей к осуществлению поставленной перед ними трудовой задаче.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Третью группу представляли учащиеся с </w:t>
      </w:r>
      <w:proofErr w:type="gramStart"/>
      <w:r w:rsidRPr="00A62563">
        <w:rPr>
          <w:rFonts w:ascii="Times New Roman" w:hAnsi="Times New Roman" w:cs="Times New Roman"/>
        </w:rPr>
        <w:t>посредственным</w:t>
      </w:r>
      <w:proofErr w:type="gramEnd"/>
      <w:r w:rsidRPr="00A62563">
        <w:rPr>
          <w:rFonts w:ascii="Times New Roman" w:hAnsi="Times New Roman" w:cs="Times New Roman"/>
        </w:rPr>
        <w:t xml:space="preserve"> отношением к труду. Они не осознают социальной значимости трудовой деятельности. Их отношение к ней определяется интересом к конкретным заданиям или определенным процессам.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Четвертая группа учащихся – это учащиеся с индифферентным отношением к труду, обусловленным определенностью мотивов. При безразличном отношении к трудовой деятельности они постоянно нуждаются в ее стилизации и активизации.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При подготовке к урокам были определены пути дифференцированного подхода и разработаны дифференцированные задания и виды помощи (Приложение 3)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Результаты успеваемости за тре</w:t>
      </w:r>
      <w:r>
        <w:rPr>
          <w:rFonts w:ascii="Times New Roman" w:hAnsi="Times New Roman" w:cs="Times New Roman"/>
        </w:rPr>
        <w:t>тью четверть приведены в таб.</w:t>
      </w:r>
      <w:r w:rsidRPr="00A62563">
        <w:rPr>
          <w:rFonts w:ascii="Times New Roman" w:hAnsi="Times New Roman" w:cs="Times New Roman"/>
        </w:rPr>
        <w:t xml:space="preserve"> 7 и в виде гистограммы на рис. 2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Таблица 7. Результаты успеваемости за третью четверть. </w:t>
      </w:r>
      <w:proofErr w:type="gramStart"/>
      <w:r w:rsidRPr="00A62563">
        <w:rPr>
          <w:rFonts w:ascii="Times New Roman" w:hAnsi="Times New Roman" w:cs="Times New Roman"/>
        </w:rPr>
        <w:t>К-во</w:t>
      </w:r>
      <w:proofErr w:type="gramEnd"/>
      <w:r w:rsidRPr="00A62563">
        <w:rPr>
          <w:rFonts w:ascii="Times New Roman" w:hAnsi="Times New Roman" w:cs="Times New Roman"/>
        </w:rPr>
        <w:t xml:space="preserve"> уч-ся</w:t>
      </w:r>
      <w:r w:rsidRPr="00A62563">
        <w:rPr>
          <w:rFonts w:ascii="Times New Roman" w:hAnsi="Times New Roman" w:cs="Times New Roman"/>
        </w:rPr>
        <w:tab/>
        <w:t>оценка, %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“5”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“4”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“3”</w:t>
      </w:r>
      <w:r w:rsidRPr="00A62563">
        <w:rPr>
          <w:rFonts w:ascii="Times New Roman" w:hAnsi="Times New Roman" w:cs="Times New Roman"/>
        </w:rPr>
        <w:tab/>
        <w:t>%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15</w:t>
      </w:r>
      <w:r w:rsidRPr="00A62563">
        <w:rPr>
          <w:rFonts w:ascii="Times New Roman" w:hAnsi="Times New Roman" w:cs="Times New Roman"/>
        </w:rPr>
        <w:tab/>
        <w:t>2</w:t>
      </w:r>
      <w:r w:rsidRPr="00A62563">
        <w:rPr>
          <w:rFonts w:ascii="Times New Roman" w:hAnsi="Times New Roman" w:cs="Times New Roman"/>
        </w:rPr>
        <w:tab/>
        <w:t>35,7</w:t>
      </w:r>
      <w:r w:rsidRPr="00A62563">
        <w:rPr>
          <w:rFonts w:ascii="Times New Roman" w:hAnsi="Times New Roman" w:cs="Times New Roman"/>
        </w:rPr>
        <w:tab/>
        <w:t>9</w:t>
      </w:r>
      <w:r w:rsidRPr="00A62563">
        <w:rPr>
          <w:rFonts w:ascii="Times New Roman" w:hAnsi="Times New Roman" w:cs="Times New Roman"/>
        </w:rPr>
        <w:tab/>
        <w:t>39,3</w:t>
      </w:r>
      <w:r w:rsidRPr="00A62563">
        <w:rPr>
          <w:rFonts w:ascii="Times New Roman" w:hAnsi="Times New Roman" w:cs="Times New Roman"/>
        </w:rPr>
        <w:tab/>
        <w:t>4</w:t>
      </w:r>
      <w:r w:rsidRPr="00A62563">
        <w:rPr>
          <w:rFonts w:ascii="Times New Roman" w:hAnsi="Times New Roman" w:cs="Times New Roman"/>
        </w:rPr>
        <w:tab/>
        <w:t>25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156B77" wp14:editId="27C889BA">
            <wp:extent cx="5046453" cy="2986676"/>
            <wp:effectExtent l="0" t="0" r="190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9738" cy="29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35861B6" wp14:editId="00A9655A">
            <wp:extent cx="4908430" cy="3539474"/>
            <wp:effectExtent l="0" t="0" r="698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7723" cy="353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lastRenderedPageBreak/>
        <w:t>Рис. 2 Результативность обучения в третьей четверти.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Проведенная в конце третьей четверти, самостоятельная работа (Приложение 3) показала, что на оценку “5” с работой справилось 4 человек, на “4” - 9 на “3” - 3. Не справившихся с работой учащихся в третьей четверти не было.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В ходе самостоятельной работы была показана возможность осуществления дифференцированного подхода при проверке знаний по изученной теме. </w:t>
      </w:r>
      <w:proofErr w:type="gramStart"/>
      <w:r w:rsidRPr="00A62563">
        <w:rPr>
          <w:rFonts w:ascii="Times New Roman" w:hAnsi="Times New Roman" w:cs="Times New Roman"/>
        </w:rPr>
        <w:t>В теоретической части, учащимся I группы предлагалось выполнить задание высокого уровня сложности - (ответить на 5 вопросов); учащимся II и III групп - выполнить задание среднего уровня сложности, более легкое - (подчеркнуть правильные варианты ответа, закончить предложения, вставить пропущенные слова); учащимся IV группы предлагалось выполнить задание низкого уровня сложности в виде теста - (отметить (*) правильные варианты ответов из нескольких предложенных.</w:t>
      </w:r>
      <w:proofErr w:type="gramEnd"/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Во второй части самостоятельной работы учащиеся выполняли практическую работу с учетом дифференциации: I группа получила задание – произвести обрезку  плодовых деревьев. Разрешено было пользоваться общим планом. Учащиеся II и III групп выполняли задание более упрощенное, но при использовании общего плана работы. Учащиеся IV группы выполняли работу с наименьшим количеством операций. При работе им было предложено пользоваться подробным планом и прибегать к консультации учителя.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Проверка письменных работ проводилась совместно с учащимися: учащимся I группы было предложено проверять и комментировать работы учащихся IV группы; девочки II и III групп проверяли и комментировали свои работы, а работы девочек I группы проверял учитель.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Учитывая разные темпы работы учащихся, их возможности, способности в третьей четверти было использовано адаптивное обучение к особенностям различных групп учащихся.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Дифференциация применялась на разных этапах урока: при изучении нового материала, при ориентации на конечный результат, при повторении пройденного материала, при контроле.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Таким образом, на этапе формирующего эксперимента обнаружено, что дифференцированный подход на уроках сельскохозяйственного труда значительно облегчило  работу с учащимися, разделенными на типогруппы, дал возможность включить всех учащихся в процесс взаимодействия и достичь хороших результатов, используя различные формы, методы и приемы обучения.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По результатам успеваемости за III четверть видно, что высокий уровень успеваемости имеют 35,7% учащихся; средний –39,3% низкий –25% 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Качество знаний в третьей четверти составило – 75 %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Контрольный эксперимент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DC52D7">
        <w:rPr>
          <w:rFonts w:ascii="Times New Roman" w:hAnsi="Times New Roman" w:cs="Times New Roman"/>
          <w:b/>
          <w:i/>
        </w:rPr>
        <w:t>Цель</w:t>
      </w:r>
      <w:r w:rsidRPr="00A62563">
        <w:rPr>
          <w:rFonts w:ascii="Times New Roman" w:hAnsi="Times New Roman" w:cs="Times New Roman"/>
        </w:rPr>
        <w:t>: Сравнить результаты констатирующего и формирующего экспериментов (результативность обучения за вторую и третью четверти) и сделать анализ качества знаний.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DC52D7">
        <w:rPr>
          <w:rFonts w:ascii="Times New Roman" w:hAnsi="Times New Roman" w:cs="Times New Roman"/>
          <w:i/>
        </w:rPr>
        <w:t>Содержание эксперимента</w:t>
      </w:r>
      <w:r w:rsidRPr="00A62563">
        <w:rPr>
          <w:rFonts w:ascii="Times New Roman" w:hAnsi="Times New Roman" w:cs="Times New Roman"/>
        </w:rPr>
        <w:t>: В конце опытно-экспериментального исследования проводилось сравнивание констатирующего и формирующего экспериментов по результатам обучения за вторую и третью четверти.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По результатам диагностических исследований учащиеся этих классов были “разбиты” (условно) на три уровня подготовки учащихся. В течение всей третей четвери, учащимся были предложены дифференцированные задания по трем уровням сложности. Чтобы убедиться в необходимости использования дифференцированного подхода в обучении были проведены самостоятельные работы во второй и третей четвертях, в которых учитывались и не учитывались уровни обучения. Во второй четверти самостоятельная работа проводилась без классификации по уровням сложности, в третьей четверти – с учетом уровней сложности. Слабым учащимся были предложены карточки третьего уровня сложности; средним – второго уровня; сильным – первого уровня.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Проанализировав итоги самостоятельных работ, результаты можно представить в виде таблицы 8 и в виде гистограммы на рис. 4.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Таблица 8. Результаты самостоятельных работ. </w:t>
      </w:r>
      <w:proofErr w:type="gramStart"/>
      <w:r w:rsidRPr="00A62563">
        <w:rPr>
          <w:rFonts w:ascii="Times New Roman" w:hAnsi="Times New Roman" w:cs="Times New Roman"/>
        </w:rPr>
        <w:t>К-во</w:t>
      </w:r>
      <w:proofErr w:type="gramEnd"/>
      <w:r w:rsidRPr="00A62563">
        <w:rPr>
          <w:rFonts w:ascii="Times New Roman" w:hAnsi="Times New Roman" w:cs="Times New Roman"/>
        </w:rPr>
        <w:t xml:space="preserve"> уч-ся</w:t>
      </w:r>
      <w:r w:rsidRPr="00A62563">
        <w:rPr>
          <w:rFonts w:ascii="Times New Roman" w:hAnsi="Times New Roman" w:cs="Times New Roman"/>
        </w:rPr>
        <w:tab/>
        <w:t>Оценки за вторую четверть</w:t>
      </w:r>
      <w:r w:rsidRPr="00A62563">
        <w:rPr>
          <w:rFonts w:ascii="Times New Roman" w:hAnsi="Times New Roman" w:cs="Times New Roman"/>
        </w:rPr>
        <w:tab/>
        <w:t>Оценки за третью четверть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“5”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“4”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“3”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“2”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“5”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“4”</w:t>
      </w:r>
      <w:r w:rsidRPr="00A62563">
        <w:rPr>
          <w:rFonts w:ascii="Times New Roman" w:hAnsi="Times New Roman" w:cs="Times New Roman"/>
        </w:rPr>
        <w:tab/>
        <w:t>%</w:t>
      </w:r>
      <w:r w:rsidRPr="00A62563">
        <w:rPr>
          <w:rFonts w:ascii="Times New Roman" w:hAnsi="Times New Roman" w:cs="Times New Roman"/>
        </w:rPr>
        <w:tab/>
        <w:t>“3”</w:t>
      </w:r>
      <w:r w:rsidRPr="00A62563">
        <w:rPr>
          <w:rFonts w:ascii="Times New Roman" w:hAnsi="Times New Roman" w:cs="Times New Roman"/>
        </w:rPr>
        <w:tab/>
        <w:t>%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15</w:t>
      </w:r>
      <w:r w:rsidRPr="00A62563">
        <w:rPr>
          <w:rFonts w:ascii="Times New Roman" w:hAnsi="Times New Roman" w:cs="Times New Roman"/>
        </w:rPr>
        <w:tab/>
        <w:t>2</w:t>
      </w:r>
      <w:r w:rsidRPr="00A62563">
        <w:rPr>
          <w:rFonts w:ascii="Times New Roman" w:hAnsi="Times New Roman" w:cs="Times New Roman"/>
        </w:rPr>
        <w:tab/>
        <w:t>17,9</w:t>
      </w:r>
      <w:r w:rsidRPr="00A62563">
        <w:rPr>
          <w:rFonts w:ascii="Times New Roman" w:hAnsi="Times New Roman" w:cs="Times New Roman"/>
        </w:rPr>
        <w:tab/>
        <w:t>7</w:t>
      </w:r>
      <w:r w:rsidRPr="00A62563">
        <w:rPr>
          <w:rFonts w:ascii="Times New Roman" w:hAnsi="Times New Roman" w:cs="Times New Roman"/>
        </w:rPr>
        <w:tab/>
        <w:t>39,3</w:t>
      </w:r>
      <w:r w:rsidRPr="00A62563">
        <w:rPr>
          <w:rFonts w:ascii="Times New Roman" w:hAnsi="Times New Roman" w:cs="Times New Roman"/>
        </w:rPr>
        <w:tab/>
        <w:t>5</w:t>
      </w:r>
      <w:r w:rsidRPr="00A62563">
        <w:rPr>
          <w:rFonts w:ascii="Times New Roman" w:hAnsi="Times New Roman" w:cs="Times New Roman"/>
        </w:rPr>
        <w:tab/>
        <w:t>35,7</w:t>
      </w:r>
      <w:r w:rsidRPr="00A62563">
        <w:rPr>
          <w:rFonts w:ascii="Times New Roman" w:hAnsi="Times New Roman" w:cs="Times New Roman"/>
        </w:rPr>
        <w:tab/>
        <w:t>1</w:t>
      </w:r>
      <w:r w:rsidRPr="00A62563">
        <w:rPr>
          <w:rFonts w:ascii="Times New Roman" w:hAnsi="Times New Roman" w:cs="Times New Roman"/>
        </w:rPr>
        <w:tab/>
        <w:t>7,1</w:t>
      </w:r>
      <w:r w:rsidRPr="00A62563">
        <w:rPr>
          <w:rFonts w:ascii="Times New Roman" w:hAnsi="Times New Roman" w:cs="Times New Roman"/>
        </w:rPr>
        <w:tab/>
        <w:t>4</w:t>
      </w:r>
      <w:r w:rsidRPr="00A62563">
        <w:rPr>
          <w:rFonts w:ascii="Times New Roman" w:hAnsi="Times New Roman" w:cs="Times New Roman"/>
        </w:rPr>
        <w:tab/>
        <w:t>35,7</w:t>
      </w:r>
      <w:r w:rsidRPr="00A62563">
        <w:rPr>
          <w:rFonts w:ascii="Times New Roman" w:hAnsi="Times New Roman" w:cs="Times New Roman"/>
        </w:rPr>
        <w:tab/>
        <w:t>7</w:t>
      </w:r>
      <w:r w:rsidRPr="00A62563">
        <w:rPr>
          <w:rFonts w:ascii="Times New Roman" w:hAnsi="Times New Roman" w:cs="Times New Roman"/>
        </w:rPr>
        <w:tab/>
        <w:t>39,3</w:t>
      </w:r>
      <w:r w:rsidRPr="00A62563">
        <w:rPr>
          <w:rFonts w:ascii="Times New Roman" w:hAnsi="Times New Roman" w:cs="Times New Roman"/>
        </w:rPr>
        <w:tab/>
        <w:t>4</w:t>
      </w:r>
      <w:r w:rsidRPr="00A62563">
        <w:rPr>
          <w:rFonts w:ascii="Times New Roman" w:hAnsi="Times New Roman" w:cs="Times New Roman"/>
        </w:rPr>
        <w:tab/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Рис. 4 Результаты самостоятельных работ.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Из гистограммы видно, что самостоятельная работа, проведенная во второй четверти без помощи слабым учащимся, дала более низкие результаты, чем самостоятельная работа, проведенная в третье четверти, в которой была предложена помощь учащимся. По результатам самостоятельной работы за третью четверть видно, что не справившихся учащихся с самостоятельной работой нет, </w:t>
      </w:r>
      <w:bookmarkStart w:id="0" w:name="_GoBack"/>
      <w:bookmarkEnd w:id="0"/>
      <w:r w:rsidRPr="00A62563">
        <w:rPr>
          <w:rFonts w:ascii="Times New Roman" w:hAnsi="Times New Roman" w:cs="Times New Roman"/>
        </w:rPr>
        <w:t>больше учащихся справилось с работой на “4” и “5”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Сравнив успеваемость в экспериментальных классах за вторую и третью четверти результаты можно представить в виде гистограммы на рис.5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 </w:t>
      </w:r>
      <w:r w:rsidRPr="00A6256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A1E630" wp14:editId="4708BDFE">
            <wp:extent cx="5564038" cy="3407415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066" cy="340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Рис. 5. Результаты сравнения успеваемости за вторую и третью четверти.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DC52D7">
        <w:rPr>
          <w:rFonts w:ascii="Times New Roman" w:hAnsi="Times New Roman" w:cs="Times New Roman"/>
          <w:b/>
          <w:i/>
        </w:rPr>
        <w:t>Вывод:</w:t>
      </w:r>
      <w:r w:rsidRPr="00A62563">
        <w:rPr>
          <w:rFonts w:ascii="Times New Roman" w:hAnsi="Times New Roman" w:cs="Times New Roman"/>
        </w:rPr>
        <w:t xml:space="preserve"> Дифференцированный подход на уроках трудового обучения необходим для воспитанников с ограниченными возможностями здоровья. Он способствует лучшему усвоению знаний, развитию самостоятельности, повышению самооценки и мотивации учащихся к учебной деятельности. Чтобы достичь таких результатов, необходимо провести диагностику личностных качеств воспитанников и получить характеристику, которая даст возможность распределить их по типогруппам с учетом уровня их возможностей и подобрать необходимые приемы и методы обучения. </w:t>
      </w:r>
    </w:p>
    <w:p w:rsidR="00013843" w:rsidRPr="00DC52D7" w:rsidRDefault="00013843" w:rsidP="00013843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DC52D7">
        <w:rPr>
          <w:rFonts w:ascii="Times New Roman" w:hAnsi="Times New Roman" w:cs="Times New Roman"/>
          <w:b/>
          <w:i/>
        </w:rPr>
        <w:t>Заключение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Кратко обобщая все выше изложенное, следует отметить, что дифференцированный подход – это создание условий обучения для различных групп с целью учета особенностей их контингента. Он является комплексом методических, психолого-педагогических и организационно-управленческих мероприятий, обеспечивающих обучение в разнородных группах.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Умственно отсталые учащиеся – это дети со стойким необратимым нарушением психического развития, связанным с органически обусловленным недоразвитием, либо ранним повреждением головного мозга. Умственная отсталость характеризуется не только нарушением познавательной деятельности ребенка, но и своеобразием развития его личности.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Подростки с ограниченными возможностями здоровья представляют собой довольно разнородную группу. В их обучении и воспитании наблюдаются различного рода трудности разной степени. Соответственно, для обучения и воспитания данного контингента учащихся реализация дифференцированного подхода является необходимой, как в общем, образовательном процессе, так и, конкретно, в трудовом обучении.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В результате опытно-экспериментальной работы мною было выявлено, что результативность обучения умственно отсталых подростков повысилась во всех классах в результате применения в третьей четверти индивидуального и дифференцированного подходов на уроках сельскохозяйственного труда. Результативность во второй четверти была гораздо ниже, когда уроки сельскохозяйственного труда проводились по традиционным методикам. В результате дифференцированного подхода появилась возможность вовлечь всех учащихся в общую работу классов, что способствовало их взаимодействию и общению.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Таким образом, гипотеза о том, что систематическое использование на уроках трудового обучения индивидуального и дифференцированного подходов эффективно влияет на усвоение знаний и умений, а так же на развитие коммуникативности в общении подтверждается.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lastRenderedPageBreak/>
        <w:t>Убедившись в эффективности дифференцированного подхода на уроках трудового обучения при усвоении знаний и умений, развитии коммуникативных способностей мною были составлены следующие рекомендации: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- “делить” учащихся на типогруппы не только по уровню интеллектуального развития, но и с учетом таких качеств личности как темперамент, характер, нейродинамические нарушения, уровень коммуникативных умений;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 xml:space="preserve">- в организации практической работы учащихся использовать помощь и влияние </w:t>
      </w:r>
      <w:proofErr w:type="spellStart"/>
      <w:r w:rsidRPr="00A62563">
        <w:rPr>
          <w:rFonts w:ascii="Times New Roman" w:hAnsi="Times New Roman" w:cs="Times New Roman"/>
        </w:rPr>
        <w:t>референтных</w:t>
      </w:r>
      <w:proofErr w:type="spellEnd"/>
      <w:r w:rsidRPr="00A62563">
        <w:rPr>
          <w:rFonts w:ascii="Times New Roman" w:hAnsi="Times New Roman" w:cs="Times New Roman"/>
        </w:rPr>
        <w:t xml:space="preserve"> одноклассников;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- согласовывать приемы и методы работы с возможностями каждого ребенка, признавая его индивидуальность и самобытность;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- при выборе приемов педагогического взаимодействия в процессе обучения, содействовать улучшению взаимоотношений педагога и учащегося.</w:t>
      </w:r>
    </w:p>
    <w:p w:rsidR="00013843" w:rsidRPr="00A62563" w:rsidRDefault="00013843" w:rsidP="00013843">
      <w:pPr>
        <w:spacing w:after="0" w:line="240" w:lineRule="auto"/>
        <w:rPr>
          <w:rFonts w:ascii="Times New Roman" w:hAnsi="Times New Roman" w:cs="Times New Roman"/>
        </w:rPr>
      </w:pPr>
      <w:r w:rsidRPr="00A62563">
        <w:rPr>
          <w:rFonts w:ascii="Times New Roman" w:hAnsi="Times New Roman" w:cs="Times New Roman"/>
        </w:rPr>
        <w:t>- для повышения мотивации труда необходимо дифференцированно подходить к оценке выполненной работы.</w:t>
      </w:r>
    </w:p>
    <w:p w:rsidR="00E2336F" w:rsidRDefault="00E2336F"/>
    <w:sectPr w:rsidR="00E2336F" w:rsidSect="00A6256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43"/>
    <w:rsid w:val="00013843"/>
    <w:rsid w:val="00154D2C"/>
    <w:rsid w:val="00CA7AC5"/>
    <w:rsid w:val="00E2336F"/>
    <w:rsid w:val="00F4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8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2296</Words>
  <Characters>13091</Characters>
  <Application>Microsoft Office Word</Application>
  <DocSecurity>0</DocSecurity>
  <Lines>109</Lines>
  <Paragraphs>30</Paragraphs>
  <ScaleCrop>false</ScaleCrop>
  <Company/>
  <LinksUpToDate>false</LinksUpToDate>
  <CharactersWithSpaces>15357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2019-11-02T13:44:00Z</dcterms:created>
  <dcterms:modified xsi:type="dcterms:W3CDTF">2019-11-09T17:22:00Z</dcterms:modified>
</cp:coreProperties>
</file>