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878" w:rsidRPr="003C58D3" w:rsidRDefault="00D01878" w:rsidP="00EE1DD1">
      <w:pPr>
        <w:spacing w:before="120" w:after="0" w:line="480" w:lineRule="auto"/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58D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A2CD6" w:rsidRPr="003A2CD6" w:rsidRDefault="003A2CD6" w:rsidP="003A2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CD6">
        <w:rPr>
          <w:rFonts w:ascii="Times New Roman" w:hAnsi="Times New Roman" w:cs="Times New Roman"/>
          <w:sz w:val="28"/>
          <w:szCs w:val="28"/>
        </w:rPr>
        <w:t xml:space="preserve">Фонд малодебитных скважин во многих нефтедобывающих районах России в связи с истощением длительно разрабатываемых месторождений из года в год возрастает. Такая же тенденция роста количества малодебитных скважин прослеживается и в зарубежных нефтедобывающих странах. Национальная ассоциация по малодебитным скважинам считает, что «тонна нефти, добытая из малодебитных скважин, - это тонна, которая улучшает платежный баланс страны». </w:t>
      </w:r>
    </w:p>
    <w:p w:rsidR="003A2CD6" w:rsidRPr="003A2CD6" w:rsidRDefault="003A2CD6" w:rsidP="003A2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CD6">
        <w:rPr>
          <w:rFonts w:ascii="Times New Roman" w:hAnsi="Times New Roman" w:cs="Times New Roman"/>
          <w:sz w:val="28"/>
          <w:szCs w:val="28"/>
        </w:rPr>
        <w:t xml:space="preserve">Чтобы снизить затраты на тонну добываемой нефти можно использовать следующие направления: </w:t>
      </w:r>
    </w:p>
    <w:p w:rsidR="003A2CD6" w:rsidRPr="003A2CD6" w:rsidRDefault="003A2CD6" w:rsidP="003A2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CD6">
        <w:rPr>
          <w:rFonts w:ascii="Times New Roman" w:hAnsi="Times New Roman" w:cs="Times New Roman"/>
          <w:sz w:val="28"/>
          <w:szCs w:val="28"/>
        </w:rPr>
        <w:t xml:space="preserve">– увеличение дебита; </w:t>
      </w:r>
    </w:p>
    <w:p w:rsidR="003A2CD6" w:rsidRPr="003A2CD6" w:rsidRDefault="003A2CD6" w:rsidP="003A2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CD6">
        <w:rPr>
          <w:rFonts w:ascii="Times New Roman" w:hAnsi="Times New Roman" w:cs="Times New Roman"/>
          <w:sz w:val="28"/>
          <w:szCs w:val="28"/>
        </w:rPr>
        <w:t xml:space="preserve">– снижение затрат на ремонт добывающего оборудования; </w:t>
      </w:r>
    </w:p>
    <w:p w:rsidR="003A2CD6" w:rsidRPr="003A2CD6" w:rsidRDefault="003A2CD6" w:rsidP="003A2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CD6">
        <w:rPr>
          <w:rFonts w:ascii="Times New Roman" w:hAnsi="Times New Roman" w:cs="Times New Roman"/>
          <w:sz w:val="28"/>
          <w:szCs w:val="28"/>
        </w:rPr>
        <w:t xml:space="preserve">– снижение энергопотребления; </w:t>
      </w:r>
    </w:p>
    <w:p w:rsidR="00D01878" w:rsidRPr="003A2CD6" w:rsidRDefault="003A2CD6" w:rsidP="003A2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CD6">
        <w:rPr>
          <w:rFonts w:ascii="Times New Roman" w:hAnsi="Times New Roman" w:cs="Times New Roman"/>
          <w:sz w:val="28"/>
          <w:szCs w:val="28"/>
        </w:rPr>
        <w:t>– автоматизация добычи.</w:t>
      </w: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EE7F82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10A5E" w:rsidRDefault="00110A5E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3A2CD6" w:rsidRDefault="003A2CD6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3A2CD6" w:rsidRDefault="003A2CD6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3A2CD6" w:rsidRDefault="003A2CD6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Pr="003C58D3" w:rsidRDefault="00EE1DD1" w:rsidP="00110A5E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7F82" w:rsidRDefault="00EE7F82" w:rsidP="00EA115E">
      <w:pPr>
        <w:spacing w:after="0" w:line="48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3C58D3">
        <w:rPr>
          <w:rFonts w:ascii="Times New Roman" w:eastAsia="Batang" w:hAnsi="Times New Roman" w:cs="Times New Roman"/>
          <w:b/>
          <w:sz w:val="28"/>
          <w:szCs w:val="28"/>
        </w:rPr>
        <w:lastRenderedPageBreak/>
        <w:t>Основная часть</w:t>
      </w:r>
    </w:p>
    <w:p w:rsidR="003A2CD6" w:rsidRPr="003A2CD6" w:rsidRDefault="003A2CD6" w:rsidP="003A2CD6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sz w:val="28"/>
          <w:szCs w:val="28"/>
        </w:rPr>
        <w:t xml:space="preserve">Динамика изменения </w:t>
      </w:r>
      <w:proofErr w:type="spellStart"/>
      <w:r w:rsidRPr="003A2CD6">
        <w:rPr>
          <w:rFonts w:eastAsiaTheme="minorEastAsia"/>
          <w:sz w:val="28"/>
          <w:szCs w:val="28"/>
        </w:rPr>
        <w:t>обводненности</w:t>
      </w:r>
      <w:proofErr w:type="spellEnd"/>
      <w:r w:rsidRPr="003A2CD6">
        <w:rPr>
          <w:rFonts w:eastAsiaTheme="minorEastAsia"/>
          <w:sz w:val="28"/>
          <w:szCs w:val="28"/>
        </w:rPr>
        <w:t xml:space="preserve"> дебитов нефти и жидкости по скважинам после ЗБС при выполнении ИДН</w:t>
      </w:r>
    </w:p>
    <w:p w:rsidR="003A2CD6" w:rsidRPr="003A2CD6" w:rsidRDefault="003A2CD6" w:rsidP="003A2CD6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noProof/>
          <w:sz w:val="28"/>
          <w:szCs w:val="28"/>
        </w:rPr>
        <w:drawing>
          <wp:inline distT="0" distB="0" distL="0" distR="0" wp14:anchorId="25DA479E" wp14:editId="41FA4E1E">
            <wp:extent cx="4573725" cy="2019153"/>
            <wp:effectExtent l="19050" t="19050" r="17780" b="1968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725" cy="20191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3A2CD6" w:rsidRPr="003A2CD6" w:rsidRDefault="003A2CD6" w:rsidP="003A2CD6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sz w:val="28"/>
          <w:szCs w:val="28"/>
        </w:rPr>
        <w:t>Количество ИДН выполненных в 2016 году на скважинах после проведения  ЗБС</w:t>
      </w:r>
    </w:p>
    <w:p w:rsidR="003A2CD6" w:rsidRPr="003A2CD6" w:rsidRDefault="003A2CD6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noProof/>
          <w:sz w:val="28"/>
          <w:szCs w:val="28"/>
        </w:rPr>
        <w:drawing>
          <wp:inline distT="0" distB="0" distL="0" distR="0" wp14:anchorId="3A93A6F2" wp14:editId="4D7867C8">
            <wp:extent cx="4356484" cy="2376036"/>
            <wp:effectExtent l="57150" t="57150" r="44450" b="4381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A2CD6" w:rsidRPr="003A2CD6" w:rsidRDefault="003A2CD6" w:rsidP="003A2CD6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sz w:val="28"/>
          <w:szCs w:val="28"/>
        </w:rPr>
        <w:t>Комментарий:</w:t>
      </w:r>
    </w:p>
    <w:p w:rsidR="003A2CD6" w:rsidRPr="003A2CD6" w:rsidRDefault="003A2CD6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sz w:val="28"/>
          <w:szCs w:val="28"/>
        </w:rPr>
        <w:t>Пласты монолитного строения характеризуются высокой продуктивностью скважин. Основной источник обводнения – подтягивание подошвенных вод в результате конусообразования. Вследствие чего запуск скважин производится с ограничением отбора жидкости и на минимальной депрессии. Поддержание уровня базовой добычи нефти, по мере обводнения продукции достигается за счет ИДН.</w:t>
      </w:r>
    </w:p>
    <w:p w:rsidR="003A2CD6" w:rsidRDefault="003A2CD6" w:rsidP="003A2CD6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3A2CD6">
        <w:rPr>
          <w:rFonts w:eastAsiaTheme="minorEastAsia"/>
          <w:sz w:val="28"/>
          <w:szCs w:val="28"/>
        </w:rPr>
        <w:t xml:space="preserve">По итогам 2016 года реализовано 194 скважины ЗБС на пласты монолитного строения, на 52 (27%) были проведены ИДН в 2016 году, по остальным скважинам </w:t>
      </w:r>
      <w:r w:rsidRPr="003A2CD6">
        <w:rPr>
          <w:rFonts w:eastAsiaTheme="minorEastAsia"/>
          <w:sz w:val="28"/>
          <w:szCs w:val="28"/>
        </w:rPr>
        <w:lastRenderedPageBreak/>
        <w:t>планируется ИДН в 2017 году. Так же было выполнено 78 ИДН по скважинам ЗБС 2015 года. Средний остановочный дебит нефти составил 14 т/</w:t>
      </w:r>
      <w:proofErr w:type="spellStart"/>
      <w:r w:rsidRPr="003A2CD6">
        <w:rPr>
          <w:rFonts w:eastAsiaTheme="minorEastAsia"/>
          <w:sz w:val="28"/>
          <w:szCs w:val="28"/>
        </w:rPr>
        <w:t>сут</w:t>
      </w:r>
      <w:proofErr w:type="spellEnd"/>
      <w:r w:rsidRPr="003A2CD6">
        <w:rPr>
          <w:rFonts w:eastAsiaTheme="minorEastAsia"/>
          <w:sz w:val="28"/>
          <w:szCs w:val="28"/>
        </w:rPr>
        <w:t>, запускной 25 т/</w:t>
      </w:r>
      <w:proofErr w:type="spellStart"/>
      <w:r w:rsidRPr="003A2CD6">
        <w:rPr>
          <w:rFonts w:eastAsiaTheme="minorEastAsia"/>
          <w:sz w:val="28"/>
          <w:szCs w:val="28"/>
        </w:rPr>
        <w:t>сут</w:t>
      </w:r>
      <w:proofErr w:type="spellEnd"/>
      <w:r w:rsidRPr="003A2CD6">
        <w:rPr>
          <w:rFonts w:eastAsiaTheme="minorEastAsia"/>
          <w:sz w:val="28"/>
          <w:szCs w:val="28"/>
        </w:rPr>
        <w:t>. Прямые потери составили 14560т. Косвенные потери 25960 т.</w:t>
      </w:r>
    </w:p>
    <w:p w:rsidR="006F4545" w:rsidRDefault="006F4545" w:rsidP="006F4545">
      <w:pPr>
        <w:pStyle w:val="S0"/>
        <w:spacing w:line="360" w:lineRule="auto"/>
        <w:ind w:left="707" w:firstLine="709"/>
        <w:rPr>
          <w:rFonts w:eastAsiaTheme="minorEastAsia"/>
          <w:b/>
          <w:sz w:val="28"/>
          <w:szCs w:val="28"/>
        </w:rPr>
      </w:pPr>
      <w:r w:rsidRPr="006F4545">
        <w:rPr>
          <w:rFonts w:eastAsiaTheme="minorEastAsia"/>
          <w:b/>
          <w:sz w:val="28"/>
          <w:szCs w:val="28"/>
        </w:rPr>
        <w:t>Описание технологии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УЭЦН с возможностью эксплуатации с дебитом от 100 до 500м3/</w:t>
      </w:r>
      <w:proofErr w:type="spellStart"/>
      <w:r w:rsidRPr="006F4545">
        <w:rPr>
          <w:rFonts w:eastAsiaTheme="minorEastAsia"/>
          <w:sz w:val="28"/>
          <w:szCs w:val="28"/>
        </w:rPr>
        <w:t>сут</w:t>
      </w:r>
      <w:proofErr w:type="spellEnd"/>
      <w:r w:rsidRPr="006F4545">
        <w:rPr>
          <w:rFonts w:eastAsiaTheme="minorEastAsia"/>
          <w:sz w:val="28"/>
          <w:szCs w:val="28"/>
        </w:rPr>
        <w:t xml:space="preserve"> и напором 2000м (УЭЦН5А-100/500-2000 АСП) в комплекте: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-насос 30.2ЭЦНМИК5А-100/500-2000 АСП (насос «пакетной» сборки с повышенной </w:t>
      </w:r>
      <w:proofErr w:type="spellStart"/>
      <w:r w:rsidRPr="006F4545">
        <w:rPr>
          <w:rFonts w:eastAsiaTheme="minorEastAsia"/>
          <w:sz w:val="28"/>
          <w:szCs w:val="28"/>
        </w:rPr>
        <w:t>абразивостойкостью</w:t>
      </w:r>
      <w:proofErr w:type="spellEnd"/>
      <w:r w:rsidRPr="006F4545">
        <w:rPr>
          <w:rFonts w:eastAsiaTheme="minorEastAsia"/>
          <w:sz w:val="28"/>
          <w:szCs w:val="28"/>
        </w:rPr>
        <w:t>);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-</w:t>
      </w:r>
      <w:proofErr w:type="spellStart"/>
      <w:r w:rsidRPr="006F4545">
        <w:rPr>
          <w:rFonts w:eastAsiaTheme="minorEastAsia"/>
          <w:sz w:val="28"/>
          <w:szCs w:val="28"/>
        </w:rPr>
        <w:t>газосепаратор</w:t>
      </w:r>
      <w:proofErr w:type="spellEnd"/>
      <w:r w:rsidRPr="006F4545">
        <w:rPr>
          <w:rFonts w:eastAsiaTheme="minorEastAsia"/>
          <w:sz w:val="28"/>
          <w:szCs w:val="28"/>
        </w:rPr>
        <w:t xml:space="preserve"> вихревого типа ГСВБ5А;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-электродвигатель 9.1 ВЭДБТК216-117/3,6М1эВ5 с ПЧ СПТ;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-</w:t>
      </w:r>
      <w:proofErr w:type="spellStart"/>
      <w:r w:rsidRPr="006F4545">
        <w:rPr>
          <w:rFonts w:eastAsiaTheme="minorEastAsia"/>
          <w:sz w:val="28"/>
          <w:szCs w:val="28"/>
        </w:rPr>
        <w:t>гидрозащита</w:t>
      </w:r>
      <w:proofErr w:type="spellEnd"/>
      <w:r w:rsidRPr="006F4545">
        <w:rPr>
          <w:rFonts w:eastAsiaTheme="minorEastAsia"/>
          <w:sz w:val="28"/>
          <w:szCs w:val="28"/>
        </w:rPr>
        <w:t xml:space="preserve"> ПБ103эК;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-станция управления ЧР: универсальная Борец-15-630Л-Ф2М-У-Т1 с НЧ СПЧ;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-кабельный удлинитель 8УБК-13/20-06. </w:t>
      </w:r>
    </w:p>
    <w:p w:rsid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 Установка УЭЦН5А-100/500-2000 АСП с расширенными напорно-расходными и эксплуатационными характеристиками, соответствует группе Н3-ЛЧ (Легированный чугун - </w:t>
      </w:r>
      <w:proofErr w:type="spellStart"/>
      <w:r w:rsidRPr="006F4545">
        <w:rPr>
          <w:rFonts w:eastAsiaTheme="minorEastAsia"/>
          <w:sz w:val="28"/>
          <w:szCs w:val="28"/>
        </w:rPr>
        <w:t>Нирезист</w:t>
      </w:r>
      <w:proofErr w:type="spellEnd"/>
      <w:r w:rsidRPr="006F4545">
        <w:rPr>
          <w:rFonts w:eastAsiaTheme="minorEastAsia"/>
          <w:sz w:val="28"/>
          <w:szCs w:val="28"/>
        </w:rPr>
        <w:t>) допустимое содержание мех. примесей до 1000 мг/л.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Насос данной установки благодаря прогрессивной конструкции рабочих органов диагонального типа и специальной пакетной сборке имеет превосходные напорно-расходные и эксплуатационные  характеристики: КПД 71%, высокие износостойкость (допустимое содержание мех. примесей до 1 г/л) и ресурс, широкие проточные каналы и рабочую зону.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   Вентильный электродвигатель имеет практически постоянный высокий КПД в широком диапазоне рабочих частот, что обеспечивает низкий его нагрев и высокий ресурс установки.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   Станция управления универсального типа, с частотным регулированием, со встроенными входными и выходными </w:t>
      </w:r>
      <w:r w:rsidRPr="006F4545">
        <w:rPr>
          <w:rFonts w:eastAsiaTheme="minorEastAsia"/>
          <w:sz w:val="28"/>
          <w:szCs w:val="28"/>
          <w:lang w:val="en-US"/>
        </w:rPr>
        <w:t>LC</w:t>
      </w:r>
      <w:r w:rsidRPr="006F4545">
        <w:rPr>
          <w:rFonts w:eastAsiaTheme="minorEastAsia"/>
          <w:sz w:val="28"/>
          <w:szCs w:val="28"/>
        </w:rPr>
        <w:t>- фильтрами, позволяющими работать как с вентильными, так и с асинхронными электродвигателями мощностью до 220 кВт.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lastRenderedPageBreak/>
        <w:t xml:space="preserve">   Все оборудование соответствует ЕТТ 6.0 и </w:t>
      </w:r>
      <w:proofErr w:type="spellStart"/>
      <w:r w:rsidRPr="006F4545">
        <w:rPr>
          <w:rFonts w:eastAsiaTheme="minorEastAsia"/>
          <w:sz w:val="28"/>
          <w:szCs w:val="28"/>
        </w:rPr>
        <w:t>ремонтопригодно</w:t>
      </w:r>
      <w:proofErr w:type="spellEnd"/>
      <w:r w:rsidRPr="006F4545">
        <w:rPr>
          <w:rFonts w:eastAsiaTheme="minorEastAsia"/>
          <w:sz w:val="28"/>
          <w:szCs w:val="28"/>
        </w:rPr>
        <w:t xml:space="preserve"> в условиях сервисных предприятий.</w:t>
      </w:r>
    </w:p>
    <w:p w:rsidR="006F4545" w:rsidRDefault="006F4545" w:rsidP="006F4545">
      <w:pPr>
        <w:pStyle w:val="S0"/>
        <w:spacing w:line="360" w:lineRule="auto"/>
        <w:ind w:firstLine="709"/>
        <w:jc w:val="center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noProof/>
          <w:sz w:val="28"/>
          <w:szCs w:val="28"/>
        </w:rPr>
        <w:drawing>
          <wp:inline distT="0" distB="0" distL="0" distR="0" wp14:anchorId="60466797" wp14:editId="2A01FB17">
            <wp:extent cx="4421750" cy="1958306"/>
            <wp:effectExtent l="0" t="0" r="0" b="4445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750" cy="1958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6F4545" w:rsidRDefault="006F4545" w:rsidP="006F4545">
      <w:pPr>
        <w:pStyle w:val="S0"/>
        <w:spacing w:line="360" w:lineRule="auto"/>
        <w:ind w:firstLine="709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Рисунок 3 – Общий вид установки</w:t>
      </w:r>
    </w:p>
    <w:p w:rsidR="006F4545" w:rsidRDefault="006F4545" w:rsidP="006F4545">
      <w:pPr>
        <w:pStyle w:val="S0"/>
        <w:spacing w:line="360" w:lineRule="auto"/>
        <w:ind w:firstLine="709"/>
        <w:jc w:val="center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noProof/>
          <w:sz w:val="28"/>
          <w:szCs w:val="28"/>
        </w:rPr>
        <w:drawing>
          <wp:inline distT="0" distB="0" distL="0" distR="0" wp14:anchorId="13E61B32" wp14:editId="7DAE18CD">
            <wp:extent cx="3603867" cy="2540976"/>
            <wp:effectExtent l="0" t="0" r="0" b="0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867" cy="2540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6F4545" w:rsidRDefault="006F4545" w:rsidP="006F4545">
      <w:pPr>
        <w:pStyle w:val="S0"/>
        <w:spacing w:line="360" w:lineRule="auto"/>
        <w:ind w:firstLine="709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Рисунок 4 – Напорно-расходная характеристика ЭЦН5А-100/500-2000АСП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При эксплуатации на минимальной депрессии: дебит – ≈100м3/</w:t>
      </w:r>
      <w:proofErr w:type="spellStart"/>
      <w:r w:rsidRPr="006F4545">
        <w:rPr>
          <w:rFonts w:eastAsiaTheme="minorEastAsia"/>
          <w:sz w:val="28"/>
          <w:szCs w:val="28"/>
        </w:rPr>
        <w:t>сут</w:t>
      </w:r>
      <w:proofErr w:type="spellEnd"/>
      <w:r w:rsidRPr="006F4545">
        <w:rPr>
          <w:rFonts w:eastAsiaTheme="minorEastAsia"/>
          <w:sz w:val="28"/>
          <w:szCs w:val="28"/>
        </w:rPr>
        <w:t>, обводненность 0-70%; электропотребление на уровне серийного ЭЦН100 с приведенным напором к испытуемому оборудованию в данном режиме;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При эксплуатации на оптимальной депрессии: дебит - ≈ 250м3/</w:t>
      </w:r>
      <w:proofErr w:type="spellStart"/>
      <w:r w:rsidRPr="006F4545">
        <w:rPr>
          <w:rFonts w:eastAsiaTheme="minorEastAsia"/>
          <w:sz w:val="28"/>
          <w:szCs w:val="28"/>
        </w:rPr>
        <w:t>сут</w:t>
      </w:r>
      <w:proofErr w:type="spellEnd"/>
      <w:r w:rsidRPr="006F4545">
        <w:rPr>
          <w:rFonts w:eastAsiaTheme="minorEastAsia"/>
          <w:sz w:val="28"/>
          <w:szCs w:val="28"/>
        </w:rPr>
        <w:t>, обводненность 70-90%; электропотребление на уровне серийного ЭЦН250 с приведенным напором к испытуемому оборудованию в данном режиме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>При эксплуатации на максимальной депрессии: дебит – ≈ 500м3/</w:t>
      </w:r>
      <w:proofErr w:type="spellStart"/>
      <w:r w:rsidRPr="006F4545">
        <w:rPr>
          <w:rFonts w:eastAsiaTheme="minorEastAsia"/>
          <w:sz w:val="28"/>
          <w:szCs w:val="28"/>
        </w:rPr>
        <w:t>сут</w:t>
      </w:r>
      <w:proofErr w:type="spellEnd"/>
      <w:r w:rsidRPr="006F4545">
        <w:rPr>
          <w:rFonts w:eastAsiaTheme="minorEastAsia"/>
          <w:sz w:val="28"/>
          <w:szCs w:val="28"/>
        </w:rPr>
        <w:t xml:space="preserve">, обводненность &gt;90%; электропотребление на уровне серийного ЭЦН500 с приведенным напором к испытуемому оборудованию в данном режиме. Использование вентильного ЭД позволит увеличить </w:t>
      </w:r>
      <w:proofErr w:type="spellStart"/>
      <w:r w:rsidRPr="006F4545">
        <w:rPr>
          <w:rFonts w:eastAsiaTheme="minorEastAsia"/>
          <w:sz w:val="28"/>
          <w:szCs w:val="28"/>
        </w:rPr>
        <w:t>энергоэффективность</w:t>
      </w:r>
      <w:proofErr w:type="spellEnd"/>
      <w:r w:rsidRPr="006F4545">
        <w:rPr>
          <w:rFonts w:eastAsiaTheme="minorEastAsia"/>
          <w:sz w:val="28"/>
          <w:szCs w:val="28"/>
        </w:rPr>
        <w:t xml:space="preserve"> </w:t>
      </w:r>
      <w:r w:rsidRPr="006F4545">
        <w:rPr>
          <w:rFonts w:eastAsiaTheme="minorEastAsia"/>
          <w:sz w:val="28"/>
          <w:szCs w:val="28"/>
        </w:rPr>
        <w:lastRenderedPageBreak/>
        <w:t>установки более чем на 15%.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4359"/>
      </w:tblGrid>
      <w:tr w:rsidR="006F4545" w:rsidRPr="006F4545" w:rsidTr="00812785">
        <w:tc>
          <w:tcPr>
            <w:tcW w:w="95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536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Рекомендуемый</w:t>
            </w:r>
          </w:p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УЭЦН5А-100/500-2000.</w:t>
            </w:r>
          </w:p>
        </w:tc>
        <w:tc>
          <w:tcPr>
            <w:tcW w:w="4359" w:type="dxa"/>
            <w:vAlign w:val="center"/>
          </w:tcPr>
          <w:p w:rsidR="006F4545" w:rsidRPr="006F4545" w:rsidRDefault="006F4545" w:rsidP="00812785">
            <w:pPr>
              <w:ind w:firstLine="709"/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Текущая технология</w:t>
            </w:r>
          </w:p>
          <w:p w:rsidR="006F4545" w:rsidRPr="006F4545" w:rsidRDefault="006F4545" w:rsidP="00812785">
            <w:pPr>
              <w:ind w:firstLine="709"/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УЭЦН5А-100.</w:t>
            </w:r>
          </w:p>
          <w:p w:rsidR="006F4545" w:rsidRPr="006F4545" w:rsidRDefault="006F4545" w:rsidP="00812785">
            <w:pPr>
              <w:ind w:firstLine="709"/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УЭЦН5А-500.</w:t>
            </w:r>
          </w:p>
        </w:tc>
      </w:tr>
      <w:tr w:rsidR="006F4545" w:rsidRPr="006F4545" w:rsidTr="00812785">
        <w:tc>
          <w:tcPr>
            <w:tcW w:w="95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+</w:t>
            </w:r>
          </w:p>
        </w:tc>
        <w:tc>
          <w:tcPr>
            <w:tcW w:w="4536" w:type="dxa"/>
            <w:vAlign w:val="center"/>
          </w:tcPr>
          <w:p w:rsidR="006F4545" w:rsidRPr="006F4545" w:rsidRDefault="006F4545" w:rsidP="00812785">
            <w:pPr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1.Снижение затрат на ТРС.</w:t>
            </w:r>
          </w:p>
          <w:p w:rsidR="006F4545" w:rsidRPr="006F4545" w:rsidRDefault="006F4545" w:rsidP="00812785">
            <w:pPr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2.Сокращение потерь добычи нефти при проведении ИДН.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3.Снижение негативного влияния на пласт при проведении ремонта.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4.Широкий диапазон работы.</w:t>
            </w:r>
          </w:p>
        </w:tc>
        <w:tc>
          <w:tcPr>
            <w:tcW w:w="4359" w:type="dxa"/>
            <w:vAlign w:val="center"/>
          </w:tcPr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1.Относительная дешевизна по сравнению с аналогами.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2.Испытанная технология.</w:t>
            </w:r>
          </w:p>
        </w:tc>
      </w:tr>
      <w:tr w:rsidR="006F4545" w:rsidRPr="006F4545" w:rsidTr="00812785">
        <w:tc>
          <w:tcPr>
            <w:tcW w:w="95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4536" w:type="dxa"/>
            <w:vAlign w:val="center"/>
          </w:tcPr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1.Увеличенная стоимость относительно отечественных аналогов.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2.Новая технология (требуется проведение ОПИ).</w:t>
            </w:r>
          </w:p>
        </w:tc>
        <w:tc>
          <w:tcPr>
            <w:tcW w:w="4359" w:type="dxa"/>
            <w:vAlign w:val="center"/>
          </w:tcPr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1.Дополнительные затраты на ТРС.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2.Потери добычи при проведении ИДН.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3.Узкий диапазон работы.</w:t>
            </w:r>
          </w:p>
          <w:p w:rsidR="006F4545" w:rsidRPr="006F4545" w:rsidRDefault="006F4545" w:rsidP="00812785">
            <w:pPr>
              <w:ind w:left="34"/>
              <w:jc w:val="both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4.Увеличение негативного воздействия на пласт при проведении ремонта.</w:t>
            </w:r>
          </w:p>
        </w:tc>
      </w:tr>
    </w:tbl>
    <w:p w:rsidR="006F4545" w:rsidRPr="006F4545" w:rsidRDefault="006F4545" w:rsidP="006F4545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63"/>
        <w:gridCol w:w="1189"/>
        <w:gridCol w:w="3119"/>
        <w:gridCol w:w="3083"/>
      </w:tblGrid>
      <w:tr w:rsidR="006F4545" w:rsidRPr="006F4545" w:rsidTr="00812785">
        <w:trPr>
          <w:trHeight w:val="486"/>
        </w:trPr>
        <w:tc>
          <w:tcPr>
            <w:tcW w:w="246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Удельные показатели</w:t>
            </w:r>
          </w:p>
        </w:tc>
        <w:tc>
          <w:tcPr>
            <w:tcW w:w="118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Ед. изм.</w:t>
            </w:r>
          </w:p>
        </w:tc>
        <w:tc>
          <w:tcPr>
            <w:tcW w:w="311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Рекомендуемый</w:t>
            </w:r>
          </w:p>
        </w:tc>
        <w:tc>
          <w:tcPr>
            <w:tcW w:w="308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Текущая технология</w:t>
            </w:r>
          </w:p>
        </w:tc>
      </w:tr>
      <w:tr w:rsidR="006F4545" w:rsidRPr="006F4545" w:rsidTr="00812785">
        <w:tc>
          <w:tcPr>
            <w:tcW w:w="246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Эксплуатационные затраты</w:t>
            </w:r>
          </w:p>
        </w:tc>
        <w:tc>
          <w:tcPr>
            <w:tcW w:w="118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тыс. руб.</w:t>
            </w:r>
          </w:p>
        </w:tc>
        <w:tc>
          <w:tcPr>
            <w:tcW w:w="311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08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389</w:t>
            </w:r>
          </w:p>
        </w:tc>
      </w:tr>
      <w:tr w:rsidR="006F4545" w:rsidRPr="006F4545" w:rsidTr="00812785">
        <w:tc>
          <w:tcPr>
            <w:tcW w:w="246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Капитальные вложения</w:t>
            </w:r>
          </w:p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(с НДС)</w:t>
            </w:r>
          </w:p>
        </w:tc>
        <w:tc>
          <w:tcPr>
            <w:tcW w:w="118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тыс. руб.</w:t>
            </w:r>
          </w:p>
        </w:tc>
        <w:tc>
          <w:tcPr>
            <w:tcW w:w="311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5700</w:t>
            </w:r>
          </w:p>
        </w:tc>
        <w:tc>
          <w:tcPr>
            <w:tcW w:w="308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6100 (2 комплекта)</w:t>
            </w:r>
          </w:p>
        </w:tc>
      </w:tr>
      <w:tr w:rsidR="006F4545" w:rsidRPr="006F4545" w:rsidTr="00812785">
        <w:tc>
          <w:tcPr>
            <w:tcW w:w="246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Капитальные вложения</w:t>
            </w:r>
          </w:p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(с НДС)</w:t>
            </w:r>
          </w:p>
        </w:tc>
        <w:tc>
          <w:tcPr>
            <w:tcW w:w="118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т/</w:t>
            </w:r>
            <w:proofErr w:type="spellStart"/>
            <w:r w:rsidRPr="006F4545">
              <w:rPr>
                <w:rFonts w:ascii="Times New Roman" w:hAnsi="Times New Roman"/>
                <w:sz w:val="22"/>
              </w:rPr>
              <w:t>сут</w:t>
            </w:r>
            <w:proofErr w:type="spellEnd"/>
            <w:r w:rsidRPr="006F4545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311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08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112</w:t>
            </w:r>
          </w:p>
        </w:tc>
      </w:tr>
      <w:tr w:rsidR="006F4545" w:rsidRPr="006F4545" w:rsidTr="00812785">
        <w:tc>
          <w:tcPr>
            <w:tcW w:w="246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Косвенные потери нефти при ИДН.</w:t>
            </w:r>
          </w:p>
        </w:tc>
        <w:tc>
          <w:tcPr>
            <w:tcW w:w="118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т/</w:t>
            </w:r>
            <w:proofErr w:type="spellStart"/>
            <w:r w:rsidRPr="006F4545">
              <w:rPr>
                <w:rFonts w:ascii="Times New Roman" w:hAnsi="Times New Roman"/>
                <w:sz w:val="22"/>
              </w:rPr>
              <w:t>сут</w:t>
            </w:r>
            <w:proofErr w:type="spellEnd"/>
            <w:r w:rsidRPr="006F4545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3119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083" w:type="dxa"/>
            <w:vAlign w:val="center"/>
          </w:tcPr>
          <w:p w:rsidR="006F4545" w:rsidRPr="006F4545" w:rsidRDefault="006F4545" w:rsidP="00812785">
            <w:pPr>
              <w:jc w:val="center"/>
              <w:rPr>
                <w:rFonts w:ascii="Times New Roman" w:hAnsi="Times New Roman"/>
                <w:sz w:val="22"/>
              </w:rPr>
            </w:pPr>
            <w:r w:rsidRPr="006F4545">
              <w:rPr>
                <w:rFonts w:ascii="Times New Roman" w:hAnsi="Times New Roman"/>
                <w:sz w:val="22"/>
              </w:rPr>
              <w:t>192</w:t>
            </w:r>
          </w:p>
        </w:tc>
      </w:tr>
    </w:tbl>
    <w:p w:rsidR="006F4545" w:rsidRDefault="006F4545" w:rsidP="006F4545">
      <w:pPr>
        <w:pStyle w:val="S0"/>
        <w:spacing w:line="360" w:lineRule="auto"/>
        <w:rPr>
          <w:rFonts w:eastAsiaTheme="minorEastAsia"/>
          <w:b/>
          <w:sz w:val="28"/>
          <w:szCs w:val="28"/>
        </w:rPr>
      </w:pPr>
    </w:p>
    <w:p w:rsidR="00DB5E25" w:rsidRDefault="00DB5E25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EE1DD1" w:rsidRPr="003C58D3" w:rsidRDefault="00EE1DD1" w:rsidP="007806D0">
      <w:pPr>
        <w:spacing w:after="0" w:line="48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3C58D3" w:rsidRDefault="001D0AE0" w:rsidP="003C58D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8D3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Внедрение данной технологии позволит значительно сократить затраты на проведение ИДН и оборудование. 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В результате использования данного оборудования </w:t>
      </w:r>
      <w:r w:rsidR="00DB5E25">
        <w:rPr>
          <w:rFonts w:eastAsiaTheme="minorEastAsia"/>
          <w:sz w:val="28"/>
          <w:szCs w:val="28"/>
        </w:rPr>
        <w:t>возможно обеспечить дополнительную добычу нефти без существенных затрат.</w:t>
      </w:r>
    </w:p>
    <w:p w:rsidR="006F454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Снижение количества подходов ТРС, позволит снизить негативное воздействие на пласт при глушении скважин, а </w:t>
      </w:r>
      <w:r w:rsidR="00DB5E25" w:rsidRPr="006F4545">
        <w:rPr>
          <w:rFonts w:eastAsiaTheme="minorEastAsia"/>
          <w:sz w:val="28"/>
          <w:szCs w:val="28"/>
        </w:rPr>
        <w:t>также</w:t>
      </w:r>
      <w:r w:rsidRPr="006F4545">
        <w:rPr>
          <w:rFonts w:eastAsiaTheme="minorEastAsia"/>
          <w:sz w:val="28"/>
          <w:szCs w:val="28"/>
        </w:rPr>
        <w:t xml:space="preserve"> сократит количество аварий и происшествий при выполнении ремонта.</w:t>
      </w:r>
    </w:p>
    <w:p w:rsidR="00854E25" w:rsidRPr="006F4545" w:rsidRDefault="006F4545" w:rsidP="006F4545">
      <w:pPr>
        <w:pStyle w:val="S0"/>
        <w:spacing w:line="360" w:lineRule="auto"/>
        <w:ind w:firstLine="709"/>
        <w:rPr>
          <w:rFonts w:eastAsiaTheme="minorEastAsia"/>
          <w:sz w:val="28"/>
          <w:szCs w:val="28"/>
        </w:rPr>
      </w:pPr>
      <w:r w:rsidRPr="006F4545">
        <w:rPr>
          <w:rFonts w:eastAsiaTheme="minorEastAsia"/>
          <w:sz w:val="28"/>
          <w:szCs w:val="28"/>
        </w:rPr>
        <w:t xml:space="preserve">Использование оборудования отечественного производства позволит следовать программе </w:t>
      </w:r>
      <w:proofErr w:type="spellStart"/>
      <w:r w:rsidRPr="006F4545">
        <w:rPr>
          <w:rFonts w:eastAsiaTheme="minorEastAsia"/>
          <w:sz w:val="28"/>
          <w:szCs w:val="28"/>
        </w:rPr>
        <w:t>импортозамещения</w:t>
      </w:r>
      <w:proofErr w:type="spellEnd"/>
      <w:r w:rsidRPr="006F4545">
        <w:rPr>
          <w:rFonts w:eastAsiaTheme="minorEastAsia"/>
          <w:sz w:val="28"/>
          <w:szCs w:val="28"/>
        </w:rPr>
        <w:t>, и полностью отказаться от импортных аналогов.</w:t>
      </w:r>
    </w:p>
    <w:p w:rsidR="00854E25" w:rsidRPr="003C58D3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E25" w:rsidRPr="003C58D3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E25" w:rsidRPr="003C58D3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E25" w:rsidRPr="003C58D3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E25" w:rsidRPr="003C58D3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8D3" w:rsidRPr="003C58D3" w:rsidRDefault="003C58D3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8D3" w:rsidRPr="003C58D3" w:rsidRDefault="003C58D3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E25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B9C" w:rsidRDefault="00E96B9C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674" w:rsidRDefault="00693674" w:rsidP="006936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E25" w:rsidRDefault="00DB5E25" w:rsidP="006936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D1" w:rsidRDefault="00EE1DD1" w:rsidP="006936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D1" w:rsidRPr="003C58D3" w:rsidRDefault="00EE1DD1" w:rsidP="006936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15E" w:rsidRPr="003C58D3" w:rsidRDefault="00DB5E25" w:rsidP="00EA115E">
      <w:pPr>
        <w:spacing w:after="0" w:line="48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>
        <w:rPr>
          <w:rFonts w:ascii="Times New Roman" w:eastAsia="Batang" w:hAnsi="Times New Roman" w:cs="Times New Roman"/>
          <w:b/>
          <w:sz w:val="28"/>
          <w:szCs w:val="28"/>
        </w:rPr>
        <w:t>СПИСОК ИСПОЛЬЗУЕМЫХ ИСТОЧНИ</w:t>
      </w:r>
      <w:r w:rsidR="00EA115E" w:rsidRPr="003C58D3">
        <w:rPr>
          <w:rFonts w:ascii="Times New Roman" w:eastAsia="Batang" w:hAnsi="Times New Roman" w:cs="Times New Roman"/>
          <w:b/>
          <w:sz w:val="28"/>
          <w:szCs w:val="28"/>
        </w:rPr>
        <w:t xml:space="preserve">КОВ </w:t>
      </w:r>
    </w:p>
    <w:p w:rsidR="007806D0" w:rsidRPr="003C58D3" w:rsidRDefault="007806D0" w:rsidP="007806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7806D0">
        <w:rPr>
          <w:rFonts w:ascii="Times New Roman" w:hAnsi="Times New Roman" w:cs="Times New Roman"/>
          <w:bCs/>
          <w:sz w:val="28"/>
          <w:szCs w:val="28"/>
        </w:rPr>
        <w:t>А.Н. Дроздов технология и техника добычи нефти погружными насосами в осложнённых условиях. - Москва, 2008</w:t>
      </w:r>
    </w:p>
    <w:p w:rsidR="007806D0" w:rsidRPr="007806D0" w:rsidRDefault="007806D0" w:rsidP="007806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6D0">
        <w:rPr>
          <w:rFonts w:ascii="Times New Roman" w:hAnsi="Times New Roman" w:cs="Times New Roman"/>
          <w:bCs/>
          <w:sz w:val="28"/>
          <w:szCs w:val="28"/>
        </w:rPr>
        <w:t>2. Эксплуатация осложненных скважин центробежными электронасосами /Под ред. Л.С. Каплан, 1994.</w:t>
      </w:r>
    </w:p>
    <w:p w:rsidR="007806D0" w:rsidRPr="007806D0" w:rsidRDefault="007806D0" w:rsidP="007806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6D0">
        <w:rPr>
          <w:rFonts w:ascii="Times New Roman" w:hAnsi="Times New Roman" w:cs="Times New Roman"/>
          <w:bCs/>
          <w:sz w:val="28"/>
          <w:szCs w:val="28"/>
        </w:rPr>
        <w:t>4. Габдуллин Р.Ф. Эксплуатация скважин, оборудованных УЭЦН в осложненных условиях: Нефтяное хозяйство, 2002 -  №4. - с.62-64</w:t>
      </w:r>
    </w:p>
    <w:p w:rsidR="007806D0" w:rsidRPr="007806D0" w:rsidRDefault="007806D0" w:rsidP="007806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6D0">
        <w:rPr>
          <w:rFonts w:ascii="Times New Roman" w:hAnsi="Times New Roman" w:cs="Times New Roman"/>
          <w:bCs/>
          <w:sz w:val="28"/>
          <w:szCs w:val="28"/>
        </w:rPr>
        <w:t>5. Иванов В.Н., Левин Ю.В., Основные задачи развития и совершенствования установок электроприводных центробежных насосов: УКАНГ, 2004- с. 33</w:t>
      </w:r>
    </w:p>
    <w:p w:rsidR="007806D0" w:rsidRPr="007806D0" w:rsidRDefault="007806D0" w:rsidP="007806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7806D0">
        <w:rPr>
          <w:rFonts w:ascii="Times New Roman" w:hAnsi="Times New Roman" w:cs="Times New Roman"/>
          <w:bCs/>
          <w:sz w:val="28"/>
          <w:szCs w:val="28"/>
        </w:rPr>
        <w:t>КС2.5 П1-01.05 М-0005 Методические указания Компании версия 6.00 Единые технические требования к УЭЦН, ШСНУ, НКТ и другому об (5613760 v1)</w:t>
      </w:r>
    </w:p>
    <w:p w:rsidR="00854E25" w:rsidRPr="003C58D3" w:rsidRDefault="00854E25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Default="003C58D3" w:rsidP="003C58D3">
      <w:pPr>
        <w:tabs>
          <w:tab w:val="left" w:pos="65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45B7" w:rsidRPr="003C58D3" w:rsidRDefault="001C45B7" w:rsidP="00F911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B70" w:rsidRPr="0077254E" w:rsidRDefault="006D5B70" w:rsidP="006D5B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4E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ИНДИВИДУАЛЬНЫЙ ПЛАН МАГИСТРАНТА</w:t>
      </w:r>
    </w:p>
    <w:p w:rsidR="006D5B70" w:rsidRPr="006D5B70" w:rsidRDefault="006D5B70" w:rsidP="00952C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4E">
        <w:rPr>
          <w:rFonts w:ascii="Times New Roman" w:hAnsi="Times New Roman" w:cs="Times New Roman"/>
          <w:b/>
          <w:sz w:val="28"/>
          <w:szCs w:val="28"/>
        </w:rPr>
        <w:t>по выполнению на</w:t>
      </w:r>
      <w:r w:rsidR="00DB5E25">
        <w:rPr>
          <w:rFonts w:ascii="Times New Roman" w:hAnsi="Times New Roman" w:cs="Times New Roman"/>
          <w:b/>
          <w:sz w:val="28"/>
          <w:szCs w:val="28"/>
        </w:rPr>
        <w:t>учно-исследовательской работы №4</w:t>
      </w:r>
    </w:p>
    <w:p w:rsidR="00F911A4" w:rsidRPr="008E2A14" w:rsidRDefault="00F911A4" w:rsidP="00F911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 xml:space="preserve">Ф.И.О.  </w:t>
      </w:r>
      <w:r w:rsidR="0047305E">
        <w:rPr>
          <w:rFonts w:ascii="Times New Roman" w:hAnsi="Times New Roman" w:cs="Times New Roman"/>
          <w:sz w:val="28"/>
          <w:szCs w:val="28"/>
          <w:u w:val="single"/>
        </w:rPr>
        <w:t>Лысенко Михаил Сергеевич</w:t>
      </w:r>
      <w:r w:rsidRPr="008E2A14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</w:t>
      </w:r>
    </w:p>
    <w:p w:rsidR="00F911A4" w:rsidRPr="003C58D3" w:rsidRDefault="00F911A4" w:rsidP="00F911A4">
      <w:pPr>
        <w:jc w:val="right"/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>Таблица 1</w:t>
      </w:r>
    </w:p>
    <w:p w:rsidR="00F911A4" w:rsidRPr="003C58D3" w:rsidRDefault="00F911A4" w:rsidP="00F911A4">
      <w:pPr>
        <w:jc w:val="center"/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>Индивидуальный план работы</w:t>
      </w:r>
      <w:r w:rsidR="006D5B70">
        <w:rPr>
          <w:rFonts w:ascii="Times New Roman" w:hAnsi="Times New Roman" w:cs="Times New Roman"/>
          <w:sz w:val="28"/>
          <w:szCs w:val="28"/>
        </w:rPr>
        <w:t xml:space="preserve"> магистранта по научно исследовательской работе.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7"/>
        <w:gridCol w:w="7235"/>
      </w:tblGrid>
      <w:tr w:rsidR="00F911A4" w:rsidRPr="003C58D3" w:rsidTr="00E76DA1">
        <w:trPr>
          <w:trHeight w:val="668"/>
        </w:trPr>
        <w:tc>
          <w:tcPr>
            <w:tcW w:w="2087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235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</w:t>
            </w:r>
          </w:p>
        </w:tc>
      </w:tr>
      <w:tr w:rsidR="00F911A4" w:rsidRPr="003C58D3" w:rsidTr="00E76DA1">
        <w:trPr>
          <w:trHeight w:val="668"/>
        </w:trPr>
        <w:tc>
          <w:tcPr>
            <w:tcW w:w="2087" w:type="dxa"/>
          </w:tcPr>
          <w:p w:rsidR="00F911A4" w:rsidRPr="003C58D3" w:rsidRDefault="00DB5E25" w:rsidP="003A6892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Август-Октябрь</w:t>
            </w:r>
            <w:r w:rsidR="00952CF3"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7235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Формулировка задач исследования на данный период:</w:t>
            </w:r>
          </w:p>
          <w:p w:rsidR="00F911A4" w:rsidRPr="003C58D3" w:rsidRDefault="00952CF3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1.Провести анализ выделенной проблемы</w:t>
            </w:r>
            <w:r w:rsidR="00F911A4" w:rsidRPr="003C58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1A4" w:rsidRPr="003C58D3" w:rsidRDefault="00952CF3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Проанализировать альтернативные технологии для борьбы с выявленной проблемой</w:t>
            </w:r>
            <w:r w:rsidR="00F911A4" w:rsidRPr="003C58D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52CF3">
              <w:rPr>
                <w:rFonts w:ascii="Times New Roman" w:hAnsi="Times New Roman" w:cs="Times New Roman"/>
                <w:sz w:val="28"/>
                <w:szCs w:val="28"/>
              </w:rPr>
              <w:t>Оценить возможность применения выбранной технологии</w:t>
            </w: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4. Сформулировать основные выводы и рекомендации на базе выполненного исследования.</w:t>
            </w:r>
          </w:p>
        </w:tc>
      </w:tr>
      <w:tr w:rsidR="00F911A4" w:rsidRPr="003C58D3" w:rsidTr="00E76DA1">
        <w:trPr>
          <w:trHeight w:val="334"/>
        </w:trPr>
        <w:tc>
          <w:tcPr>
            <w:tcW w:w="2087" w:type="dxa"/>
          </w:tcPr>
          <w:p w:rsidR="00F911A4" w:rsidRPr="003C58D3" w:rsidRDefault="00DB5E25" w:rsidP="003A6892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Август-Октябрь 2019</w:t>
            </w:r>
          </w:p>
        </w:tc>
        <w:tc>
          <w:tcPr>
            <w:tcW w:w="7235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Сбор литературных источников по заявленной теме</w:t>
            </w:r>
          </w:p>
        </w:tc>
      </w:tr>
      <w:tr w:rsidR="00F911A4" w:rsidRPr="003C58D3" w:rsidTr="00E76DA1">
        <w:trPr>
          <w:trHeight w:val="334"/>
        </w:trPr>
        <w:tc>
          <w:tcPr>
            <w:tcW w:w="2087" w:type="dxa"/>
          </w:tcPr>
          <w:p w:rsidR="00F911A4" w:rsidRPr="003C58D3" w:rsidRDefault="00DB5E25" w:rsidP="003A6892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Август-Октябрь 2019</w:t>
            </w:r>
          </w:p>
        </w:tc>
        <w:tc>
          <w:tcPr>
            <w:tcW w:w="7235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Анализ библиографических печатных и электронных источников, нормативных документов, схем, чертежей и т.д.</w:t>
            </w:r>
          </w:p>
        </w:tc>
      </w:tr>
      <w:tr w:rsidR="00F911A4" w:rsidRPr="003C58D3" w:rsidTr="00E76DA1">
        <w:trPr>
          <w:trHeight w:val="334"/>
        </w:trPr>
        <w:tc>
          <w:tcPr>
            <w:tcW w:w="2087" w:type="dxa"/>
          </w:tcPr>
          <w:p w:rsidR="00F911A4" w:rsidRPr="003C58D3" w:rsidRDefault="00DB5E25" w:rsidP="003A6892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2019</w:t>
            </w:r>
          </w:p>
        </w:tc>
        <w:tc>
          <w:tcPr>
            <w:tcW w:w="7235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научной публикации в научном издании </w:t>
            </w:r>
          </w:p>
        </w:tc>
      </w:tr>
      <w:tr w:rsidR="00F911A4" w:rsidRPr="003C58D3" w:rsidTr="00E76DA1">
        <w:trPr>
          <w:trHeight w:val="334"/>
        </w:trPr>
        <w:tc>
          <w:tcPr>
            <w:tcW w:w="2087" w:type="dxa"/>
          </w:tcPr>
          <w:p w:rsidR="00F911A4" w:rsidRPr="003C58D3" w:rsidRDefault="00DB5E25" w:rsidP="003A6892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2019</w:t>
            </w:r>
          </w:p>
        </w:tc>
        <w:tc>
          <w:tcPr>
            <w:tcW w:w="7235" w:type="dxa"/>
          </w:tcPr>
          <w:p w:rsidR="00F911A4" w:rsidRPr="003C58D3" w:rsidRDefault="00F911A4" w:rsidP="00E76DA1">
            <w:pPr>
              <w:widowControl w:val="0"/>
              <w:tabs>
                <w:tab w:val="left" w:pos="81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58D3">
              <w:rPr>
                <w:rFonts w:ascii="Times New Roman" w:hAnsi="Times New Roman" w:cs="Times New Roman"/>
                <w:sz w:val="28"/>
                <w:szCs w:val="28"/>
              </w:rPr>
              <w:t>Подготовка отчета.</w:t>
            </w:r>
          </w:p>
        </w:tc>
      </w:tr>
    </w:tbl>
    <w:p w:rsidR="00F911A4" w:rsidRPr="003C58D3" w:rsidRDefault="00F911A4" w:rsidP="00F911A4">
      <w:pPr>
        <w:tabs>
          <w:tab w:val="left" w:pos="8190"/>
        </w:tabs>
        <w:rPr>
          <w:rFonts w:ascii="Times New Roman" w:hAnsi="Times New Roman" w:cs="Times New Roman"/>
          <w:sz w:val="28"/>
          <w:szCs w:val="28"/>
        </w:rPr>
      </w:pPr>
    </w:p>
    <w:p w:rsidR="00EA115E" w:rsidRPr="003C58D3" w:rsidRDefault="008363FB" w:rsidP="00EA115E">
      <w:pPr>
        <w:tabs>
          <w:tab w:val="left" w:pos="8190"/>
        </w:tabs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>Научный руководитель _</w:t>
      </w:r>
      <w:r w:rsidR="00F911A4" w:rsidRPr="003C58D3">
        <w:rPr>
          <w:rFonts w:ascii="Times New Roman" w:hAnsi="Times New Roman" w:cs="Times New Roman"/>
          <w:sz w:val="28"/>
          <w:szCs w:val="28"/>
        </w:rPr>
        <w:t>____________________</w:t>
      </w:r>
      <w:r w:rsidRPr="003C58D3">
        <w:rPr>
          <w:rFonts w:ascii="Times New Roman" w:hAnsi="Times New Roman" w:cs="Times New Roman"/>
          <w:sz w:val="28"/>
          <w:szCs w:val="28"/>
        </w:rPr>
        <w:t>/ Фоминых</w:t>
      </w:r>
      <w:r w:rsidR="0047305E">
        <w:rPr>
          <w:rFonts w:ascii="Times New Roman" w:hAnsi="Times New Roman" w:cs="Times New Roman"/>
          <w:sz w:val="28"/>
          <w:szCs w:val="28"/>
        </w:rPr>
        <w:t xml:space="preserve"> О.В</w:t>
      </w:r>
      <w:r w:rsidR="00EA115E" w:rsidRPr="003C58D3">
        <w:rPr>
          <w:rFonts w:ascii="Times New Roman" w:hAnsi="Times New Roman" w:cs="Times New Roman"/>
          <w:sz w:val="28"/>
          <w:szCs w:val="28"/>
        </w:rPr>
        <w:t xml:space="preserve"> </w:t>
      </w:r>
      <w:r w:rsidR="00F911A4" w:rsidRPr="003C58D3">
        <w:rPr>
          <w:rFonts w:ascii="Times New Roman" w:hAnsi="Times New Roman" w:cs="Times New Roman"/>
          <w:sz w:val="28"/>
          <w:szCs w:val="28"/>
        </w:rPr>
        <w:t>/</w:t>
      </w:r>
    </w:p>
    <w:p w:rsidR="0047305E" w:rsidRDefault="00F911A4" w:rsidP="001C45B7">
      <w:pPr>
        <w:tabs>
          <w:tab w:val="left" w:pos="8190"/>
        </w:tabs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>Магистрант    _____________________</w:t>
      </w:r>
      <w:r w:rsidR="008363FB" w:rsidRPr="003C58D3">
        <w:rPr>
          <w:rFonts w:ascii="Times New Roman" w:hAnsi="Times New Roman" w:cs="Times New Roman"/>
          <w:sz w:val="28"/>
          <w:szCs w:val="28"/>
        </w:rPr>
        <w:t>/ Лысенко</w:t>
      </w:r>
      <w:r w:rsidR="008E2A14">
        <w:rPr>
          <w:rFonts w:ascii="Times New Roman" w:hAnsi="Times New Roman" w:cs="Times New Roman"/>
          <w:sz w:val="28"/>
          <w:szCs w:val="28"/>
        </w:rPr>
        <w:t xml:space="preserve"> </w:t>
      </w:r>
      <w:r w:rsidR="008363FB">
        <w:rPr>
          <w:rFonts w:ascii="Times New Roman" w:hAnsi="Times New Roman" w:cs="Times New Roman"/>
          <w:sz w:val="28"/>
          <w:szCs w:val="28"/>
        </w:rPr>
        <w:t>М.С</w:t>
      </w:r>
      <w:r w:rsidR="008363FB" w:rsidRPr="003C58D3">
        <w:rPr>
          <w:rFonts w:ascii="Times New Roman" w:hAnsi="Times New Roman" w:cs="Times New Roman"/>
          <w:sz w:val="28"/>
          <w:szCs w:val="28"/>
        </w:rPr>
        <w:t xml:space="preserve"> /</w:t>
      </w:r>
      <w:r w:rsidRPr="003C58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11473D" w:rsidRPr="006D5B70" w:rsidRDefault="0011473D" w:rsidP="0011473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B70">
        <w:rPr>
          <w:rFonts w:ascii="Times New Roman" w:hAnsi="Times New Roman" w:cs="Times New Roman"/>
          <w:b/>
          <w:sz w:val="28"/>
          <w:szCs w:val="28"/>
        </w:rPr>
        <w:t xml:space="preserve">Отзыв научного руководителя на </w:t>
      </w:r>
    </w:p>
    <w:p w:rsidR="00F911A4" w:rsidRPr="006D5B70" w:rsidRDefault="00EA115E" w:rsidP="0011473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B70">
        <w:rPr>
          <w:rFonts w:ascii="Times New Roman" w:hAnsi="Times New Roman" w:cs="Times New Roman"/>
          <w:b/>
          <w:sz w:val="28"/>
          <w:szCs w:val="28"/>
        </w:rPr>
        <w:t>магистранта</w:t>
      </w:r>
      <w:r w:rsidR="0011473D" w:rsidRPr="006D5B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05E">
        <w:rPr>
          <w:rFonts w:ascii="Times New Roman" w:hAnsi="Times New Roman" w:cs="Times New Roman"/>
          <w:b/>
          <w:sz w:val="28"/>
          <w:szCs w:val="28"/>
        </w:rPr>
        <w:t>Лысенко Михаила Сергеевича</w:t>
      </w:r>
    </w:p>
    <w:p w:rsidR="0011473D" w:rsidRPr="006D5B70" w:rsidRDefault="0047305E" w:rsidP="0011473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гр. РМмз-17-4</w:t>
      </w:r>
    </w:p>
    <w:p w:rsidR="006D5B70" w:rsidRPr="006D5B70" w:rsidRDefault="006D5B70" w:rsidP="006D5B7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B70">
        <w:rPr>
          <w:rFonts w:ascii="Times New Roman" w:hAnsi="Times New Roman" w:cs="Times New Roman"/>
          <w:b/>
          <w:sz w:val="28"/>
          <w:szCs w:val="28"/>
        </w:rPr>
        <w:t xml:space="preserve">об научно исследовательской работе </w:t>
      </w:r>
    </w:p>
    <w:p w:rsidR="0011473D" w:rsidRPr="003C58D3" w:rsidRDefault="0047305E" w:rsidP="001147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Лысенко Михаил Сергеевич</w:t>
      </w:r>
      <w:r w:rsidR="0011473D" w:rsidRPr="003C58D3">
        <w:rPr>
          <w:rFonts w:ascii="Times New Roman" w:hAnsi="Times New Roman" w:cs="Times New Roman"/>
          <w:sz w:val="28"/>
          <w:szCs w:val="28"/>
        </w:rPr>
        <w:t xml:space="preserve"> выполнил план </w:t>
      </w:r>
      <w:r w:rsidR="00716CC7">
        <w:rPr>
          <w:rFonts w:ascii="Times New Roman" w:hAnsi="Times New Roman" w:cs="Times New Roman"/>
          <w:sz w:val="28"/>
          <w:szCs w:val="28"/>
        </w:rPr>
        <w:t>по научно исследовательской работе</w:t>
      </w:r>
      <w:r w:rsidR="0011473D" w:rsidRPr="003C58D3">
        <w:rPr>
          <w:rFonts w:ascii="Times New Roman" w:hAnsi="Times New Roman" w:cs="Times New Roman"/>
          <w:sz w:val="28"/>
          <w:szCs w:val="28"/>
        </w:rPr>
        <w:t>. С поставленными задачами справился:</w:t>
      </w:r>
    </w:p>
    <w:p w:rsidR="0011473D" w:rsidRPr="003C58D3" w:rsidRDefault="006D5B70" w:rsidP="001147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Подготовил отчет по научно исследовательской работе</w:t>
      </w:r>
      <w:r w:rsidR="0011473D" w:rsidRPr="003C58D3">
        <w:rPr>
          <w:rFonts w:ascii="Times New Roman" w:hAnsi="Times New Roman" w:cs="Times New Roman"/>
          <w:sz w:val="28"/>
          <w:szCs w:val="28"/>
        </w:rPr>
        <w:t>.</w:t>
      </w:r>
    </w:p>
    <w:p w:rsidR="006D5B70" w:rsidRDefault="0011473D" w:rsidP="006D5B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 xml:space="preserve">2. </w:t>
      </w:r>
      <w:r w:rsidR="006D5B70">
        <w:rPr>
          <w:rFonts w:ascii="Times New Roman" w:hAnsi="Times New Roman" w:cs="Times New Roman"/>
          <w:sz w:val="28"/>
          <w:szCs w:val="28"/>
        </w:rPr>
        <w:t>Отобрал и изучил материал по выбранной теме.</w:t>
      </w:r>
    </w:p>
    <w:p w:rsidR="00F911A4" w:rsidRPr="003C58D3" w:rsidRDefault="006D5B70" w:rsidP="006D5B7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Выявил проблему и пути ее решения.</w:t>
      </w:r>
    </w:p>
    <w:p w:rsidR="0011473D" w:rsidRPr="003C58D3" w:rsidRDefault="0011473D" w:rsidP="00B651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73D" w:rsidRPr="003C58D3" w:rsidRDefault="0011473D" w:rsidP="00B651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>Оценка научного руководителя 91 балл (отлично).</w:t>
      </w:r>
    </w:p>
    <w:p w:rsidR="0011473D" w:rsidRPr="003C58D3" w:rsidRDefault="0011473D" w:rsidP="00B651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73D" w:rsidRPr="003C58D3" w:rsidRDefault="0011473D" w:rsidP="00B651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8D3">
        <w:rPr>
          <w:rFonts w:ascii="Times New Roman" w:hAnsi="Times New Roman" w:cs="Times New Roman"/>
          <w:sz w:val="28"/>
          <w:szCs w:val="28"/>
        </w:rPr>
        <w:t xml:space="preserve">Научный </w:t>
      </w:r>
      <w:r w:rsidR="00DC57A7" w:rsidRPr="003C58D3"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DC57A7" w:rsidRPr="003C58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A115E" w:rsidRPr="003C58D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="00EA115E" w:rsidRPr="003C58D3">
        <w:rPr>
          <w:rFonts w:ascii="Times New Roman" w:hAnsi="Times New Roman" w:cs="Times New Roman"/>
          <w:sz w:val="28"/>
          <w:szCs w:val="28"/>
        </w:rPr>
        <w:t xml:space="preserve"> /   </w:t>
      </w:r>
      <w:r w:rsidR="0047305E">
        <w:rPr>
          <w:rFonts w:ascii="Times New Roman" w:hAnsi="Times New Roman" w:cs="Times New Roman"/>
          <w:sz w:val="28"/>
          <w:szCs w:val="28"/>
        </w:rPr>
        <w:t xml:space="preserve">Фоминых </w:t>
      </w:r>
      <w:r w:rsidR="00DC57A7">
        <w:rPr>
          <w:rFonts w:ascii="Times New Roman" w:hAnsi="Times New Roman" w:cs="Times New Roman"/>
          <w:sz w:val="28"/>
          <w:szCs w:val="28"/>
        </w:rPr>
        <w:t>О.В</w:t>
      </w:r>
      <w:r w:rsidR="00DC57A7" w:rsidRPr="003C58D3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F911A4" w:rsidRPr="003C58D3" w:rsidRDefault="00F911A4" w:rsidP="00B651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B651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1A4" w:rsidRPr="003C58D3" w:rsidRDefault="00F911A4" w:rsidP="00911C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911A4" w:rsidRPr="003C58D3" w:rsidSect="00716CC7">
      <w:headerReference w:type="default" r:id="rId12"/>
      <w:pgSz w:w="11906" w:h="16838" w:code="9"/>
      <w:pgMar w:top="1222" w:right="567" w:bottom="1134" w:left="1418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A5B" w:rsidRDefault="00C20A5B" w:rsidP="0090173C">
      <w:pPr>
        <w:spacing w:after="0" w:line="240" w:lineRule="auto"/>
      </w:pPr>
      <w:r>
        <w:separator/>
      </w:r>
    </w:p>
  </w:endnote>
  <w:endnote w:type="continuationSeparator" w:id="0">
    <w:p w:rsidR="00C20A5B" w:rsidRDefault="00C20A5B" w:rsidP="0090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A5B" w:rsidRDefault="00C20A5B" w:rsidP="0090173C">
      <w:pPr>
        <w:spacing w:after="0" w:line="240" w:lineRule="auto"/>
      </w:pPr>
      <w:r>
        <w:separator/>
      </w:r>
    </w:p>
  </w:footnote>
  <w:footnote w:type="continuationSeparator" w:id="0">
    <w:p w:rsidR="00C20A5B" w:rsidRDefault="00C20A5B" w:rsidP="0090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8D3" w:rsidRPr="00070E75" w:rsidRDefault="003C58D3" w:rsidP="00070E75">
    <w:pPr>
      <w:pStyle w:val="a3"/>
    </w:pPr>
  </w:p>
  <w:p w:rsidR="00D21DA5" w:rsidRDefault="00D21DA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1072"/>
    <w:multiLevelType w:val="hybridMultilevel"/>
    <w:tmpl w:val="631EF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F40C5"/>
    <w:multiLevelType w:val="hybridMultilevel"/>
    <w:tmpl w:val="44B099C4"/>
    <w:lvl w:ilvl="0" w:tplc="1F1AA0F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EB186E"/>
    <w:multiLevelType w:val="multilevel"/>
    <w:tmpl w:val="2772B0BE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B27E0F"/>
    <w:multiLevelType w:val="hybridMultilevel"/>
    <w:tmpl w:val="09846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C"/>
    <w:rsid w:val="000043A7"/>
    <w:rsid w:val="000359B8"/>
    <w:rsid w:val="00053EED"/>
    <w:rsid w:val="00056FF1"/>
    <w:rsid w:val="00070E75"/>
    <w:rsid w:val="000C1530"/>
    <w:rsid w:val="000F448E"/>
    <w:rsid w:val="00110A5E"/>
    <w:rsid w:val="0011473D"/>
    <w:rsid w:val="00154F65"/>
    <w:rsid w:val="001645EB"/>
    <w:rsid w:val="001C45B7"/>
    <w:rsid w:val="001D0AE0"/>
    <w:rsid w:val="00293435"/>
    <w:rsid w:val="00327035"/>
    <w:rsid w:val="003315BE"/>
    <w:rsid w:val="003519C3"/>
    <w:rsid w:val="00352047"/>
    <w:rsid w:val="003A2CD6"/>
    <w:rsid w:val="003A6892"/>
    <w:rsid w:val="003C58D3"/>
    <w:rsid w:val="0047305E"/>
    <w:rsid w:val="00522F54"/>
    <w:rsid w:val="00590EB3"/>
    <w:rsid w:val="005B50A0"/>
    <w:rsid w:val="005D7165"/>
    <w:rsid w:val="005E0EC7"/>
    <w:rsid w:val="005F6350"/>
    <w:rsid w:val="00627F54"/>
    <w:rsid w:val="00693674"/>
    <w:rsid w:val="006C62F8"/>
    <w:rsid w:val="006D5B70"/>
    <w:rsid w:val="006F4545"/>
    <w:rsid w:val="007013C9"/>
    <w:rsid w:val="00716CC7"/>
    <w:rsid w:val="00726F1A"/>
    <w:rsid w:val="00746395"/>
    <w:rsid w:val="00754029"/>
    <w:rsid w:val="007806D0"/>
    <w:rsid w:val="008048F2"/>
    <w:rsid w:val="00836333"/>
    <w:rsid w:val="008363FB"/>
    <w:rsid w:val="00854E25"/>
    <w:rsid w:val="0086197E"/>
    <w:rsid w:val="0088208E"/>
    <w:rsid w:val="0089250C"/>
    <w:rsid w:val="008E2A14"/>
    <w:rsid w:val="0090173C"/>
    <w:rsid w:val="00911C11"/>
    <w:rsid w:val="00952CF3"/>
    <w:rsid w:val="00991ACB"/>
    <w:rsid w:val="009D47BC"/>
    <w:rsid w:val="00A07150"/>
    <w:rsid w:val="00A65572"/>
    <w:rsid w:val="00AD3CFC"/>
    <w:rsid w:val="00B04281"/>
    <w:rsid w:val="00B35E09"/>
    <w:rsid w:val="00B52F81"/>
    <w:rsid w:val="00B65128"/>
    <w:rsid w:val="00B97C6A"/>
    <w:rsid w:val="00BA1627"/>
    <w:rsid w:val="00BA6D13"/>
    <w:rsid w:val="00BB588B"/>
    <w:rsid w:val="00BE08AF"/>
    <w:rsid w:val="00BF48E9"/>
    <w:rsid w:val="00C20A5B"/>
    <w:rsid w:val="00C210AC"/>
    <w:rsid w:val="00C66BF7"/>
    <w:rsid w:val="00CC0CE9"/>
    <w:rsid w:val="00CF6B57"/>
    <w:rsid w:val="00D01878"/>
    <w:rsid w:val="00D21DA5"/>
    <w:rsid w:val="00DA1885"/>
    <w:rsid w:val="00DB5E25"/>
    <w:rsid w:val="00DC57A7"/>
    <w:rsid w:val="00DD6828"/>
    <w:rsid w:val="00E16706"/>
    <w:rsid w:val="00E96B9C"/>
    <w:rsid w:val="00EA115E"/>
    <w:rsid w:val="00ED4EDB"/>
    <w:rsid w:val="00EE1DD1"/>
    <w:rsid w:val="00EE7F82"/>
    <w:rsid w:val="00F911A4"/>
    <w:rsid w:val="00FD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6BDBA3"/>
  <w15:docId w15:val="{E4BC472A-521B-4E2C-BBEF-24FA6F21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8F2"/>
  </w:style>
  <w:style w:type="paragraph" w:styleId="1">
    <w:name w:val="heading 1"/>
    <w:basedOn w:val="a"/>
    <w:next w:val="a"/>
    <w:link w:val="10"/>
    <w:qFormat/>
    <w:rsid w:val="00070E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73C"/>
  </w:style>
  <w:style w:type="paragraph" w:styleId="a5">
    <w:name w:val="footer"/>
    <w:basedOn w:val="a"/>
    <w:link w:val="a6"/>
    <w:uiPriority w:val="99"/>
    <w:unhideWhenUsed/>
    <w:rsid w:val="0090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173C"/>
  </w:style>
  <w:style w:type="paragraph" w:styleId="a7">
    <w:name w:val="Balloon Text"/>
    <w:basedOn w:val="a"/>
    <w:link w:val="a8"/>
    <w:uiPriority w:val="99"/>
    <w:semiHidden/>
    <w:unhideWhenUsed/>
    <w:rsid w:val="0090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173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E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9">
    <w:name w:val="Title"/>
    <w:basedOn w:val="a"/>
    <w:link w:val="aa"/>
    <w:qFormat/>
    <w:rsid w:val="00B35E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a">
    <w:name w:val="Заголовок Знак"/>
    <w:basedOn w:val="a0"/>
    <w:link w:val="a9"/>
    <w:rsid w:val="00B35E0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11">
    <w:name w:val="Стиль1"/>
    <w:basedOn w:val="ab"/>
    <w:rsid w:val="00B35E09"/>
    <w:pPr>
      <w:widowControl w:val="0"/>
      <w:autoSpaceDE w:val="0"/>
      <w:autoSpaceDN w:val="0"/>
      <w:adjustRightInd w:val="0"/>
      <w:spacing w:after="0" w:line="360" w:lineRule="auto"/>
      <w:ind w:left="0" w:firstLine="680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b">
    <w:name w:val="Body Text Indent"/>
    <w:basedOn w:val="a"/>
    <w:link w:val="ac"/>
    <w:uiPriority w:val="99"/>
    <w:semiHidden/>
    <w:unhideWhenUsed/>
    <w:rsid w:val="00B35E0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35E09"/>
  </w:style>
  <w:style w:type="character" w:styleId="ad">
    <w:name w:val="Placeholder Text"/>
    <w:basedOn w:val="a0"/>
    <w:uiPriority w:val="99"/>
    <w:semiHidden/>
    <w:rsid w:val="00CF6B57"/>
    <w:rPr>
      <w:color w:val="808080"/>
    </w:rPr>
  </w:style>
  <w:style w:type="table" w:customStyle="1" w:styleId="S">
    <w:name w:val="S_Таблица"/>
    <w:basedOn w:val="a1"/>
    <w:rsid w:val="00110A5E"/>
    <w:pPr>
      <w:spacing w:after="0" w:line="240" w:lineRule="auto"/>
    </w:pPr>
    <w:rPr>
      <w:rFonts w:ascii="Calibri" w:eastAsia="Times New Roman" w:hAnsi="Calibri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0">
    <w:name w:val="S_Обычный"/>
    <w:basedOn w:val="a"/>
    <w:link w:val="S4"/>
    <w:rsid w:val="00110A5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Знак"/>
    <w:link w:val="S0"/>
    <w:locked/>
    <w:rsid w:val="00110A5E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Заголовок1_СписокН"/>
    <w:basedOn w:val="a"/>
    <w:next w:val="S0"/>
    <w:rsid w:val="00110A5E"/>
    <w:pPr>
      <w:keepNext/>
      <w:pageBreakBefore/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S0"/>
    <w:rsid w:val="00110A5E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">
    <w:name w:val="S_Заголовок3_СписокН"/>
    <w:basedOn w:val="a"/>
    <w:next w:val="S0"/>
    <w:rsid w:val="00110A5E"/>
    <w:pPr>
      <w:keepNext/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693674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Bullet_IRAO Знак,Мой Список Знак"/>
    <w:link w:val="ae"/>
    <w:uiPriority w:val="34"/>
    <w:locked/>
    <w:rsid w:val="00693674"/>
    <w:rPr>
      <w:rFonts w:ascii="Calibri" w:eastAsia="Calibri" w:hAnsi="Calibri" w:cs="Times New Roman"/>
    </w:rPr>
  </w:style>
  <w:style w:type="paragraph" w:customStyle="1" w:styleId="Default">
    <w:name w:val="Default"/>
    <w:rsid w:val="003A2C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9">
    <w:name w:val="toc 9"/>
    <w:basedOn w:val="a"/>
    <w:next w:val="a"/>
    <w:autoRedefine/>
    <w:semiHidden/>
    <w:rsid w:val="006F4545"/>
    <w:pPr>
      <w:spacing w:after="0" w:line="240" w:lineRule="auto"/>
      <w:ind w:left="1680"/>
    </w:pPr>
    <w:rPr>
      <w:rFonts w:ascii="Times New Roman" w:eastAsia="Calibri" w:hAnsi="Times New Roman" w:cs="Times New Roman"/>
      <w:sz w:val="20"/>
      <w:szCs w:val="20"/>
      <w:lang w:eastAsia="en-US"/>
    </w:rPr>
  </w:style>
  <w:style w:type="table" w:styleId="af0">
    <w:name w:val="Table Grid"/>
    <w:basedOn w:val="a1"/>
    <w:uiPriority w:val="99"/>
    <w:rsid w:val="006F454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40"/>
      <c:rotY val="46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spPr>
            <a:solidFill>
              <a:srgbClr val="6987AF"/>
            </a:solidFill>
            <a:scene3d>
              <a:camera prst="orthographicFront"/>
              <a:lightRig rig="threePt" dir="t"/>
            </a:scene3d>
            <a:sp3d>
              <a:bevelT w="82550"/>
              <a:bevelB w="0"/>
            </a:sp3d>
          </c:spPr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1365-4DB0-8413-CBDBD7BF7988}"/>
              </c:ext>
            </c:extLst>
          </c:dPt>
          <c:dPt>
            <c:idx val="1"/>
            <c:bubble3D val="0"/>
            <c:spPr>
              <a:solidFill>
                <a:srgbClr val="F9BD27"/>
              </a:solidFill>
              <a:scene3d>
                <a:camera prst="orthographicFront"/>
                <a:lightRig rig="threePt" dir="t"/>
              </a:scene3d>
              <a:sp3d>
                <a:bevelT w="82550"/>
                <a:bevelB w="0"/>
              </a:sp3d>
            </c:spPr>
            <c:extLst>
              <c:ext xmlns:c16="http://schemas.microsoft.com/office/drawing/2014/chart" uri="{C3380CC4-5D6E-409C-BE32-E72D297353CC}">
                <c16:uniqueId val="{00000002-1365-4DB0-8413-CBDBD7BF7988}"/>
              </c:ext>
            </c:extLst>
          </c:dPt>
          <c:dPt>
            <c:idx val="2"/>
            <c:bubble3D val="0"/>
            <c:explosion val="0"/>
            <c:extLst>
              <c:ext xmlns:c16="http://schemas.microsoft.com/office/drawing/2014/chart" uri="{C3380CC4-5D6E-409C-BE32-E72D297353CC}">
                <c16:uniqueId val="{00000004-1365-4DB0-8413-CBDBD7BF7988}"/>
              </c:ext>
            </c:extLst>
          </c:dPt>
          <c:dLbls>
            <c:dLbl>
              <c:idx val="2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1365-4DB0-8413-CBDBD7BF79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Лист1!$J$71:$J$73</c:f>
              <c:strCache>
                <c:ptCount val="3"/>
                <c:pt idx="1">
                  <c:v>ИДН ЗБС 2016</c:v>
                </c:pt>
                <c:pt idx="2">
                  <c:v>ИДН ЗБС 2015</c:v>
                </c:pt>
              </c:strCache>
            </c:strRef>
          </c:cat>
          <c:val>
            <c:numRef>
              <c:f>Лист1!$K$71:$K$73</c:f>
              <c:numCache>
                <c:formatCode>General</c:formatCode>
                <c:ptCount val="3"/>
                <c:pt idx="1">
                  <c:v>52</c:v>
                </c:pt>
                <c:pt idx="2">
                  <c:v>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365-4DB0-8413-CBDBD7BF79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199849236218932"/>
          <c:y val="0.25287003757351972"/>
          <c:w val="0.21802306630760035"/>
          <c:h val="0.24646470002979753"/>
        </c:manualLayout>
      </c:layout>
      <c:overlay val="0"/>
      <c:txPr>
        <a:bodyPr/>
        <a:lstStyle/>
        <a:p>
          <a:pPr>
            <a:defRPr sz="800">
              <a:solidFill>
                <a:schemeClr val="tx1"/>
              </a:solidFill>
              <a:latin typeface="Europe" pitchFamily="2" charset="0"/>
            </a:defRPr>
          </a:pPr>
          <a:endParaRPr lang="ru-RU"/>
        </a:p>
      </c:txPr>
    </c:legend>
    <c:plotVisOnly val="1"/>
    <c:dispBlanksAs val="gap"/>
    <c:showDLblsOverMax val="0"/>
  </c:chart>
  <c:spPr>
    <a:effectLst>
      <a:innerShdw blurRad="63500" dist="50800" dir="16200000">
        <a:prstClr val="black">
          <a:alpha val="50000"/>
        </a:prstClr>
      </a:innerShdw>
    </a:effectLst>
    <a:scene3d>
      <a:camera prst="orthographicFront"/>
      <a:lightRig rig="threePt" dir="t"/>
    </a:scene3d>
    <a:sp3d>
      <a:bevelT w="0" h="50800" prst="softRound"/>
    </a:sp3d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8E2D7-BBB8-4911-A4AB-5AAF09A1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Лысенко Михаил Сергеевич, РМмз - 17-4                                                                                                                                                                                                                          </vt:lpstr>
    </vt:vector>
  </TitlesOfParts>
  <Company>Microsoft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Лысенко Михаил Сергеевич, РМмз - 17-4                                                                                                                                                                                                                              Отчет о НИР «Снижение потерь добычи нефти, путем внедрения технологии управляемой депрессии, посредством УЭЦН широкого диапазона»</dc:title>
  <dc:creator>RN</dc:creator>
  <cp:lastModifiedBy>Lenovo</cp:lastModifiedBy>
  <cp:revision>3</cp:revision>
  <dcterms:created xsi:type="dcterms:W3CDTF">2019-11-11T16:16:00Z</dcterms:created>
  <dcterms:modified xsi:type="dcterms:W3CDTF">2019-11-11T16:18:00Z</dcterms:modified>
</cp:coreProperties>
</file>