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A88" w:rsidRDefault="00B22A88" w:rsidP="00192E99">
      <w:pPr>
        <w:jc w:val="center"/>
        <w:rPr>
          <w:b/>
          <w:sz w:val="28"/>
          <w:szCs w:val="28"/>
        </w:rPr>
      </w:pPr>
      <w:bookmarkStart w:id="0" w:name="_GoBack"/>
      <w:bookmarkEnd w:id="0"/>
      <w:r>
        <w:rPr>
          <w:b/>
          <w:sz w:val="28"/>
          <w:szCs w:val="28"/>
        </w:rPr>
        <w:t>НЕОБХОДИМАЯ ОБОРОНА В ЗЕРКАЛЕ ПРАВОВОЙ СТАТИСТИКИ</w:t>
      </w:r>
    </w:p>
    <w:p w:rsidR="00B22A88" w:rsidRPr="00BB19B3" w:rsidRDefault="00B22A88" w:rsidP="00192E99">
      <w:pPr>
        <w:jc w:val="center"/>
        <w:rPr>
          <w:b/>
          <w:sz w:val="28"/>
          <w:szCs w:val="28"/>
        </w:rPr>
      </w:pPr>
    </w:p>
    <w:p w:rsidR="00B22A88" w:rsidRPr="00F41F76" w:rsidRDefault="00B22A88" w:rsidP="00192E99">
      <w:pPr>
        <w:pStyle w:val="a8"/>
        <w:spacing w:before="0" w:beforeAutospacing="0" w:after="0" w:afterAutospacing="0"/>
        <w:jc w:val="right"/>
        <w:rPr>
          <w:color w:val="000000"/>
          <w:sz w:val="28"/>
          <w:szCs w:val="28"/>
        </w:rPr>
      </w:pPr>
      <w:r>
        <w:rPr>
          <w:b/>
          <w:color w:val="000000"/>
          <w:sz w:val="28"/>
          <w:szCs w:val="28"/>
        </w:rPr>
        <w:t>Арчаков Х.А</w:t>
      </w:r>
      <w:r w:rsidRPr="00F41F76">
        <w:rPr>
          <w:b/>
          <w:color w:val="000000"/>
          <w:sz w:val="28"/>
          <w:szCs w:val="28"/>
        </w:rPr>
        <w:t>.,</w:t>
      </w:r>
      <w:r>
        <w:rPr>
          <w:color w:val="000000"/>
          <w:sz w:val="28"/>
          <w:szCs w:val="28"/>
        </w:rPr>
        <w:t xml:space="preserve"> </w:t>
      </w:r>
      <w:r w:rsidRPr="00F41F76">
        <w:rPr>
          <w:color w:val="000000"/>
          <w:sz w:val="28"/>
          <w:szCs w:val="28"/>
        </w:rPr>
        <w:t>магистрант кафедры</w:t>
      </w:r>
    </w:p>
    <w:p w:rsidR="00B22A88" w:rsidRPr="00F41F76" w:rsidRDefault="00B22A88" w:rsidP="00192E99">
      <w:pPr>
        <w:pStyle w:val="a8"/>
        <w:spacing w:before="0" w:beforeAutospacing="0" w:after="0" w:afterAutospacing="0"/>
        <w:jc w:val="right"/>
        <w:rPr>
          <w:color w:val="000000"/>
          <w:sz w:val="28"/>
          <w:szCs w:val="28"/>
        </w:rPr>
      </w:pPr>
      <w:r w:rsidRPr="00F41F76">
        <w:rPr>
          <w:color w:val="000000"/>
          <w:sz w:val="28"/>
          <w:szCs w:val="28"/>
        </w:rPr>
        <w:t>уголовно-правовых дисциплин</w:t>
      </w:r>
    </w:p>
    <w:p w:rsidR="00B22A88" w:rsidRPr="00F41F76" w:rsidRDefault="00B22A88" w:rsidP="00192E99">
      <w:pPr>
        <w:pStyle w:val="a8"/>
        <w:spacing w:before="0" w:beforeAutospacing="0" w:after="0" w:afterAutospacing="0"/>
        <w:jc w:val="right"/>
        <w:rPr>
          <w:color w:val="000000"/>
          <w:sz w:val="28"/>
          <w:szCs w:val="28"/>
        </w:rPr>
      </w:pPr>
      <w:r w:rsidRPr="00F41F76">
        <w:rPr>
          <w:color w:val="000000"/>
          <w:sz w:val="28"/>
          <w:szCs w:val="28"/>
        </w:rPr>
        <w:t>ФГБОУ ВО «Российский государственный</w:t>
      </w:r>
    </w:p>
    <w:p w:rsidR="00B22A88" w:rsidRPr="00F41F76" w:rsidRDefault="00B22A88" w:rsidP="00192E99">
      <w:pPr>
        <w:pStyle w:val="a8"/>
        <w:spacing w:before="0" w:beforeAutospacing="0" w:after="0" w:afterAutospacing="0"/>
        <w:jc w:val="right"/>
        <w:rPr>
          <w:color w:val="000000"/>
          <w:sz w:val="28"/>
          <w:szCs w:val="28"/>
        </w:rPr>
      </w:pPr>
      <w:r w:rsidRPr="00F41F76">
        <w:rPr>
          <w:color w:val="000000"/>
          <w:sz w:val="28"/>
          <w:szCs w:val="28"/>
        </w:rPr>
        <w:t>социальный университет»</w:t>
      </w:r>
    </w:p>
    <w:p w:rsidR="00B22A88" w:rsidRDefault="00B22A88" w:rsidP="00192E99">
      <w:pPr>
        <w:pStyle w:val="a8"/>
        <w:spacing w:before="0" w:beforeAutospacing="0" w:after="0" w:afterAutospacing="0"/>
        <w:jc w:val="right"/>
        <w:rPr>
          <w:color w:val="000000"/>
          <w:sz w:val="28"/>
          <w:szCs w:val="28"/>
        </w:rPr>
      </w:pPr>
      <w:r w:rsidRPr="00F41F76">
        <w:rPr>
          <w:color w:val="000000"/>
          <w:sz w:val="28"/>
          <w:szCs w:val="28"/>
        </w:rPr>
        <w:t>г. Москва</w:t>
      </w:r>
    </w:p>
    <w:p w:rsidR="00B22A88" w:rsidRPr="00F41F76" w:rsidRDefault="00B22A88" w:rsidP="00192E99">
      <w:pPr>
        <w:pStyle w:val="a8"/>
        <w:spacing w:before="0" w:beforeAutospacing="0" w:after="0" w:afterAutospacing="0"/>
        <w:jc w:val="right"/>
        <w:rPr>
          <w:color w:val="000000"/>
          <w:sz w:val="28"/>
          <w:szCs w:val="28"/>
        </w:rPr>
      </w:pPr>
    </w:p>
    <w:p w:rsidR="00B22A88" w:rsidRPr="00C146C0" w:rsidRDefault="00B22A88" w:rsidP="00192E99">
      <w:pPr>
        <w:pStyle w:val="a8"/>
        <w:spacing w:before="0" w:beforeAutospacing="0" w:after="0" w:afterAutospacing="0"/>
        <w:ind w:firstLine="709"/>
        <w:jc w:val="both"/>
        <w:rPr>
          <w:color w:val="000000"/>
          <w:sz w:val="28"/>
          <w:szCs w:val="28"/>
        </w:rPr>
      </w:pPr>
      <w:r w:rsidRPr="00F41F76">
        <w:rPr>
          <w:b/>
          <w:color w:val="000000"/>
          <w:sz w:val="28"/>
          <w:szCs w:val="28"/>
        </w:rPr>
        <w:t>Аннотация.</w:t>
      </w:r>
      <w:r>
        <w:rPr>
          <w:color w:val="000000"/>
          <w:sz w:val="28"/>
          <w:szCs w:val="28"/>
        </w:rPr>
        <w:t xml:space="preserve"> В статье анализируется статистика применения необходимой обороны в российской практике</w:t>
      </w:r>
      <w:r w:rsidRPr="00F41F76">
        <w:rPr>
          <w:color w:val="000000"/>
          <w:sz w:val="28"/>
          <w:szCs w:val="28"/>
        </w:rPr>
        <w:t>.</w:t>
      </w:r>
      <w:r>
        <w:rPr>
          <w:color w:val="000000"/>
          <w:sz w:val="28"/>
          <w:szCs w:val="28"/>
        </w:rPr>
        <w:t xml:space="preserve"> Отмечается </w:t>
      </w:r>
      <w:r>
        <w:rPr>
          <w:sz w:val="28"/>
          <w:szCs w:val="28"/>
        </w:rPr>
        <w:t xml:space="preserve">увеличение в последние годы числа случаев превышения пределов необходимой обороны, чему содействует рост количества незарегистрированного оружия и недостаточное внимание государства к проблеме применения травматического </w:t>
      </w:r>
      <w:r w:rsidRPr="00D2391B">
        <w:rPr>
          <w:sz w:val="28"/>
          <w:szCs w:val="28"/>
        </w:rPr>
        <w:t>оружия</w:t>
      </w:r>
      <w:r>
        <w:rPr>
          <w:sz w:val="28"/>
          <w:szCs w:val="28"/>
        </w:rPr>
        <w:t>, отсутствие надежной правовой базы для охраны жилища от вооруженного нападения</w:t>
      </w:r>
      <w:r w:rsidRPr="00D2391B">
        <w:rPr>
          <w:color w:val="000000"/>
          <w:sz w:val="28"/>
          <w:szCs w:val="28"/>
        </w:rPr>
        <w:t>.</w:t>
      </w:r>
      <w:r w:rsidRPr="00D2391B">
        <w:rPr>
          <w:sz w:val="28"/>
          <w:szCs w:val="28"/>
        </w:rPr>
        <w:t xml:space="preserve"> По мнению автора, современная</w:t>
      </w:r>
      <w:r>
        <w:rPr>
          <w:sz w:val="28"/>
          <w:szCs w:val="28"/>
        </w:rPr>
        <w:t xml:space="preserve"> судебная практика и действующее уголовное законодательство пока так и не смогли выработать однозначных критериев превышения пределов необходимой обороны применительно к конкретным случаям</w:t>
      </w:r>
      <w:r>
        <w:rPr>
          <w:color w:val="000000"/>
          <w:sz w:val="28"/>
          <w:szCs w:val="28"/>
        </w:rPr>
        <w:t>.</w:t>
      </w:r>
    </w:p>
    <w:p w:rsidR="00B22A88" w:rsidRDefault="00B22A88" w:rsidP="00192E99">
      <w:pPr>
        <w:ind w:firstLine="709"/>
        <w:jc w:val="both"/>
        <w:rPr>
          <w:color w:val="000000"/>
          <w:sz w:val="28"/>
          <w:szCs w:val="28"/>
        </w:rPr>
      </w:pPr>
      <w:r w:rsidRPr="00F41F76">
        <w:rPr>
          <w:b/>
          <w:color w:val="000000"/>
          <w:sz w:val="28"/>
          <w:szCs w:val="28"/>
        </w:rPr>
        <w:t>Ключевые слова:</w:t>
      </w:r>
      <w:r>
        <w:rPr>
          <w:color w:val="000000"/>
          <w:sz w:val="28"/>
          <w:szCs w:val="28"/>
        </w:rPr>
        <w:t xml:space="preserve"> необходимая оборона, посягательство, правовая статистика, несовершенство закона, судебная практика.</w:t>
      </w:r>
    </w:p>
    <w:p w:rsidR="00B22A88" w:rsidRPr="00BB19B3" w:rsidRDefault="00B22A88" w:rsidP="00192E99">
      <w:pPr>
        <w:ind w:firstLine="709"/>
        <w:jc w:val="both"/>
        <w:rPr>
          <w:sz w:val="28"/>
          <w:szCs w:val="28"/>
        </w:rPr>
      </w:pPr>
    </w:p>
    <w:p w:rsidR="00B22A88" w:rsidRDefault="00B22A88" w:rsidP="00C9147D">
      <w:pPr>
        <w:spacing w:line="360" w:lineRule="auto"/>
        <w:ind w:firstLine="709"/>
        <w:jc w:val="both"/>
        <w:rPr>
          <w:sz w:val="28"/>
          <w:szCs w:val="28"/>
        </w:rPr>
      </w:pPr>
      <w:r>
        <w:rPr>
          <w:sz w:val="28"/>
          <w:szCs w:val="28"/>
        </w:rPr>
        <w:t xml:space="preserve">В российском уголовном праве </w:t>
      </w:r>
      <w:r w:rsidRPr="00BB19B3">
        <w:rPr>
          <w:sz w:val="28"/>
          <w:szCs w:val="28"/>
        </w:rPr>
        <w:t>под необходимой обороной понимается правомерная защита от общественно опасного посягательства, наносящего вред правам и интересам обороняющегося, через акт причинения отв</w:t>
      </w:r>
      <w:r>
        <w:rPr>
          <w:sz w:val="28"/>
          <w:szCs w:val="28"/>
        </w:rPr>
        <w:t xml:space="preserve">етного вреда лицу, нарушающему </w:t>
      </w:r>
      <w:r w:rsidRPr="00BB19B3">
        <w:rPr>
          <w:sz w:val="28"/>
          <w:szCs w:val="28"/>
        </w:rPr>
        <w:t>зако</w:t>
      </w:r>
      <w:r>
        <w:rPr>
          <w:sz w:val="28"/>
          <w:szCs w:val="28"/>
        </w:rPr>
        <w:t xml:space="preserve">нные интересы членов общества. Правомерность применения необходимой обороны очерчивается в двух группах обстоятельств. </w:t>
      </w:r>
      <w:r w:rsidRPr="00BB19B3">
        <w:rPr>
          <w:sz w:val="28"/>
          <w:szCs w:val="28"/>
        </w:rPr>
        <w:t>В первую группу входят общественная опасность, наличность и действительность посягательства.</w:t>
      </w:r>
      <w:r>
        <w:rPr>
          <w:sz w:val="28"/>
          <w:szCs w:val="28"/>
        </w:rPr>
        <w:t xml:space="preserve"> </w:t>
      </w:r>
      <w:r w:rsidRPr="00BB19B3">
        <w:rPr>
          <w:sz w:val="28"/>
          <w:szCs w:val="28"/>
        </w:rPr>
        <w:t>Во вторую</w:t>
      </w:r>
      <w:r>
        <w:rPr>
          <w:sz w:val="28"/>
          <w:szCs w:val="28"/>
        </w:rPr>
        <w:t xml:space="preserve"> группу –</w:t>
      </w:r>
      <w:r w:rsidRPr="00BB19B3">
        <w:rPr>
          <w:sz w:val="28"/>
          <w:szCs w:val="28"/>
        </w:rPr>
        <w:t xml:space="preserve"> круг объектов защиты, направленность причинения вреда, соразмерность защиты характеру и опасности посягательства.</w:t>
      </w:r>
      <w:r>
        <w:rPr>
          <w:sz w:val="28"/>
          <w:szCs w:val="28"/>
        </w:rPr>
        <w:t xml:space="preserve"> Современная судебная практика и действующее уголовное законодательство пока так и не смогли выработать однозначных критериев превышения пределов необходимой обороны применительно к конкретным случаям. Общая формула, которой должны руководствоваться суды при вынесении судебного приговора, сводится к тому, что вред, который причиняется защищающимся лицом, не должен превышать вреда и тяжести преступления, который фактически совершает нападающий.</w:t>
      </w:r>
    </w:p>
    <w:p w:rsidR="00B22A88" w:rsidRDefault="00B22A88" w:rsidP="00C9147D">
      <w:pPr>
        <w:spacing w:line="360" w:lineRule="auto"/>
        <w:ind w:firstLine="709"/>
        <w:jc w:val="both"/>
        <w:rPr>
          <w:sz w:val="28"/>
          <w:szCs w:val="28"/>
        </w:rPr>
      </w:pPr>
      <w:r>
        <w:rPr>
          <w:sz w:val="28"/>
          <w:szCs w:val="28"/>
        </w:rPr>
        <w:lastRenderedPageBreak/>
        <w:t xml:space="preserve">Отдельный интерес для нас, как специалистов в области уголовного права и криминологии, представляет статистика </w:t>
      </w:r>
      <w:r w:rsidR="009645A7">
        <w:rPr>
          <w:sz w:val="28"/>
          <w:szCs w:val="28"/>
        </w:rPr>
        <w:t>судебных приговоров</w:t>
      </w:r>
      <w:r>
        <w:rPr>
          <w:sz w:val="28"/>
          <w:szCs w:val="28"/>
        </w:rPr>
        <w:t xml:space="preserve">, по которым было принято решение о применении ст. 37 УК РФ относительно обстоятельств конкретного уголовного дела. Подобная статистика позволяет сделать ряд принципиальных выводов. Во-первых, каков удельный вес приговоров с применением ст. 37 УК РФ в современной российской судебной практике. Во-вторых, какие проблемы существуют в практике применения норм УК РФ о </w:t>
      </w:r>
      <w:r w:rsidR="009645A7">
        <w:rPr>
          <w:sz w:val="28"/>
          <w:szCs w:val="28"/>
        </w:rPr>
        <w:t>необходимой обороне</w:t>
      </w:r>
      <w:r>
        <w:rPr>
          <w:sz w:val="28"/>
          <w:szCs w:val="28"/>
        </w:rPr>
        <w:t>. В-третьих, каковы возможные направления совершенствования российского уголовного законодательства о необходимой обороне, которые бы позволили применять нормы ст. 37 УК РФ в максимально возможном и оправданном числе случаев. В-четвертых, как избежать необоснованного применения норм о необходимой обороне с целью оправдания реально совершенного преступления.</w:t>
      </w:r>
    </w:p>
    <w:p w:rsidR="00B22A88" w:rsidRDefault="00B22A88" w:rsidP="00C9147D">
      <w:pPr>
        <w:spacing w:line="360" w:lineRule="auto"/>
        <w:ind w:firstLine="709"/>
        <w:jc w:val="both"/>
        <w:rPr>
          <w:sz w:val="28"/>
          <w:szCs w:val="28"/>
        </w:rPr>
      </w:pPr>
      <w:r>
        <w:rPr>
          <w:sz w:val="28"/>
          <w:szCs w:val="28"/>
        </w:rPr>
        <w:t>Необходимо особо подчеркнуть, что в судебной практике применение нормы ст. 37 УК РФ о правомерном применении необходимой обороны при защите от нападения (посягательства) можно встретить нечасто. Объясняется это, прежде всего тем, что российская судебная система во многом заточена на материалы дела, сформированные на стадии предварительного расследования преступления. Если в материалах дела нападавший, которому обороняющимся был причинен вред здоровью, будет признан потерпевшим, то с вероятностью 99% суд придет к мнению, что он должен быть признан виновным в превышении пределов необходимой обороны. Доказать обратное на практике крайне трудно, поскольку суд в большей степени доверяет данным предварительного следствия, а не показаниям самого оборонявшегося и свидетелей. С другой стороны, нельзя не отметить то обстоятельство, что уровень правовой подготовки большинства граждан не позволяет им осуществлять грамотную самостоятельную юридическую защиту в судебных инстанциях. Все это приводит к тому, что граждане вынуждены прибегать к услугам адвокатов, которые не всегда способны (</w:t>
      </w:r>
      <w:r w:rsidR="009645A7">
        <w:rPr>
          <w:sz w:val="28"/>
          <w:szCs w:val="28"/>
        </w:rPr>
        <w:t xml:space="preserve">в </w:t>
      </w:r>
      <w:r w:rsidR="009645A7">
        <w:rPr>
          <w:sz w:val="28"/>
          <w:szCs w:val="28"/>
        </w:rPr>
        <w:lastRenderedPageBreak/>
        <w:t xml:space="preserve">том числе и </w:t>
      </w:r>
      <w:r>
        <w:rPr>
          <w:sz w:val="28"/>
          <w:szCs w:val="28"/>
        </w:rPr>
        <w:t>не по своей воле) изменить ход судебного разбирательства в пользу своего клиента.</w:t>
      </w:r>
    </w:p>
    <w:p w:rsidR="00B22A88" w:rsidRDefault="00B22A88" w:rsidP="00C9147D">
      <w:pPr>
        <w:spacing w:line="360" w:lineRule="auto"/>
        <w:ind w:firstLine="709"/>
        <w:jc w:val="both"/>
        <w:rPr>
          <w:sz w:val="28"/>
          <w:szCs w:val="28"/>
        </w:rPr>
      </w:pPr>
      <w:r>
        <w:rPr>
          <w:sz w:val="28"/>
          <w:szCs w:val="28"/>
        </w:rPr>
        <w:t>Согласно данным статистики в 2015 году на территории Российской Федерации было зарегистрировано совершение 41,5 тысяч преступлений, предусматривающих уголовную ответственность по статьям «Убийство», «Покушение на убийство», «П</w:t>
      </w:r>
      <w:r w:rsidRPr="009B3D46">
        <w:rPr>
          <w:sz w:val="28"/>
          <w:szCs w:val="28"/>
        </w:rPr>
        <w:t>ричинение тяжкого вреда здоровью»</w:t>
      </w:r>
      <w:r>
        <w:rPr>
          <w:sz w:val="28"/>
          <w:szCs w:val="28"/>
        </w:rPr>
        <w:t>. При этом наличие необходимой обороны было признано всего лишь в 22 случаях из общей массы данных преступлений</w:t>
      </w:r>
      <w:r>
        <w:rPr>
          <w:rStyle w:val="a6"/>
          <w:sz w:val="28"/>
          <w:szCs w:val="28"/>
        </w:rPr>
        <w:footnoteReference w:id="1"/>
      </w:r>
      <w:r>
        <w:rPr>
          <w:sz w:val="28"/>
          <w:szCs w:val="28"/>
        </w:rPr>
        <w:t>.</w:t>
      </w:r>
    </w:p>
    <w:p w:rsidR="00B22A88" w:rsidRDefault="00B22A88" w:rsidP="00C9147D">
      <w:pPr>
        <w:spacing w:line="360" w:lineRule="auto"/>
        <w:ind w:firstLine="709"/>
        <w:jc w:val="both"/>
        <w:rPr>
          <w:sz w:val="28"/>
          <w:szCs w:val="28"/>
        </w:rPr>
      </w:pPr>
      <w:r>
        <w:rPr>
          <w:sz w:val="28"/>
          <w:szCs w:val="28"/>
        </w:rPr>
        <w:t>Указанная статистика наглядно демонстрирует уже обозначенную нами мысль о том, что на итоговое решение суда достаточно большую роль оказывает позиция органов предварительного расследования, а также резонанс, который способно вызвать в обществе потенциальное решение суда. Если ситуация совершения преступления выглядит в глазах общества достаточно вопиющей и обсуждается в СМИ, то следственные органы заранее как бы солидаризуются с общественным мнением и выступают на стороне лица, вынужденного прибегшего к необходимой обороне, признавая тем самым применение необходимой обороны оправданной и законной. Следовательно, для того чтобы признать применение необходимой обороны законной</w:t>
      </w:r>
      <w:r w:rsidR="009645A7">
        <w:rPr>
          <w:sz w:val="28"/>
          <w:szCs w:val="28"/>
        </w:rPr>
        <w:t>,</w:t>
      </w:r>
      <w:r>
        <w:rPr>
          <w:sz w:val="28"/>
          <w:szCs w:val="28"/>
        </w:rPr>
        <w:t xml:space="preserve"> необходимо подключать СМИ и общественное мнение, что само по себе нарушает принципы законности и справедливости. Получается, что при наличии всех законных оснований для признания необходимой обороны правомерной, защищавшееся лицо может </w:t>
      </w:r>
      <w:r w:rsidR="009645A7">
        <w:rPr>
          <w:sz w:val="28"/>
          <w:szCs w:val="28"/>
        </w:rPr>
        <w:t xml:space="preserve">быть </w:t>
      </w:r>
      <w:r>
        <w:rPr>
          <w:sz w:val="28"/>
          <w:szCs w:val="28"/>
        </w:rPr>
        <w:t xml:space="preserve">признано судом виновным в превышении пределов необходимой обороны потому, что оно не на виду и его действия не получили широкого общественного обсуждения. В иных ситуациях лица, применившие необходимую оборону, возможно, с превышением ее пределов (вместо причинения вреда здоровью совершившие убийство нападавшего), выглядят в глазах общества безусловными и </w:t>
      </w:r>
      <w:r w:rsidR="009645A7">
        <w:rPr>
          <w:sz w:val="28"/>
          <w:szCs w:val="28"/>
        </w:rPr>
        <w:lastRenderedPageBreak/>
        <w:t xml:space="preserve">очевидными </w:t>
      </w:r>
      <w:r>
        <w:rPr>
          <w:sz w:val="28"/>
          <w:szCs w:val="28"/>
        </w:rPr>
        <w:t>жертвами</w:t>
      </w:r>
      <w:r w:rsidR="009645A7">
        <w:rPr>
          <w:sz w:val="28"/>
          <w:szCs w:val="28"/>
        </w:rPr>
        <w:t>,</w:t>
      </w:r>
      <w:r>
        <w:rPr>
          <w:sz w:val="28"/>
          <w:szCs w:val="28"/>
        </w:rPr>
        <w:t xml:space="preserve"> и органы следствия, и суд признают их действия совершенными в состоянии необходимой обороны. Сказанное заставляет нас задуматься в очередной раз о совершенствовании объективных критериев защиты от нападения в рамках необходимой обороны.</w:t>
      </w:r>
    </w:p>
    <w:p w:rsidR="00B22A88" w:rsidRDefault="00B22A88" w:rsidP="00C9147D">
      <w:pPr>
        <w:spacing w:line="360" w:lineRule="auto"/>
        <w:ind w:firstLine="709"/>
        <w:jc w:val="both"/>
        <w:rPr>
          <w:sz w:val="28"/>
          <w:szCs w:val="28"/>
        </w:rPr>
      </w:pPr>
      <w:r>
        <w:rPr>
          <w:sz w:val="28"/>
          <w:szCs w:val="28"/>
        </w:rPr>
        <w:t>Представляется, что одним из критериев признания необходимой обороны законным и безусловным правом гражданина должно стать по аналогии со многими зарубежными странами должно быть признано вооруженное нападении на жилище, когда сам факт демонстрации (применения) оружия нападающим ставит под угрозу жизнь и здоровье человека. Следует признать, что российское уголовное законодательство отчасти абсолютизирует необходимость защиты личности (в т.ч. и личности нападающего) и снижает тем самым возможности легальной защиты иных охраняемых законов интересов. Вероятно, российский уголовный закон еще не осознал всю важность правовой охраны неприкосновенности жилища и граждан, которые в нем проживают. Между тем, многие случаи применения необходимой обороны становятся известны обществу именно благодаря фактам нападения на жилые помещения, в ходе которых жильцам удавалось предотвратить большее число жертв за счет убийства нападающих. Вероятно, одним из критериев оправданного применения необходимой обороны должна стать очевидная возможность гибели граждан, проживающих в жилых помещениях при попытке незаконного проникновения в такие помещения с использованием оружия (или средств, его имитирующих).</w:t>
      </w:r>
    </w:p>
    <w:p w:rsidR="00B22A88" w:rsidRPr="00BB19B3" w:rsidRDefault="00B22A88" w:rsidP="00C9147D">
      <w:pPr>
        <w:spacing w:line="360" w:lineRule="auto"/>
        <w:ind w:firstLine="709"/>
        <w:jc w:val="both"/>
        <w:rPr>
          <w:sz w:val="28"/>
          <w:szCs w:val="28"/>
        </w:rPr>
      </w:pPr>
      <w:r>
        <w:rPr>
          <w:sz w:val="28"/>
          <w:szCs w:val="28"/>
        </w:rPr>
        <w:t xml:space="preserve">Еще одним обстоятельством, которое, по нашему мнению, должно </w:t>
      </w:r>
      <w:r w:rsidR="005D63E7">
        <w:rPr>
          <w:sz w:val="28"/>
          <w:szCs w:val="28"/>
        </w:rPr>
        <w:t xml:space="preserve">считаться </w:t>
      </w:r>
      <w:r>
        <w:rPr>
          <w:sz w:val="28"/>
          <w:szCs w:val="28"/>
        </w:rPr>
        <w:t xml:space="preserve">безусловным обстоятельством, легализующим правомерность применения необходимой обороны, должна быть признана защита граждан от противоправных посягательств во время проведения массовых акций. Несомненно, что любая такая акция сама по себе таит угрозу жизни и здоровью мирных граждан, а правоохранительные органы достаточно часто не применяют силу в ожидании приказа от своего руководства. В результате на практике возникают ситуации, когда вред здоровью и жизни мирных </w:t>
      </w:r>
      <w:r>
        <w:rPr>
          <w:sz w:val="28"/>
          <w:szCs w:val="28"/>
        </w:rPr>
        <w:lastRenderedPageBreak/>
        <w:t>граждан причиняется при несвоевременной реакции сотрудников правоохранительных структур. Вероятно, в ситуации реальной угрозы жизни и здоровью значительного числа граждан в ходе проведения массовых акций возможность применения силы должна быть закреплена как за сотрудниками правоохранительных органов, так и самими гражданами, которые должны получить право дать отпор нападающему, взявшему в руки оружие или предметы, способные причинить указанный вред</w:t>
      </w:r>
      <w:r>
        <w:rPr>
          <w:rStyle w:val="a6"/>
          <w:sz w:val="28"/>
          <w:szCs w:val="28"/>
        </w:rPr>
        <w:footnoteReference w:id="2"/>
      </w:r>
      <w:r>
        <w:rPr>
          <w:sz w:val="28"/>
          <w:szCs w:val="28"/>
        </w:rPr>
        <w:t>.</w:t>
      </w:r>
    </w:p>
    <w:p w:rsidR="00B22A88" w:rsidRDefault="00B22A88" w:rsidP="00C9147D">
      <w:pPr>
        <w:spacing w:line="360" w:lineRule="auto"/>
        <w:ind w:firstLine="709"/>
        <w:jc w:val="both"/>
        <w:rPr>
          <w:sz w:val="28"/>
          <w:szCs w:val="28"/>
        </w:rPr>
      </w:pPr>
      <w:r>
        <w:rPr>
          <w:sz w:val="28"/>
          <w:szCs w:val="28"/>
        </w:rPr>
        <w:t xml:space="preserve">Еще одним фактором, который, на наш взгляд, содействует сокрытию проблемы применения необходимой обороны в судебной практике, является нерешенная проблема использования травматического оружия при обороне от преступного нападения, а также наличие </w:t>
      </w:r>
      <w:r w:rsidR="005D63E7">
        <w:rPr>
          <w:sz w:val="28"/>
          <w:szCs w:val="28"/>
        </w:rPr>
        <w:t xml:space="preserve">значительного </w:t>
      </w:r>
      <w:r>
        <w:rPr>
          <w:sz w:val="28"/>
          <w:szCs w:val="28"/>
        </w:rPr>
        <w:t xml:space="preserve">числа незарегистрированного огнестрельного оружия у населения страны. Статистика последних лет уверенно говорит о том, что россияне все более активно применяют как травматическое, так и огнестрельное с целью дачи отпора при нападении. Так, если в 2010 году количество преступлений, совершенных с использованием оружия в целях самообороны, составило 267 случаев, то в 2015 году их уже насчитывалось 594 случая (прирост более чем в 2 раза только за 5 лет). При этом количество официально выданных разрешений на приобретение и </w:t>
      </w:r>
      <w:r w:rsidR="005D63E7">
        <w:rPr>
          <w:sz w:val="28"/>
          <w:szCs w:val="28"/>
        </w:rPr>
        <w:t>хранение</w:t>
      </w:r>
      <w:r>
        <w:rPr>
          <w:sz w:val="28"/>
          <w:szCs w:val="28"/>
        </w:rPr>
        <w:t xml:space="preserve"> оружия самообороны за аналогичный период времени сократилось на 20%</w:t>
      </w:r>
      <w:r>
        <w:rPr>
          <w:rStyle w:val="a6"/>
          <w:sz w:val="28"/>
          <w:szCs w:val="28"/>
        </w:rPr>
        <w:footnoteReference w:id="3"/>
      </w:r>
      <w:r>
        <w:rPr>
          <w:sz w:val="28"/>
          <w:szCs w:val="28"/>
        </w:rPr>
        <w:t>.</w:t>
      </w:r>
    </w:p>
    <w:p w:rsidR="00B22A88" w:rsidRDefault="00B22A88" w:rsidP="00C9147D">
      <w:pPr>
        <w:spacing w:line="360" w:lineRule="auto"/>
        <w:ind w:firstLine="709"/>
        <w:jc w:val="both"/>
        <w:rPr>
          <w:sz w:val="28"/>
          <w:szCs w:val="28"/>
        </w:rPr>
      </w:pPr>
      <w:r>
        <w:rPr>
          <w:sz w:val="28"/>
          <w:szCs w:val="28"/>
        </w:rPr>
        <w:t>Указанные данные наглядно свидетельствуют тот факт, что снижение числа официально выдаваемых разрешений на приобретение и хранени</w:t>
      </w:r>
      <w:r w:rsidR="005D63E7">
        <w:rPr>
          <w:sz w:val="28"/>
          <w:szCs w:val="28"/>
        </w:rPr>
        <w:t>е</w:t>
      </w:r>
      <w:r>
        <w:rPr>
          <w:sz w:val="28"/>
          <w:szCs w:val="28"/>
        </w:rPr>
        <w:t xml:space="preserve"> оружия не снижает общего числа преступлений с его использованием в целом и числа преступлений, в которых оружие является средством отражения нападения при применении необходимой обороны. Достаточно часто выясняется, что оружие, использовавшееся при отражении нападения, </w:t>
      </w:r>
      <w:r>
        <w:rPr>
          <w:sz w:val="28"/>
          <w:szCs w:val="28"/>
        </w:rPr>
        <w:lastRenderedPageBreak/>
        <w:t xml:space="preserve">является незарегистрированным, что также бросает тень на лицо, его применившее. Вероятно, в попытке разрешить данную проблему не нужно впадать в крайности: </w:t>
      </w:r>
      <w:proofErr w:type="spellStart"/>
      <w:r>
        <w:rPr>
          <w:sz w:val="28"/>
          <w:szCs w:val="28"/>
        </w:rPr>
        <w:t>легализовывать</w:t>
      </w:r>
      <w:proofErr w:type="spellEnd"/>
      <w:r>
        <w:rPr>
          <w:sz w:val="28"/>
          <w:szCs w:val="28"/>
        </w:rPr>
        <w:t xml:space="preserve"> хранение, ношение и применение оружия для населения в целом, а также ограничивать и затруднять регистрацию такого оружия, которое может быть использовано для защиты гражданина и членов его семьи. Лица, которые получают разрешение на ношение травматического оружия, должны в обязательном порядке проходить специальные курсы по его применению в ситуациях нападения. Использование же травматического оружия в ситуации, когда его применение из самой ситуации нападения </w:t>
      </w:r>
      <w:r w:rsidR="005D63E7">
        <w:rPr>
          <w:sz w:val="28"/>
          <w:szCs w:val="28"/>
        </w:rPr>
        <w:t xml:space="preserve">не </w:t>
      </w:r>
      <w:r>
        <w:rPr>
          <w:sz w:val="28"/>
          <w:szCs w:val="28"/>
        </w:rPr>
        <w:t xml:space="preserve">является необязательным, влекущее за собой </w:t>
      </w:r>
      <w:r w:rsidR="005D63E7">
        <w:rPr>
          <w:sz w:val="28"/>
          <w:szCs w:val="28"/>
        </w:rPr>
        <w:t xml:space="preserve">причинение </w:t>
      </w:r>
      <w:r>
        <w:rPr>
          <w:sz w:val="28"/>
          <w:szCs w:val="28"/>
        </w:rPr>
        <w:t>несоразмерного вреда нападающему должно рассматриваться как обстоятельство, отягчающее вину лица, его применившего. Только тогда, как представляется</w:t>
      </w:r>
      <w:r w:rsidR="005D63E7">
        <w:rPr>
          <w:sz w:val="28"/>
          <w:szCs w:val="28"/>
        </w:rPr>
        <w:t>, нам удастся создать культуру</w:t>
      </w:r>
      <w:r>
        <w:rPr>
          <w:sz w:val="28"/>
          <w:szCs w:val="28"/>
        </w:rPr>
        <w:t xml:space="preserve"> владения и применения оружия в целях самообороны, что, в конечном итоге, должно содействовать снижению числа случаев превышения пределов необходимой обороны на практике и позволить судам более четко применять нормы уголовного закона.</w:t>
      </w:r>
    </w:p>
    <w:p w:rsidR="00B22A88" w:rsidRPr="004E3697" w:rsidRDefault="00B22A88" w:rsidP="00C9147D">
      <w:pPr>
        <w:spacing w:line="360" w:lineRule="auto"/>
        <w:ind w:firstLine="709"/>
        <w:jc w:val="both"/>
        <w:rPr>
          <w:sz w:val="28"/>
          <w:szCs w:val="28"/>
        </w:rPr>
      </w:pPr>
      <w:r>
        <w:rPr>
          <w:sz w:val="28"/>
          <w:szCs w:val="28"/>
        </w:rPr>
        <w:t xml:space="preserve">Таким образом, подводя итоги сказанному нами выше, следует сделать ряд принципиальных выводов. Во-первых, применение нормы ст. 37 УК РФ о правомерном применении необходимой обороны при защите от нападения (посягательства) в российской судебной практике можно встретить нечасто. Причиной тому является связанность суда материалами и позицией, сформировавшейся на этапе предварительного расследования преступления, зависимость системы правосудия от позиции общественного мнения и СМИ, а также несовершенство уголовного законодательства. Во-вторых, увеличению числа случаев превышения пределов необходимой обороны содействует рост количества незарегистрированного оружия и недостаточное внимание государства к проблеме применения травматического оружия. В-третьих, заточенность российского уголовного законодательства на охрану интересов личности не способствуют признанию права на необходимую </w:t>
      </w:r>
      <w:r>
        <w:rPr>
          <w:sz w:val="28"/>
          <w:szCs w:val="28"/>
        </w:rPr>
        <w:lastRenderedPageBreak/>
        <w:t xml:space="preserve">оборону в ситуациях нападения на жилые помещения и в ходе проведения массовых акций в общественных местах. Вероятное решение </w:t>
      </w:r>
      <w:r w:rsidR="005D63E7">
        <w:rPr>
          <w:sz w:val="28"/>
          <w:szCs w:val="28"/>
        </w:rPr>
        <w:t xml:space="preserve">этой </w:t>
      </w:r>
      <w:r>
        <w:rPr>
          <w:sz w:val="28"/>
          <w:szCs w:val="28"/>
        </w:rPr>
        <w:t>проблемы заключается в совершенствовании как законодательной основы применения необходимой обороны, так и повышении внимания государства к проблеме приобретения и использования оружия самообороны.</w:t>
      </w:r>
    </w:p>
    <w:p w:rsidR="00B22A88" w:rsidRDefault="00B22A88" w:rsidP="00C9147D">
      <w:pPr>
        <w:spacing w:line="360" w:lineRule="auto"/>
        <w:ind w:firstLine="709"/>
        <w:jc w:val="both"/>
        <w:rPr>
          <w:sz w:val="28"/>
          <w:szCs w:val="28"/>
        </w:rPr>
      </w:pPr>
    </w:p>
    <w:p w:rsidR="00B22A88" w:rsidRPr="00C36125" w:rsidRDefault="00B22A88" w:rsidP="004A55D9">
      <w:pPr>
        <w:spacing w:line="360" w:lineRule="auto"/>
        <w:jc w:val="center"/>
        <w:rPr>
          <w:b/>
          <w:sz w:val="28"/>
          <w:szCs w:val="28"/>
        </w:rPr>
      </w:pPr>
      <w:r w:rsidRPr="00C36125">
        <w:rPr>
          <w:b/>
          <w:sz w:val="28"/>
          <w:szCs w:val="28"/>
        </w:rPr>
        <w:t>Список литературы</w:t>
      </w:r>
    </w:p>
    <w:p w:rsidR="00B22A88" w:rsidRPr="00307AAE" w:rsidRDefault="00B22A88" w:rsidP="004A55D9">
      <w:pPr>
        <w:pStyle w:val="a3"/>
        <w:numPr>
          <w:ilvl w:val="0"/>
          <w:numId w:val="13"/>
        </w:numPr>
        <w:tabs>
          <w:tab w:val="left" w:pos="1134"/>
        </w:tabs>
        <w:spacing w:after="0" w:line="360" w:lineRule="auto"/>
        <w:ind w:left="0" w:firstLine="709"/>
        <w:jc w:val="both"/>
        <w:rPr>
          <w:rFonts w:ascii="Times New Roman" w:hAnsi="Times New Roman"/>
          <w:sz w:val="28"/>
          <w:szCs w:val="28"/>
          <w:lang w:val="en-US"/>
        </w:rPr>
      </w:pPr>
      <w:r w:rsidRPr="00307AAE">
        <w:rPr>
          <w:rFonts w:ascii="Times New Roman" w:hAnsi="Times New Roman"/>
          <w:sz w:val="28"/>
          <w:szCs w:val="28"/>
        </w:rPr>
        <w:t xml:space="preserve">Гончар В.В. Некоторые аспекты реализации права на необходимую оборону [Электронный ресурс]. </w:t>
      </w:r>
      <w:r w:rsidRPr="00307AAE">
        <w:rPr>
          <w:rFonts w:ascii="Times New Roman" w:hAnsi="Times New Roman"/>
          <w:sz w:val="28"/>
          <w:szCs w:val="28"/>
          <w:lang w:val="en-US"/>
        </w:rPr>
        <w:t>URL</w:t>
      </w:r>
      <w:r w:rsidRPr="00307AAE">
        <w:rPr>
          <w:rFonts w:ascii="Times New Roman" w:hAnsi="Times New Roman"/>
          <w:sz w:val="28"/>
          <w:szCs w:val="28"/>
        </w:rPr>
        <w:t xml:space="preserve">: </w:t>
      </w:r>
      <w:hyperlink r:id="rId7" w:history="1">
        <w:r w:rsidRPr="00307AAE">
          <w:rPr>
            <w:rStyle w:val="a7"/>
            <w:rFonts w:ascii="Times New Roman" w:hAnsi="Times New Roman"/>
            <w:sz w:val="28"/>
            <w:szCs w:val="28"/>
          </w:rPr>
          <w:t>https://eot.su/tags/neobkhodimaya-oborona</w:t>
        </w:r>
      </w:hyperlink>
    </w:p>
    <w:p w:rsidR="00B22A88" w:rsidRPr="00307AAE" w:rsidRDefault="00B22A88" w:rsidP="004A55D9">
      <w:pPr>
        <w:pStyle w:val="a3"/>
        <w:numPr>
          <w:ilvl w:val="0"/>
          <w:numId w:val="13"/>
        </w:numPr>
        <w:tabs>
          <w:tab w:val="left" w:pos="1134"/>
        </w:tabs>
        <w:spacing w:after="0" w:line="360" w:lineRule="auto"/>
        <w:ind w:left="0" w:firstLine="709"/>
        <w:jc w:val="both"/>
        <w:rPr>
          <w:rFonts w:ascii="Times New Roman" w:hAnsi="Times New Roman"/>
          <w:sz w:val="28"/>
          <w:szCs w:val="28"/>
        </w:rPr>
      </w:pPr>
      <w:r w:rsidRPr="00307AAE">
        <w:rPr>
          <w:rFonts w:ascii="Times New Roman" w:hAnsi="Times New Roman"/>
          <w:sz w:val="28"/>
          <w:szCs w:val="28"/>
        </w:rPr>
        <w:t xml:space="preserve">Данил Корецкий: По статье о необходимой обороне оправдывают 1% обвиняемых – в чем причина? [Электронный ресурс]. </w:t>
      </w:r>
      <w:r w:rsidRPr="00307AAE">
        <w:rPr>
          <w:rFonts w:ascii="Times New Roman" w:hAnsi="Times New Roman"/>
          <w:sz w:val="28"/>
          <w:szCs w:val="28"/>
          <w:lang w:val="en-US"/>
        </w:rPr>
        <w:t>URL</w:t>
      </w:r>
      <w:r w:rsidRPr="00307AAE">
        <w:rPr>
          <w:rFonts w:ascii="Times New Roman" w:hAnsi="Times New Roman"/>
          <w:sz w:val="28"/>
          <w:szCs w:val="28"/>
        </w:rPr>
        <w:t xml:space="preserve">: </w:t>
      </w:r>
      <w:hyperlink r:id="rId8" w:history="1">
        <w:r w:rsidRPr="00307AAE">
          <w:rPr>
            <w:rStyle w:val="a7"/>
            <w:rFonts w:ascii="Times New Roman" w:hAnsi="Times New Roman"/>
            <w:sz w:val="28"/>
            <w:szCs w:val="28"/>
            <w:lang w:val="en-US"/>
          </w:rPr>
          <w:t>https</w:t>
        </w:r>
        <w:r w:rsidRPr="00307AAE">
          <w:rPr>
            <w:rStyle w:val="a7"/>
            <w:rFonts w:ascii="Times New Roman" w:hAnsi="Times New Roman"/>
            <w:sz w:val="28"/>
            <w:szCs w:val="28"/>
          </w:rPr>
          <w:t>://</w:t>
        </w:r>
        <w:r w:rsidRPr="00307AAE">
          <w:rPr>
            <w:rStyle w:val="a7"/>
            <w:rFonts w:ascii="Times New Roman" w:hAnsi="Times New Roman"/>
            <w:sz w:val="28"/>
            <w:szCs w:val="28"/>
            <w:lang w:val="en-US"/>
          </w:rPr>
          <w:t>big</w:t>
        </w:r>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rostov</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ru</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danil</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koreckij</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po</w:t>
        </w:r>
        <w:proofErr w:type="spellEnd"/>
        <w:r w:rsidRPr="00307AAE">
          <w:rPr>
            <w:rStyle w:val="a7"/>
            <w:rFonts w:ascii="Times New Roman" w:hAnsi="Times New Roman"/>
            <w:sz w:val="28"/>
            <w:szCs w:val="28"/>
          </w:rPr>
          <w:t>-</w:t>
        </w:r>
        <w:r w:rsidRPr="00307AAE">
          <w:rPr>
            <w:rStyle w:val="a7"/>
            <w:rFonts w:ascii="Times New Roman" w:hAnsi="Times New Roman"/>
            <w:sz w:val="28"/>
            <w:szCs w:val="28"/>
            <w:lang w:val="en-US"/>
          </w:rPr>
          <w:t>state</w:t>
        </w:r>
        <w:r w:rsidRPr="00307AAE">
          <w:rPr>
            <w:rStyle w:val="a7"/>
            <w:rFonts w:ascii="Times New Roman" w:hAnsi="Times New Roman"/>
            <w:sz w:val="28"/>
            <w:szCs w:val="28"/>
          </w:rPr>
          <w:t>-</w:t>
        </w:r>
        <w:r w:rsidRPr="00307AAE">
          <w:rPr>
            <w:rStyle w:val="a7"/>
            <w:rFonts w:ascii="Times New Roman" w:hAnsi="Times New Roman"/>
            <w:sz w:val="28"/>
            <w:szCs w:val="28"/>
            <w:lang w:val="en-US"/>
          </w:rPr>
          <w:t>o</w:t>
        </w:r>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neobxodimoj</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oborone</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opravdyvayut</w:t>
        </w:r>
        <w:proofErr w:type="spellEnd"/>
        <w:r w:rsidRPr="00307AAE">
          <w:rPr>
            <w:rStyle w:val="a7"/>
            <w:rFonts w:ascii="Times New Roman" w:hAnsi="Times New Roman"/>
            <w:sz w:val="28"/>
            <w:szCs w:val="28"/>
          </w:rPr>
          <w:t>-1-</w:t>
        </w:r>
        <w:proofErr w:type="spellStart"/>
        <w:r w:rsidRPr="00307AAE">
          <w:rPr>
            <w:rStyle w:val="a7"/>
            <w:rFonts w:ascii="Times New Roman" w:hAnsi="Times New Roman"/>
            <w:sz w:val="28"/>
            <w:szCs w:val="28"/>
            <w:lang w:val="en-US"/>
          </w:rPr>
          <w:t>obvinyaemyx</w:t>
        </w:r>
        <w:proofErr w:type="spellEnd"/>
        <w:r w:rsidRPr="00307AAE">
          <w:rPr>
            <w:rStyle w:val="a7"/>
            <w:rFonts w:ascii="Times New Roman" w:hAnsi="Times New Roman"/>
            <w:sz w:val="28"/>
            <w:szCs w:val="28"/>
          </w:rPr>
          <w:t>-</w:t>
        </w:r>
        <w:r w:rsidRPr="00307AAE">
          <w:rPr>
            <w:rStyle w:val="a7"/>
            <w:rFonts w:ascii="Times New Roman" w:hAnsi="Times New Roman"/>
            <w:sz w:val="28"/>
            <w:szCs w:val="28"/>
            <w:lang w:val="en-US"/>
          </w:rPr>
          <w:t>v</w:t>
        </w:r>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chem</w:t>
        </w:r>
        <w:proofErr w:type="spellEnd"/>
        <w:r w:rsidRPr="00307AAE">
          <w:rPr>
            <w:rStyle w:val="a7"/>
            <w:rFonts w:ascii="Times New Roman" w:hAnsi="Times New Roman"/>
            <w:sz w:val="28"/>
            <w:szCs w:val="28"/>
          </w:rPr>
          <w:t>-</w:t>
        </w:r>
        <w:proofErr w:type="spellStart"/>
        <w:r w:rsidRPr="00307AAE">
          <w:rPr>
            <w:rStyle w:val="a7"/>
            <w:rFonts w:ascii="Times New Roman" w:hAnsi="Times New Roman"/>
            <w:sz w:val="28"/>
            <w:szCs w:val="28"/>
            <w:lang w:val="en-US"/>
          </w:rPr>
          <w:t>prichina</w:t>
        </w:r>
        <w:proofErr w:type="spellEnd"/>
        <w:r w:rsidRPr="00307AAE">
          <w:rPr>
            <w:rStyle w:val="a7"/>
            <w:rFonts w:ascii="Times New Roman" w:hAnsi="Times New Roman"/>
            <w:sz w:val="28"/>
            <w:szCs w:val="28"/>
          </w:rPr>
          <w:t>/</w:t>
        </w:r>
      </w:hyperlink>
    </w:p>
    <w:p w:rsidR="00B22A88" w:rsidRPr="00307AAE" w:rsidRDefault="00B22A88" w:rsidP="004A55D9">
      <w:pPr>
        <w:pStyle w:val="a3"/>
        <w:numPr>
          <w:ilvl w:val="0"/>
          <w:numId w:val="13"/>
        </w:numPr>
        <w:tabs>
          <w:tab w:val="left" w:pos="1134"/>
        </w:tabs>
        <w:spacing w:after="0" w:line="360" w:lineRule="auto"/>
        <w:ind w:left="0" w:firstLine="709"/>
        <w:jc w:val="both"/>
        <w:rPr>
          <w:rFonts w:ascii="Times New Roman" w:hAnsi="Times New Roman"/>
          <w:sz w:val="28"/>
          <w:szCs w:val="28"/>
          <w:lang w:val="en-US"/>
        </w:rPr>
      </w:pPr>
      <w:r w:rsidRPr="00307AAE">
        <w:rPr>
          <w:rFonts w:ascii="Times New Roman" w:hAnsi="Times New Roman"/>
          <w:sz w:val="28"/>
          <w:szCs w:val="28"/>
        </w:rPr>
        <w:t xml:space="preserve">Россияне все чаще пускают в ход оружие [Электронный ресурс]. </w:t>
      </w:r>
      <w:r w:rsidRPr="00307AAE">
        <w:rPr>
          <w:rFonts w:ascii="Times New Roman" w:hAnsi="Times New Roman"/>
          <w:sz w:val="28"/>
          <w:szCs w:val="28"/>
          <w:lang w:val="en-US"/>
        </w:rPr>
        <w:t xml:space="preserve">URL: </w:t>
      </w:r>
      <w:hyperlink r:id="rId9" w:history="1">
        <w:r w:rsidRPr="00307AAE">
          <w:rPr>
            <w:rStyle w:val="a7"/>
            <w:rFonts w:ascii="Times New Roman" w:hAnsi="Times New Roman"/>
            <w:sz w:val="28"/>
            <w:szCs w:val="28"/>
            <w:lang w:val="en-US"/>
          </w:rPr>
          <w:t>https://life.ru/t/</w:t>
        </w:r>
        <w:r w:rsidRPr="00307AAE">
          <w:rPr>
            <w:rStyle w:val="a7"/>
            <w:rFonts w:ascii="Times New Roman" w:hAnsi="Times New Roman"/>
            <w:sz w:val="28"/>
            <w:szCs w:val="28"/>
          </w:rPr>
          <w:t>главное</w:t>
        </w:r>
        <w:r w:rsidRPr="00307AAE">
          <w:rPr>
            <w:rStyle w:val="a7"/>
            <w:rFonts w:ascii="Times New Roman" w:hAnsi="Times New Roman"/>
            <w:sz w:val="28"/>
            <w:szCs w:val="28"/>
            <w:lang w:val="en-US"/>
          </w:rPr>
          <w:t>/895485/</w:t>
        </w:r>
        <w:proofErr w:type="spellStart"/>
        <w:r w:rsidRPr="00307AAE">
          <w:rPr>
            <w:rStyle w:val="a7"/>
            <w:rFonts w:ascii="Times New Roman" w:hAnsi="Times New Roman"/>
            <w:sz w:val="28"/>
            <w:szCs w:val="28"/>
            <w:lang w:val="en-US"/>
          </w:rPr>
          <w:t>rossiianie_vsio_chashchie_puskaiut_v_khod_oruzhiie</w:t>
        </w:r>
        <w:proofErr w:type="spellEnd"/>
      </w:hyperlink>
    </w:p>
    <w:sectPr w:rsidR="00B22A88" w:rsidRPr="00307AAE" w:rsidSect="00FC6BD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3AD" w:rsidRDefault="009C43AD" w:rsidP="00BB19B3">
      <w:r>
        <w:separator/>
      </w:r>
    </w:p>
  </w:endnote>
  <w:endnote w:type="continuationSeparator" w:id="0">
    <w:p w:rsidR="009C43AD" w:rsidRDefault="009C43AD" w:rsidP="00BB19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3AD" w:rsidRDefault="009C43AD" w:rsidP="00BB19B3">
      <w:r>
        <w:separator/>
      </w:r>
    </w:p>
  </w:footnote>
  <w:footnote w:type="continuationSeparator" w:id="0">
    <w:p w:rsidR="009C43AD" w:rsidRDefault="009C43AD" w:rsidP="00BB19B3">
      <w:r>
        <w:continuationSeparator/>
      </w:r>
    </w:p>
  </w:footnote>
  <w:footnote w:id="1">
    <w:p w:rsidR="00B22A88" w:rsidRDefault="00B22A88" w:rsidP="009B3D46">
      <w:pPr>
        <w:pStyle w:val="a4"/>
        <w:jc w:val="both"/>
      </w:pPr>
      <w:r w:rsidRPr="00307AAE">
        <w:rPr>
          <w:rStyle w:val="a6"/>
          <w:sz w:val="24"/>
          <w:szCs w:val="24"/>
        </w:rPr>
        <w:footnoteRef/>
      </w:r>
      <w:r w:rsidRPr="00307AAE">
        <w:rPr>
          <w:sz w:val="24"/>
          <w:szCs w:val="24"/>
        </w:rPr>
        <w:t xml:space="preserve"> См.: Данил Корецкий: По статье о необходимой обороне оправдывают 1% обвиняемых – в чем причина? [Электронный ресурс]. </w:t>
      </w:r>
      <w:r w:rsidRPr="00307AAE">
        <w:rPr>
          <w:sz w:val="24"/>
          <w:szCs w:val="24"/>
          <w:lang w:val="en-US"/>
        </w:rPr>
        <w:t>URL</w:t>
      </w:r>
      <w:r w:rsidRPr="00307AAE">
        <w:rPr>
          <w:sz w:val="24"/>
          <w:szCs w:val="24"/>
        </w:rPr>
        <w:t xml:space="preserve">: </w:t>
      </w:r>
      <w:hyperlink r:id="rId1" w:history="1">
        <w:r w:rsidRPr="00307AAE">
          <w:rPr>
            <w:rStyle w:val="a7"/>
            <w:sz w:val="24"/>
            <w:szCs w:val="24"/>
            <w:lang w:val="en-US"/>
          </w:rPr>
          <w:t>https</w:t>
        </w:r>
        <w:r w:rsidRPr="00307AAE">
          <w:rPr>
            <w:rStyle w:val="a7"/>
            <w:sz w:val="24"/>
            <w:szCs w:val="24"/>
          </w:rPr>
          <w:t>://</w:t>
        </w:r>
        <w:r w:rsidRPr="00307AAE">
          <w:rPr>
            <w:rStyle w:val="a7"/>
            <w:sz w:val="24"/>
            <w:szCs w:val="24"/>
            <w:lang w:val="en-US"/>
          </w:rPr>
          <w:t>big</w:t>
        </w:r>
        <w:r w:rsidRPr="00307AAE">
          <w:rPr>
            <w:rStyle w:val="a7"/>
            <w:sz w:val="24"/>
            <w:szCs w:val="24"/>
          </w:rPr>
          <w:t>-</w:t>
        </w:r>
        <w:proofErr w:type="spellStart"/>
        <w:r w:rsidRPr="00307AAE">
          <w:rPr>
            <w:rStyle w:val="a7"/>
            <w:sz w:val="24"/>
            <w:szCs w:val="24"/>
            <w:lang w:val="en-US"/>
          </w:rPr>
          <w:t>rostov</w:t>
        </w:r>
        <w:proofErr w:type="spellEnd"/>
        <w:r w:rsidRPr="00307AAE">
          <w:rPr>
            <w:rStyle w:val="a7"/>
            <w:sz w:val="24"/>
            <w:szCs w:val="24"/>
          </w:rPr>
          <w:t>.</w:t>
        </w:r>
        <w:proofErr w:type="spellStart"/>
        <w:r w:rsidRPr="00307AAE">
          <w:rPr>
            <w:rStyle w:val="a7"/>
            <w:sz w:val="24"/>
            <w:szCs w:val="24"/>
            <w:lang w:val="en-US"/>
          </w:rPr>
          <w:t>ru</w:t>
        </w:r>
        <w:proofErr w:type="spellEnd"/>
        <w:r w:rsidRPr="00307AAE">
          <w:rPr>
            <w:rStyle w:val="a7"/>
            <w:sz w:val="24"/>
            <w:szCs w:val="24"/>
          </w:rPr>
          <w:t>/</w:t>
        </w:r>
        <w:proofErr w:type="spellStart"/>
        <w:r w:rsidRPr="00307AAE">
          <w:rPr>
            <w:rStyle w:val="a7"/>
            <w:sz w:val="24"/>
            <w:szCs w:val="24"/>
            <w:lang w:val="en-US"/>
          </w:rPr>
          <w:t>danil</w:t>
        </w:r>
        <w:proofErr w:type="spellEnd"/>
        <w:r w:rsidRPr="00307AAE">
          <w:rPr>
            <w:rStyle w:val="a7"/>
            <w:sz w:val="24"/>
            <w:szCs w:val="24"/>
          </w:rPr>
          <w:t>-</w:t>
        </w:r>
        <w:proofErr w:type="spellStart"/>
        <w:r w:rsidRPr="00307AAE">
          <w:rPr>
            <w:rStyle w:val="a7"/>
            <w:sz w:val="24"/>
            <w:szCs w:val="24"/>
            <w:lang w:val="en-US"/>
          </w:rPr>
          <w:t>koreckij</w:t>
        </w:r>
        <w:proofErr w:type="spellEnd"/>
        <w:r w:rsidRPr="00307AAE">
          <w:rPr>
            <w:rStyle w:val="a7"/>
            <w:sz w:val="24"/>
            <w:szCs w:val="24"/>
          </w:rPr>
          <w:t>-</w:t>
        </w:r>
        <w:proofErr w:type="spellStart"/>
        <w:r w:rsidRPr="00307AAE">
          <w:rPr>
            <w:rStyle w:val="a7"/>
            <w:sz w:val="24"/>
            <w:szCs w:val="24"/>
            <w:lang w:val="en-US"/>
          </w:rPr>
          <w:t>po</w:t>
        </w:r>
        <w:proofErr w:type="spellEnd"/>
        <w:r w:rsidRPr="00307AAE">
          <w:rPr>
            <w:rStyle w:val="a7"/>
            <w:sz w:val="24"/>
            <w:szCs w:val="24"/>
          </w:rPr>
          <w:t>-</w:t>
        </w:r>
        <w:r w:rsidRPr="00307AAE">
          <w:rPr>
            <w:rStyle w:val="a7"/>
            <w:sz w:val="24"/>
            <w:szCs w:val="24"/>
            <w:lang w:val="en-US"/>
          </w:rPr>
          <w:t>state</w:t>
        </w:r>
        <w:r w:rsidRPr="00307AAE">
          <w:rPr>
            <w:rStyle w:val="a7"/>
            <w:sz w:val="24"/>
            <w:szCs w:val="24"/>
          </w:rPr>
          <w:t>-</w:t>
        </w:r>
        <w:r w:rsidRPr="00307AAE">
          <w:rPr>
            <w:rStyle w:val="a7"/>
            <w:sz w:val="24"/>
            <w:szCs w:val="24"/>
            <w:lang w:val="en-US"/>
          </w:rPr>
          <w:t>o</w:t>
        </w:r>
        <w:r w:rsidRPr="00307AAE">
          <w:rPr>
            <w:rStyle w:val="a7"/>
            <w:sz w:val="24"/>
            <w:szCs w:val="24"/>
          </w:rPr>
          <w:t>-</w:t>
        </w:r>
        <w:proofErr w:type="spellStart"/>
        <w:r w:rsidRPr="00307AAE">
          <w:rPr>
            <w:rStyle w:val="a7"/>
            <w:sz w:val="24"/>
            <w:szCs w:val="24"/>
            <w:lang w:val="en-US"/>
          </w:rPr>
          <w:t>neobxodimoj</w:t>
        </w:r>
        <w:proofErr w:type="spellEnd"/>
        <w:r w:rsidRPr="00307AAE">
          <w:rPr>
            <w:rStyle w:val="a7"/>
            <w:sz w:val="24"/>
            <w:szCs w:val="24"/>
          </w:rPr>
          <w:t>-</w:t>
        </w:r>
        <w:proofErr w:type="spellStart"/>
        <w:r w:rsidRPr="00307AAE">
          <w:rPr>
            <w:rStyle w:val="a7"/>
            <w:sz w:val="24"/>
            <w:szCs w:val="24"/>
            <w:lang w:val="en-US"/>
          </w:rPr>
          <w:t>oborone</w:t>
        </w:r>
        <w:proofErr w:type="spellEnd"/>
        <w:r w:rsidRPr="00307AAE">
          <w:rPr>
            <w:rStyle w:val="a7"/>
            <w:sz w:val="24"/>
            <w:szCs w:val="24"/>
          </w:rPr>
          <w:t>-</w:t>
        </w:r>
        <w:proofErr w:type="spellStart"/>
        <w:r w:rsidRPr="00307AAE">
          <w:rPr>
            <w:rStyle w:val="a7"/>
            <w:sz w:val="24"/>
            <w:szCs w:val="24"/>
            <w:lang w:val="en-US"/>
          </w:rPr>
          <w:t>opravdyvayut</w:t>
        </w:r>
        <w:proofErr w:type="spellEnd"/>
        <w:r w:rsidRPr="00307AAE">
          <w:rPr>
            <w:rStyle w:val="a7"/>
            <w:sz w:val="24"/>
            <w:szCs w:val="24"/>
          </w:rPr>
          <w:t>-1-</w:t>
        </w:r>
        <w:proofErr w:type="spellStart"/>
        <w:r w:rsidRPr="00307AAE">
          <w:rPr>
            <w:rStyle w:val="a7"/>
            <w:sz w:val="24"/>
            <w:szCs w:val="24"/>
            <w:lang w:val="en-US"/>
          </w:rPr>
          <w:t>obvinyaemyx</w:t>
        </w:r>
        <w:proofErr w:type="spellEnd"/>
        <w:r w:rsidRPr="00307AAE">
          <w:rPr>
            <w:rStyle w:val="a7"/>
            <w:sz w:val="24"/>
            <w:szCs w:val="24"/>
          </w:rPr>
          <w:t>-</w:t>
        </w:r>
        <w:r w:rsidRPr="00307AAE">
          <w:rPr>
            <w:rStyle w:val="a7"/>
            <w:sz w:val="24"/>
            <w:szCs w:val="24"/>
            <w:lang w:val="en-US"/>
          </w:rPr>
          <w:t>v</w:t>
        </w:r>
        <w:r w:rsidRPr="00307AAE">
          <w:rPr>
            <w:rStyle w:val="a7"/>
            <w:sz w:val="24"/>
            <w:szCs w:val="24"/>
          </w:rPr>
          <w:t>-</w:t>
        </w:r>
        <w:proofErr w:type="spellStart"/>
        <w:r w:rsidRPr="00307AAE">
          <w:rPr>
            <w:rStyle w:val="a7"/>
            <w:sz w:val="24"/>
            <w:szCs w:val="24"/>
            <w:lang w:val="en-US"/>
          </w:rPr>
          <w:t>chem</w:t>
        </w:r>
        <w:proofErr w:type="spellEnd"/>
        <w:r w:rsidRPr="00307AAE">
          <w:rPr>
            <w:rStyle w:val="a7"/>
            <w:sz w:val="24"/>
            <w:szCs w:val="24"/>
          </w:rPr>
          <w:t>-</w:t>
        </w:r>
        <w:proofErr w:type="spellStart"/>
        <w:r w:rsidRPr="00307AAE">
          <w:rPr>
            <w:rStyle w:val="a7"/>
            <w:sz w:val="24"/>
            <w:szCs w:val="24"/>
            <w:lang w:val="en-US"/>
          </w:rPr>
          <w:t>prichina</w:t>
        </w:r>
        <w:proofErr w:type="spellEnd"/>
        <w:r w:rsidRPr="00307AAE">
          <w:rPr>
            <w:rStyle w:val="a7"/>
            <w:sz w:val="24"/>
            <w:szCs w:val="24"/>
          </w:rPr>
          <w:t>/</w:t>
        </w:r>
      </w:hyperlink>
      <w:r w:rsidRPr="00307AAE">
        <w:rPr>
          <w:sz w:val="24"/>
          <w:szCs w:val="24"/>
        </w:rPr>
        <w:t xml:space="preserve"> (дата обращения: 15.10.2019).</w:t>
      </w:r>
    </w:p>
  </w:footnote>
  <w:footnote w:id="2">
    <w:p w:rsidR="00B22A88" w:rsidRDefault="00B22A88" w:rsidP="00366A54">
      <w:pPr>
        <w:pStyle w:val="a4"/>
        <w:jc w:val="both"/>
      </w:pPr>
      <w:r w:rsidRPr="00307AAE">
        <w:rPr>
          <w:rStyle w:val="a6"/>
          <w:sz w:val="24"/>
          <w:szCs w:val="24"/>
        </w:rPr>
        <w:footnoteRef/>
      </w:r>
      <w:r w:rsidRPr="00307AAE">
        <w:rPr>
          <w:sz w:val="24"/>
          <w:szCs w:val="24"/>
        </w:rPr>
        <w:t xml:space="preserve"> См.: Гончар В.В. Некоторые аспекты реализации права на необходимую оборону [Электронный ресурс]. </w:t>
      </w:r>
      <w:r w:rsidRPr="00307AAE">
        <w:rPr>
          <w:sz w:val="24"/>
          <w:szCs w:val="24"/>
          <w:lang w:val="en-US"/>
        </w:rPr>
        <w:t>URL</w:t>
      </w:r>
      <w:r w:rsidRPr="00307AAE">
        <w:rPr>
          <w:sz w:val="24"/>
          <w:szCs w:val="24"/>
        </w:rPr>
        <w:t xml:space="preserve">: </w:t>
      </w:r>
      <w:hyperlink r:id="rId2" w:history="1">
        <w:r w:rsidRPr="00307AAE">
          <w:rPr>
            <w:rStyle w:val="a7"/>
            <w:sz w:val="24"/>
            <w:szCs w:val="24"/>
          </w:rPr>
          <w:t>https://eot.su/tags/neobkhodimaya-oborona</w:t>
        </w:r>
      </w:hyperlink>
      <w:r w:rsidRPr="00307AAE">
        <w:rPr>
          <w:sz w:val="24"/>
          <w:szCs w:val="24"/>
        </w:rPr>
        <w:t xml:space="preserve"> (дата обращения: 15.10.2019).</w:t>
      </w:r>
    </w:p>
  </w:footnote>
  <w:footnote w:id="3">
    <w:p w:rsidR="00B22A88" w:rsidRDefault="00B22A88" w:rsidP="0016163F">
      <w:pPr>
        <w:pStyle w:val="a4"/>
        <w:jc w:val="both"/>
      </w:pPr>
      <w:r w:rsidRPr="00307AAE">
        <w:rPr>
          <w:rStyle w:val="a6"/>
          <w:sz w:val="24"/>
          <w:szCs w:val="24"/>
        </w:rPr>
        <w:footnoteRef/>
      </w:r>
      <w:r w:rsidRPr="00307AAE">
        <w:rPr>
          <w:sz w:val="24"/>
          <w:szCs w:val="24"/>
        </w:rPr>
        <w:t xml:space="preserve"> См.: Россияне все чаще пускают в ход оружие [Электронный ресурс]. </w:t>
      </w:r>
      <w:r w:rsidRPr="00307AAE">
        <w:rPr>
          <w:sz w:val="24"/>
          <w:szCs w:val="24"/>
          <w:lang w:val="en-US"/>
        </w:rPr>
        <w:t>URL</w:t>
      </w:r>
      <w:r w:rsidRPr="00307AAE">
        <w:rPr>
          <w:sz w:val="24"/>
          <w:szCs w:val="24"/>
        </w:rPr>
        <w:t xml:space="preserve">: </w:t>
      </w:r>
      <w:hyperlink r:id="rId3" w:history="1">
        <w:r w:rsidRPr="00307AAE">
          <w:rPr>
            <w:rStyle w:val="a7"/>
            <w:sz w:val="24"/>
            <w:szCs w:val="24"/>
          </w:rPr>
          <w:t>https://</w:t>
        </w:r>
        <w:r w:rsidRPr="00307AAE">
          <w:rPr>
            <w:rStyle w:val="a7"/>
            <w:sz w:val="24"/>
            <w:szCs w:val="24"/>
            <w:lang w:val="en-US"/>
          </w:rPr>
          <w:t>l</w:t>
        </w:r>
        <w:r w:rsidRPr="00307AAE">
          <w:rPr>
            <w:rStyle w:val="a7"/>
            <w:sz w:val="24"/>
            <w:szCs w:val="24"/>
          </w:rPr>
          <w:t>ife.ru/t/главное/895485/rossiianie_vsio_chashchie_puskaiut_v_khod_oruzhiie</w:t>
        </w:r>
      </w:hyperlink>
      <w:r w:rsidRPr="00307AAE">
        <w:rPr>
          <w:sz w:val="24"/>
          <w:szCs w:val="24"/>
        </w:rPr>
        <w:t xml:space="preserve"> (дата обращения: 15.10.2019).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3526"/>
    <w:multiLevelType w:val="hybridMultilevel"/>
    <w:tmpl w:val="6624EE1C"/>
    <w:lvl w:ilvl="0" w:tplc="705285D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4DD4C19"/>
    <w:multiLevelType w:val="hybridMultilevel"/>
    <w:tmpl w:val="3DC66668"/>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2">
    <w:nsid w:val="0CF70ED3"/>
    <w:multiLevelType w:val="hybridMultilevel"/>
    <w:tmpl w:val="AD2CE7FE"/>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3">
    <w:nsid w:val="18995B04"/>
    <w:multiLevelType w:val="multilevel"/>
    <w:tmpl w:val="51D24B3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9686401"/>
    <w:multiLevelType w:val="hybridMultilevel"/>
    <w:tmpl w:val="702841E0"/>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5">
    <w:nsid w:val="1ACC40AA"/>
    <w:multiLevelType w:val="multilevel"/>
    <w:tmpl w:val="F050C5CA"/>
    <w:lvl w:ilvl="0">
      <w:start w:val="1"/>
      <w:numFmt w:val="bullet"/>
      <w:lvlText w:val=""/>
      <w:lvlJc w:val="left"/>
      <w:pPr>
        <w:ind w:left="720" w:hanging="360"/>
      </w:pPr>
      <w:rPr>
        <w:rFonts w:ascii="Symbol" w:hAnsi="Symbol" w:hint="default"/>
      </w:rPr>
    </w:lvl>
    <w:lvl w:ilvl="1">
      <w:start w:val="3"/>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
    <w:nsid w:val="24FB5DF6"/>
    <w:multiLevelType w:val="hybridMultilevel"/>
    <w:tmpl w:val="C5FAB3BA"/>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7">
    <w:nsid w:val="3550044F"/>
    <w:multiLevelType w:val="hybridMultilevel"/>
    <w:tmpl w:val="CE5891CE"/>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8">
    <w:nsid w:val="38037787"/>
    <w:multiLevelType w:val="hybridMultilevel"/>
    <w:tmpl w:val="82CE77EA"/>
    <w:lvl w:ilvl="0" w:tplc="313E76F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0485224"/>
    <w:multiLevelType w:val="hybridMultilevel"/>
    <w:tmpl w:val="D5769DF4"/>
    <w:lvl w:ilvl="0" w:tplc="313E76F8">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0">
    <w:nsid w:val="57C60DC7"/>
    <w:multiLevelType w:val="hybridMultilevel"/>
    <w:tmpl w:val="55064F0A"/>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1">
    <w:nsid w:val="741633C4"/>
    <w:multiLevelType w:val="hybridMultilevel"/>
    <w:tmpl w:val="33EEAAAC"/>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2">
    <w:nsid w:val="7DC12F15"/>
    <w:multiLevelType w:val="hybridMultilevel"/>
    <w:tmpl w:val="FD4A9B84"/>
    <w:lvl w:ilvl="0" w:tplc="313E76F8">
      <w:start w:val="1"/>
      <w:numFmt w:val="bullet"/>
      <w:lvlText w:val=""/>
      <w:lvlJc w:val="left"/>
      <w:pPr>
        <w:ind w:left="-66" w:hanging="360"/>
      </w:pPr>
      <w:rPr>
        <w:rFonts w:ascii="Symbol" w:hAnsi="Symbol"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num w:numId="1">
    <w:abstractNumId w:val="10"/>
  </w:num>
  <w:num w:numId="2">
    <w:abstractNumId w:val="11"/>
  </w:num>
  <w:num w:numId="3">
    <w:abstractNumId w:val="4"/>
  </w:num>
  <w:num w:numId="4">
    <w:abstractNumId w:val="12"/>
  </w:num>
  <w:num w:numId="5">
    <w:abstractNumId w:val="9"/>
  </w:num>
  <w:num w:numId="6">
    <w:abstractNumId w:val="2"/>
  </w:num>
  <w:num w:numId="7">
    <w:abstractNumId w:val="1"/>
  </w:num>
  <w:num w:numId="8">
    <w:abstractNumId w:val="6"/>
  </w:num>
  <w:num w:numId="9">
    <w:abstractNumId w:val="5"/>
  </w:num>
  <w:num w:numId="10">
    <w:abstractNumId w:val="3"/>
  </w:num>
  <w:num w:numId="11">
    <w:abstractNumId w:val="7"/>
  </w:num>
  <w:num w:numId="12">
    <w:abstractNumId w:val="8"/>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B19B3"/>
    <w:rsid w:val="000272CB"/>
    <w:rsid w:val="00086B03"/>
    <w:rsid w:val="000B34E7"/>
    <w:rsid w:val="0016163F"/>
    <w:rsid w:val="00192E99"/>
    <w:rsid w:val="001C0039"/>
    <w:rsid w:val="00216B97"/>
    <w:rsid w:val="0028783D"/>
    <w:rsid w:val="002968C5"/>
    <w:rsid w:val="00307AAE"/>
    <w:rsid w:val="00354755"/>
    <w:rsid w:val="00366A54"/>
    <w:rsid w:val="00394715"/>
    <w:rsid w:val="003B6224"/>
    <w:rsid w:val="003E4376"/>
    <w:rsid w:val="004A55D9"/>
    <w:rsid w:val="004A6B4D"/>
    <w:rsid w:val="004D183B"/>
    <w:rsid w:val="004E3697"/>
    <w:rsid w:val="00515C58"/>
    <w:rsid w:val="00520FE0"/>
    <w:rsid w:val="00564EE8"/>
    <w:rsid w:val="005A50D0"/>
    <w:rsid w:val="005C5753"/>
    <w:rsid w:val="005D5971"/>
    <w:rsid w:val="005D63E7"/>
    <w:rsid w:val="0060162F"/>
    <w:rsid w:val="00683B00"/>
    <w:rsid w:val="006A759A"/>
    <w:rsid w:val="006F607A"/>
    <w:rsid w:val="007B5E66"/>
    <w:rsid w:val="007B6906"/>
    <w:rsid w:val="008D5AB6"/>
    <w:rsid w:val="009022DC"/>
    <w:rsid w:val="0092464C"/>
    <w:rsid w:val="00960842"/>
    <w:rsid w:val="009645A7"/>
    <w:rsid w:val="009755EE"/>
    <w:rsid w:val="009957DF"/>
    <w:rsid w:val="009B3D46"/>
    <w:rsid w:val="009C43AD"/>
    <w:rsid w:val="009C74AD"/>
    <w:rsid w:val="00A65F44"/>
    <w:rsid w:val="00A9073A"/>
    <w:rsid w:val="00B22A88"/>
    <w:rsid w:val="00BB19B3"/>
    <w:rsid w:val="00C06B7E"/>
    <w:rsid w:val="00C146C0"/>
    <w:rsid w:val="00C36125"/>
    <w:rsid w:val="00C55132"/>
    <w:rsid w:val="00C562E5"/>
    <w:rsid w:val="00C9147D"/>
    <w:rsid w:val="00CD06A7"/>
    <w:rsid w:val="00CE4029"/>
    <w:rsid w:val="00D2391B"/>
    <w:rsid w:val="00D7239D"/>
    <w:rsid w:val="00DB3F6A"/>
    <w:rsid w:val="00DE1AA6"/>
    <w:rsid w:val="00E170E2"/>
    <w:rsid w:val="00E35811"/>
    <w:rsid w:val="00E4229C"/>
    <w:rsid w:val="00E67F98"/>
    <w:rsid w:val="00ED4C27"/>
    <w:rsid w:val="00F41F76"/>
    <w:rsid w:val="00F63EA8"/>
    <w:rsid w:val="00FB0958"/>
    <w:rsid w:val="00FC0441"/>
    <w:rsid w:val="00FC6BDE"/>
    <w:rsid w:val="00FD7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958"/>
    <w:rPr>
      <w:sz w:val="24"/>
      <w:szCs w:val="24"/>
    </w:rPr>
  </w:style>
  <w:style w:type="paragraph" w:styleId="2">
    <w:name w:val="heading 2"/>
    <w:basedOn w:val="a"/>
    <w:next w:val="a"/>
    <w:link w:val="20"/>
    <w:autoRedefine/>
    <w:uiPriority w:val="99"/>
    <w:qFormat/>
    <w:rsid w:val="00FB0958"/>
    <w:pPr>
      <w:keepNext/>
      <w:tabs>
        <w:tab w:val="left" w:pos="1740"/>
        <w:tab w:val="center" w:pos="5102"/>
      </w:tabs>
      <w:jc w:val="center"/>
      <w:outlineLvl w:val="1"/>
    </w:pPr>
    <w:rPr>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B0958"/>
    <w:rPr>
      <w:rFonts w:cs="Times New Roman"/>
      <w:b/>
      <w:bCs/>
      <w:i/>
      <w:iCs/>
      <w:sz w:val="24"/>
      <w:szCs w:val="24"/>
      <w:lang w:eastAsia="ru-RU"/>
    </w:rPr>
  </w:style>
  <w:style w:type="paragraph" w:styleId="1">
    <w:name w:val="toc 1"/>
    <w:basedOn w:val="a"/>
    <w:next w:val="a"/>
    <w:autoRedefine/>
    <w:uiPriority w:val="99"/>
    <w:rsid w:val="00E4229C"/>
    <w:pPr>
      <w:spacing w:after="100"/>
      <w:jc w:val="center"/>
    </w:pPr>
    <w:rPr>
      <w:b/>
      <w:sz w:val="28"/>
    </w:rPr>
  </w:style>
  <w:style w:type="paragraph" w:styleId="a3">
    <w:name w:val="List Paragraph"/>
    <w:basedOn w:val="a"/>
    <w:uiPriority w:val="99"/>
    <w:qFormat/>
    <w:rsid w:val="00FB0958"/>
    <w:pPr>
      <w:spacing w:after="200" w:line="276" w:lineRule="auto"/>
      <w:ind w:left="720"/>
      <w:contextualSpacing/>
    </w:pPr>
    <w:rPr>
      <w:rFonts w:ascii="Calibri" w:hAnsi="Calibri"/>
      <w:sz w:val="22"/>
      <w:szCs w:val="22"/>
      <w:lang w:eastAsia="en-US"/>
    </w:rPr>
  </w:style>
  <w:style w:type="paragraph" w:styleId="a4">
    <w:name w:val="footnote text"/>
    <w:basedOn w:val="a"/>
    <w:link w:val="a5"/>
    <w:uiPriority w:val="99"/>
    <w:semiHidden/>
    <w:rsid w:val="00BB19B3"/>
    <w:rPr>
      <w:sz w:val="20"/>
      <w:szCs w:val="20"/>
    </w:rPr>
  </w:style>
  <w:style w:type="character" w:customStyle="1" w:styleId="a5">
    <w:name w:val="Текст сноски Знак"/>
    <w:basedOn w:val="a0"/>
    <w:link w:val="a4"/>
    <w:uiPriority w:val="99"/>
    <w:semiHidden/>
    <w:locked/>
    <w:rsid w:val="00BB19B3"/>
    <w:rPr>
      <w:rFonts w:cs="Times New Roman"/>
      <w:lang w:eastAsia="ru-RU"/>
    </w:rPr>
  </w:style>
  <w:style w:type="character" w:styleId="a6">
    <w:name w:val="footnote reference"/>
    <w:basedOn w:val="a0"/>
    <w:uiPriority w:val="99"/>
    <w:semiHidden/>
    <w:rsid w:val="00BB19B3"/>
    <w:rPr>
      <w:rFonts w:cs="Times New Roman"/>
      <w:vertAlign w:val="superscript"/>
    </w:rPr>
  </w:style>
  <w:style w:type="character" w:styleId="a7">
    <w:name w:val="Hyperlink"/>
    <w:basedOn w:val="a0"/>
    <w:uiPriority w:val="99"/>
    <w:rsid w:val="00BB19B3"/>
    <w:rPr>
      <w:rFonts w:cs="Times New Roman"/>
      <w:color w:val="0000FF"/>
      <w:u w:val="single"/>
    </w:rPr>
  </w:style>
  <w:style w:type="paragraph" w:styleId="a8">
    <w:name w:val="Normal (Web)"/>
    <w:basedOn w:val="a"/>
    <w:uiPriority w:val="99"/>
    <w:semiHidden/>
    <w:rsid w:val="00192E9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g-rostov.ru/danil-koreckij-po-state-o-neobxodimoj-oborone-opravdyvayut-1-obvinyaemyx-v-chem-prichina/" TargetMode="External"/><Relationship Id="rId3" Type="http://schemas.openxmlformats.org/officeDocument/2006/relationships/settings" Target="settings.xml"/><Relationship Id="rId7" Type="http://schemas.openxmlformats.org/officeDocument/2006/relationships/hyperlink" Target="https://eot.su/tags/neobkhodimaya-oboro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ife.ru/t/&#1075;&#1083;&#1072;&#1074;&#1085;&#1086;&#1077;/895485/rossiianie_vsio_chashchie_puskaiut_v_khod_oruzhii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ife.ru/t/&#1075;&#1083;&#1072;&#1074;&#1085;&#1086;&#1077;/895485/rossiianie_vsio_chashchie_puskaiut_v_khod_oruzhiie" TargetMode="External"/><Relationship Id="rId2" Type="http://schemas.openxmlformats.org/officeDocument/2006/relationships/hyperlink" Target="https://eot.su/tags/neobkhodimaya-oborona" TargetMode="External"/><Relationship Id="rId1" Type="http://schemas.openxmlformats.org/officeDocument/2006/relationships/hyperlink" Target="https://big-rostov.ru/danil-koreckij-po-state-o-neobxodimoj-oborone-opravdyvayut-1-obvinyaemyx-v-chem-prich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1871</Words>
  <Characters>10669</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 ПК</dc:creator>
  <cp:lastModifiedBy>mccoy</cp:lastModifiedBy>
  <cp:revision>2</cp:revision>
  <dcterms:created xsi:type="dcterms:W3CDTF">2019-11-24T14:42:00Z</dcterms:created>
  <dcterms:modified xsi:type="dcterms:W3CDTF">2019-11-24T14:42:00Z</dcterms:modified>
</cp:coreProperties>
</file>