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B1F" w:rsidRDefault="009F4B1F" w:rsidP="009F4B1F">
      <w:pPr>
        <w:spacing w:line="360" w:lineRule="auto"/>
        <w:jc w:val="right"/>
      </w:pPr>
      <w:r>
        <w:t>Троценко Диана Денисовна</w:t>
      </w:r>
    </w:p>
    <w:p w:rsidR="009F4B1F" w:rsidRDefault="009F4B1F" w:rsidP="009F4B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Статья по арбитражному процессу на тему:</w:t>
      </w:r>
    </w:p>
    <w:p w:rsidR="009F4B1F" w:rsidRDefault="009F4B1F" w:rsidP="009F4B1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«Особенности рассмотрения споров в долевом участии в строительстве».</w:t>
      </w:r>
    </w:p>
    <w:p w:rsidR="009F4B1F" w:rsidRDefault="009F4B1F" w:rsidP="009F4B1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9F4B1F" w:rsidRDefault="009F4B1F" w:rsidP="009F4B1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32"/>
        </w:rPr>
        <w:tab/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основных направлений деятельности арбитражных судов является рассмотрение и разрешение споров по участию физических и юридических лиц в долевом уча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стии в строительстве. В большинстве случаев  это 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>суд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 с застройщиком или заказчиком(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>досудебные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судебные споры участника долевого строительства с застройщиком,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возникают 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участием в долевом строительстве многоквартирных домов и иных объектов недвижимости, которые на момент привлечения денежных средств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введены в эксплуатацию в установленном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>порядке.</w:t>
      </w:r>
    </w:p>
    <w:p w:rsidR="009F4B1F" w:rsidRPr="009B2B95" w:rsidRDefault="009F4B1F" w:rsidP="009F4B1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Почему споры в долевом участии в строительстве довольно сложные и в чем же их особенности их рассмотрения?</w:t>
      </w:r>
    </w:p>
    <w:p w:rsidR="009F4B1F" w:rsidRPr="009B2B95" w:rsidRDefault="009F4B1F" w:rsidP="009F4B1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Строительные споры по участию в долевом стро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ительстве (суды с застройщиком) являются одной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самых сложных категорий судебных (арбитражных) споров. Сложность данной категории 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выражается в том</w:t>
      </w: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>, что суд с застройщиком возникает из строительных отношений по долевому строительству.</w:t>
      </w:r>
    </w:p>
    <w:p w:rsidR="009F4B1F" w:rsidRPr="009B2B95" w:rsidRDefault="009F4B1F" w:rsidP="009F4B1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Строительные отношения в сфере долевого строительства регламентируются как общими, так и специальными нормами законодательства. Основным нормативным правовым актом, который регулирует долевое строительство является Федеральный закон от 30.12.2004г.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9F4B1F" w:rsidRPr="009B2B95" w:rsidRDefault="009F4B1F" w:rsidP="009F4B1F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2B9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Споры в сфере долевого строительства (суды с застройщиком или иным лицом, привлекающим денежные средства)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меют ярко выраженную специфику, которая выражается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особенностями правового регулирования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договора участия в долевом строительстве и сферы строительства, применением иных договорных конструкций, направленных на привлечение денежных средств для строительства многоквартирных домов и иных объектов недвижимости,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также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обход положений закона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долевом строительстве. Пытаясь привлечь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привлечь денежные средства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незаконно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строительства, на практике используются договоры раз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ных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видов. В частности, используют договор займа, обязательства по которому прекращаются предоставлением отступного в виде соответствующего объекта недвижимости, предварительный договор купли-продажи, договор о выдаче векселя, партнёрское соглашение с застройщиком о совместном строительстве и т.д</w:t>
      </w:r>
    </w:p>
    <w:p w:rsidR="009F4B1F" w:rsidRPr="009B2B95" w:rsidRDefault="009F4B1F" w:rsidP="009F4B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Кроме того, особенности и сложности данной категории споров (суды с застройщиком или иным лицом, привлекающим денежные средства для строительства) заключаются в том, что: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Суд с застройщиком,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большинстве случаев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является спором о невыполненной работе или некачественном результате выполненной работы.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Суд с застройщиком возникает из договора, предметом которого является особый характер строительных работ различных видов, направленных на определенный результат.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Специфический предмет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договора участия в долевом строительстве (многоквартирный дом либо иной объект недвижимого имущества как конечная продукция строительного производства или законченный комплекс определенных работ по объекту строительства) и его субъектным составом.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Суд с застройщиком о некачественном результате выполненной работы определяется наличием многочисленной технической документации,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являющаяся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предпосылкой для заключения и реализации договора участия в долевом строительстве.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Как правило, при судебных спорах с застройщиком имеет место значительная длительность договорных связей между участником долевого строительства и застройщиком или иным лицом, привлекающим денежные средства для долевого строительства.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Наличием корреспондирующих прав и обязанностей сторон договора участия в долевом строительстве, иных договоров, связанных с привлечением денежных средств для строительства многоквартирных домов или иного объекта недвижимого имущества.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Суд с застройщиком, в последние годы, часто предполагает попытки со стороны застройщика обойти закон о долевом строительстве путём заключения с участником долевого строительства договоров различных видов. Например, предварительного договора купли-продажи, договора займа, обязательства по которому прекращаются предоставлением отступного в виде соответствующего объекта недвижимого имущества, договоров иных видов. При этом часто застройщик или иное лицо, привлекающее денежные средства в дальнейшем уклоняется от заключения основного договора.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При рассмотрении и разрешении данной категории споров требуются тщательная подготовка и изучение доказательственной базы, выявление соответствия качества выполненных строительных работ по договору участия в долевом строительстве, иному договору в сфере привлечения денежных средств для строительства многоквартирного дома или иного объекта недвижимости действующим техническим регламентам, строительным нормам, стандартам безопасности.</w:t>
      </w:r>
    </w:p>
    <w:p w:rsidR="009F4B1F" w:rsidRDefault="009F4B1F" w:rsidP="009F4B1F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Кроме того, н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ередко при рассмотрении и разрешении дел, связанных с долевым строительством и выполнением строительных работ, проводится досудебная или судебная строительно-техническая либо иная экспертиза.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стоит забывать о необходимости государственной регистрации договора.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Часто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застройщики уклоняются от регистрации договора участия в долевом строительстве.</w:t>
      </w:r>
    </w:p>
    <w:p w:rsidR="009F4B1F" w:rsidRDefault="009F4B1F" w:rsidP="009F4B1F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Даже при надлежащем исполнении договора часто у дольщиков возникают проблемы с государственной регистрацией права собственности на недвижимое имущество (объект долевого строительства).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Довольно часто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лица, привлекшие денежные средства и участвующие в деле по долевому строительству, пытаются доказать в суде, что они не являются застройщиками,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также,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привлечение денежных средств вне рамок закона о долевом строительстве является законным и обоснованным.</w:t>
      </w:r>
    </w:p>
    <w:p w:rsidR="009F4B1F" w:rsidRPr="00E16134" w:rsidRDefault="009F4B1F" w:rsidP="009F4B1F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Часто можно заметить, что при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заключении договоров участия в долевом строительстве или иных договоров, направленных на привлечение денежных средств для строительства, заключаются иные сопутствующие договоры.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Нередки случаи, когда дольщиков фактически понуждают заключить тот или иной договор, перенести сроки передачи квартиры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или иного объекта недвижимости или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совершить иные действия.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ри реализации договора участия в долевом строительстве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часто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происходит уступка прав требований. Необходимо учитывать нов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овведения 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законодательства относительно уступки прав требований.</w:t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B2B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Ведение споров по долевому строительству и споров, возникающих из строительных договоров, требует глубоких знаний в различных отраслях материального и процессуального права, конкретного понимания сути экономических, финансовых, хозяйственных и иных правоотношений, связанных с реализацией строительства, наличия положительного опыта представительства в судах, обширных знаний сложившейся судебной практики.</w:t>
      </w:r>
    </w:p>
    <w:p w:rsidR="009F4B1F" w:rsidRPr="00E16134" w:rsidRDefault="009F4B1F" w:rsidP="009F4B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образом, о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дин из наиболее распространенных в настоящее время способов строительства и приобретения жилья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договор долевого участия в строительстве. Большинство отношений, связанных со строительством жилья, оформляется именно как договор долевого участия. Вместе с тем такой договор прямо не регулируется гражданским законодательством, а судебная практика по данным договорам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довольно 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противоречива. Подход Высшего арбитражного суда РФ к данному вопросу отражен в Информационном письме Президиума ВАС РФ от 25 июля 2000 года № 56 «Обзор практики разрешения арбитражными судами споров, связанных с договорами на участие в строительстве». Аналогичный подход Верховного суда РФ - в «Обобщении практики рассмотрения судами РФ дел по спорам между гражданами и организациями, привлекающими денежные средства граждан для строительства многоквартирных жилых дом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ов» от 19 сентября 2002 года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Однако 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позиции высших судебных инстанций принципиально расходятся - Высший арбитражный суд квалифицирует долевое участие в строительстве, как правило, в качестве договора простого товарищества, а Верховный суд - как договор подряда.</w:t>
      </w:r>
    </w:p>
    <w:p w:rsidR="009F4B1F" w:rsidRPr="00E16134" w:rsidRDefault="009F4B1F" w:rsidP="009F4B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Важность и распространенность отношений, вытекающих из договоров долевого участия в строительстве жилья не вызывает сомнений.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Данные споры имеют свои специфические особенности и сложности. 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Учитывая необычность этих отношений, противоречивость и отсутствие единства законодательной практики, их правовое регулирование,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мой взгляд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должно осуществляться на уров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федерального закона, чтобы арбитражным судам было легче рассматривать и разрешать данные споры.</w:t>
      </w:r>
      <w:r w:rsidRPr="00E161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Хочется верить, что российским законодательством в ближайшее время данный законодательный пробел будет устранен.</w:t>
      </w:r>
    </w:p>
    <w:p w:rsidR="009F4B1F" w:rsidRDefault="009F4B1F" w:rsidP="009F4B1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4B1F" w:rsidRDefault="009F4B1F" w:rsidP="009F4B1F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Pr="00CF3312">
          <w:rPr>
            <w:rStyle w:val="a3"/>
            <w:rFonts w:ascii="Times New Roman" w:hAnsi="Times New Roman" w:cs="Times New Roman"/>
            <w:sz w:val="28"/>
            <w:szCs w:val="28"/>
          </w:rPr>
          <w:t>DianaTrotsenko33@mail.ru</w:t>
        </w:r>
      </w:hyperlink>
    </w:p>
    <w:p w:rsidR="00202CD4" w:rsidRDefault="009F4B1F" w:rsidP="009F4B1F">
      <w:pPr>
        <w:jc w:val="right"/>
      </w:pPr>
      <w:r>
        <w:t>8-938-109-64-44</w:t>
      </w:r>
      <w:bookmarkStart w:id="0" w:name="_GoBack"/>
      <w:bookmarkEnd w:id="0"/>
    </w:p>
    <w:sectPr w:rsidR="00202CD4" w:rsidSect="0035009E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1F"/>
    <w:rsid w:val="00202CD4"/>
    <w:rsid w:val="0035009E"/>
    <w:rsid w:val="004254F6"/>
    <w:rsid w:val="00655BD8"/>
    <w:rsid w:val="009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88B35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1F"/>
  </w:style>
  <w:style w:type="paragraph" w:styleId="1">
    <w:name w:val="heading 1"/>
    <w:aliases w:val="Ди1"/>
    <w:basedOn w:val="a"/>
    <w:next w:val="a"/>
    <w:link w:val="10"/>
    <w:uiPriority w:val="9"/>
    <w:qFormat/>
    <w:rsid w:val="004254F6"/>
    <w:pPr>
      <w:keepNext/>
      <w:keepLines/>
      <w:spacing w:after="40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color w:val="000000" w:themeColor="text1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Ди1 Знак"/>
    <w:basedOn w:val="a0"/>
    <w:link w:val="1"/>
    <w:uiPriority w:val="9"/>
    <w:rsid w:val="004254F6"/>
    <w:rPr>
      <w:rFonts w:ascii="Times New Roman" w:eastAsiaTheme="majorEastAsia" w:hAnsi="Times New Roman" w:cs="Times New Roman"/>
      <w:b/>
      <w:bCs/>
      <w:color w:val="000000" w:themeColor="text1"/>
      <w:sz w:val="32"/>
      <w:szCs w:val="32"/>
      <w:lang w:eastAsia="en-US"/>
    </w:rPr>
  </w:style>
  <w:style w:type="character" w:styleId="a3">
    <w:name w:val="Hyperlink"/>
    <w:basedOn w:val="a0"/>
    <w:uiPriority w:val="99"/>
    <w:unhideWhenUsed/>
    <w:rsid w:val="009F4B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1F"/>
  </w:style>
  <w:style w:type="paragraph" w:styleId="1">
    <w:name w:val="heading 1"/>
    <w:aliases w:val="Ди1"/>
    <w:basedOn w:val="a"/>
    <w:next w:val="a"/>
    <w:link w:val="10"/>
    <w:uiPriority w:val="9"/>
    <w:qFormat/>
    <w:rsid w:val="004254F6"/>
    <w:pPr>
      <w:keepNext/>
      <w:keepLines/>
      <w:spacing w:after="40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color w:val="000000" w:themeColor="text1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Ди1 Знак"/>
    <w:basedOn w:val="a0"/>
    <w:link w:val="1"/>
    <w:uiPriority w:val="9"/>
    <w:rsid w:val="004254F6"/>
    <w:rPr>
      <w:rFonts w:ascii="Times New Roman" w:eastAsiaTheme="majorEastAsia" w:hAnsi="Times New Roman" w:cs="Times New Roman"/>
      <w:b/>
      <w:bCs/>
      <w:color w:val="000000" w:themeColor="text1"/>
      <w:sz w:val="32"/>
      <w:szCs w:val="32"/>
      <w:lang w:eastAsia="en-US"/>
    </w:rPr>
  </w:style>
  <w:style w:type="character" w:styleId="a3">
    <w:name w:val="Hyperlink"/>
    <w:basedOn w:val="a0"/>
    <w:uiPriority w:val="99"/>
    <w:unhideWhenUsed/>
    <w:rsid w:val="009F4B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DianaTrotsenko33@mail.r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1258</Words>
  <Characters>7172</Characters>
  <Application>Microsoft Macintosh Word</Application>
  <DocSecurity>0</DocSecurity>
  <Lines>59</Lines>
  <Paragraphs>16</Paragraphs>
  <ScaleCrop>false</ScaleCrop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Троценко</dc:creator>
  <cp:keywords/>
  <dc:description/>
  <cp:lastModifiedBy>Диана Троценко</cp:lastModifiedBy>
  <cp:revision>1</cp:revision>
  <dcterms:created xsi:type="dcterms:W3CDTF">2019-12-17T19:50:00Z</dcterms:created>
  <dcterms:modified xsi:type="dcterms:W3CDTF">2019-12-17T19:51:00Z</dcterms:modified>
</cp:coreProperties>
</file>