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A12" w:rsidRPr="009B2B8D" w:rsidRDefault="00C26A12" w:rsidP="00D24A14">
      <w:pPr>
        <w:pStyle w:val="2"/>
        <w:spacing w:before="0" w:after="0"/>
      </w:pPr>
      <w:bookmarkStart w:id="0" w:name="_Toc503458660"/>
      <w:bookmarkStart w:id="1" w:name="_Toc504647114"/>
      <w:bookmarkStart w:id="2" w:name="_Toc1726965"/>
      <w:r w:rsidRPr="009B2B8D">
        <w:t>Научная статья</w:t>
      </w:r>
      <w:bookmarkEnd w:id="0"/>
      <w:r w:rsidRPr="009B2B8D">
        <w:t>: «</w:t>
      </w:r>
      <w:r w:rsidR="00744DBC" w:rsidRPr="009B2B8D">
        <w:t>Оценка экономических потерь при нарушении экономической и финансовой безопасности (на примере АО</w:t>
      </w:r>
      <w:r w:rsidR="0034672D" w:rsidRPr="009B2B8D">
        <w:t xml:space="preserve"> «Аэромар</w:t>
      </w:r>
      <w:r w:rsidRPr="009B2B8D">
        <w:t>»</w:t>
      </w:r>
      <w:bookmarkEnd w:id="1"/>
      <w:bookmarkEnd w:id="2"/>
      <w:r w:rsidR="00744DBC" w:rsidRPr="009B2B8D">
        <w:t>)</w:t>
      </w:r>
    </w:p>
    <w:p w:rsidR="00C26A12" w:rsidRPr="009B2B8D" w:rsidRDefault="00C26A12" w:rsidP="00D24A14">
      <w:pPr>
        <w:tabs>
          <w:tab w:val="left" w:pos="2886"/>
          <w:tab w:val="left" w:leader="underscore" w:pos="5176"/>
          <w:tab w:val="left" w:pos="6486"/>
          <w:tab w:val="left" w:leader="underscore" w:pos="86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02F7" w:rsidRPr="009B2B8D" w:rsidRDefault="00EF02F7" w:rsidP="00D24A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2B8D">
        <w:rPr>
          <w:rFonts w:ascii="Times New Roman" w:hAnsi="Times New Roman" w:cs="Times New Roman"/>
          <w:b/>
          <w:sz w:val="28"/>
          <w:szCs w:val="28"/>
          <w:lang w:eastAsia="ru-RU"/>
        </w:rPr>
        <w:t>Аннотация:</w:t>
      </w:r>
      <w:r w:rsidRPr="009B2B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4DBC" w:rsidRPr="009B2B8D">
        <w:rPr>
          <w:rFonts w:ascii="Times New Roman" w:hAnsi="Times New Roman" w:cs="Times New Roman"/>
          <w:sz w:val="28"/>
          <w:szCs w:val="28"/>
          <w:lang w:eastAsia="ru-RU"/>
        </w:rPr>
        <w:t>в данной статье рассматриваются теоретические и практические вопросы экономической безопасности, понятие и виды возможных рисков и угроз на примере А</w:t>
      </w:r>
      <w:r w:rsidR="0039069A" w:rsidRPr="009B2B8D">
        <w:rPr>
          <w:rFonts w:ascii="Times New Roman" w:hAnsi="Times New Roman" w:cs="Times New Roman"/>
          <w:sz w:val="28"/>
          <w:szCs w:val="28"/>
          <w:lang w:eastAsia="ru-RU"/>
        </w:rPr>
        <w:t xml:space="preserve">кционерного Общества «Аэромар»., </w:t>
      </w:r>
      <w:r w:rsidRPr="009B2B8D">
        <w:rPr>
          <w:rFonts w:ascii="Times New Roman" w:hAnsi="Times New Roman" w:cs="Times New Roman"/>
          <w:sz w:val="28"/>
          <w:szCs w:val="28"/>
          <w:lang w:eastAsia="ru-RU"/>
        </w:rPr>
        <w:t>проанализирован</w:t>
      </w:r>
      <w:r w:rsidR="008D10D3" w:rsidRPr="009B2B8D">
        <w:rPr>
          <w:rFonts w:ascii="Times New Roman" w:hAnsi="Times New Roman" w:cs="Times New Roman"/>
          <w:sz w:val="28"/>
          <w:szCs w:val="28"/>
          <w:lang w:eastAsia="ru-RU"/>
        </w:rPr>
        <w:t>ы финансовые показатели функционирования организации, проведен анализ вер</w:t>
      </w:r>
      <w:r w:rsidR="0039069A" w:rsidRPr="009B2B8D">
        <w:rPr>
          <w:rFonts w:ascii="Times New Roman" w:hAnsi="Times New Roman" w:cs="Times New Roman"/>
          <w:sz w:val="28"/>
          <w:szCs w:val="28"/>
          <w:lang w:eastAsia="ru-RU"/>
        </w:rPr>
        <w:t>оятности банкротства</w:t>
      </w:r>
      <w:r w:rsidR="008D10D3" w:rsidRPr="009B2B8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9B2B8D">
        <w:rPr>
          <w:rFonts w:ascii="Times New Roman" w:hAnsi="Times New Roman" w:cs="Times New Roman"/>
          <w:sz w:val="28"/>
          <w:szCs w:val="28"/>
          <w:lang w:eastAsia="ru-RU"/>
        </w:rPr>
        <w:t>рассчитаны основные показатели-индикаторы оценки финансовой безопасности</w:t>
      </w:r>
      <w:r w:rsidR="008D10D3" w:rsidRPr="009B2B8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B2B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10D3" w:rsidRPr="009B2B8D">
        <w:rPr>
          <w:rFonts w:ascii="Times New Roman" w:hAnsi="Times New Roman" w:cs="Times New Roman"/>
          <w:sz w:val="28"/>
          <w:szCs w:val="28"/>
          <w:lang w:eastAsia="ru-RU"/>
        </w:rPr>
        <w:t>исходя из которых можно судить об уровне обеспечения экономической безопасности</w:t>
      </w:r>
      <w:r w:rsidRPr="009B2B8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F02F7" w:rsidRPr="009B2B8D" w:rsidRDefault="00EF02F7" w:rsidP="00D24A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2B8D">
        <w:rPr>
          <w:rFonts w:ascii="Times New Roman" w:hAnsi="Times New Roman" w:cs="Times New Roman"/>
          <w:b/>
          <w:sz w:val="28"/>
          <w:szCs w:val="28"/>
          <w:lang w:eastAsia="ru-RU"/>
        </w:rPr>
        <w:t>Ключевые слова:</w:t>
      </w:r>
      <w:r w:rsidRPr="009B2B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10D3" w:rsidRPr="009B2B8D">
        <w:rPr>
          <w:rFonts w:ascii="Times New Roman" w:hAnsi="Times New Roman" w:cs="Times New Roman"/>
          <w:sz w:val="28"/>
          <w:szCs w:val="28"/>
          <w:lang w:eastAsia="ru-RU"/>
        </w:rPr>
        <w:t>банкротство, ликвидность, устойчивость, финан</w:t>
      </w:r>
      <w:r w:rsidR="00631F32">
        <w:rPr>
          <w:rFonts w:ascii="Times New Roman" w:hAnsi="Times New Roman" w:cs="Times New Roman"/>
          <w:sz w:val="28"/>
          <w:szCs w:val="28"/>
          <w:lang w:eastAsia="ru-RU"/>
        </w:rPr>
        <w:t>совые показатели, экономическая</w:t>
      </w:r>
      <w:r w:rsidRPr="009B2B8D">
        <w:rPr>
          <w:rFonts w:ascii="Times New Roman" w:hAnsi="Times New Roman" w:cs="Times New Roman"/>
          <w:sz w:val="28"/>
          <w:szCs w:val="28"/>
          <w:lang w:eastAsia="ru-RU"/>
        </w:rPr>
        <w:t xml:space="preserve"> безопасность</w:t>
      </w:r>
    </w:p>
    <w:p w:rsidR="008D10D3" w:rsidRPr="009B2B8D" w:rsidRDefault="008D10D3" w:rsidP="00D24A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69A" w:rsidRPr="009B2B8D" w:rsidRDefault="008D10D3" w:rsidP="00D24A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B2B8D">
        <w:rPr>
          <w:rFonts w:ascii="Times New Roman" w:hAnsi="Times New Roman" w:cs="Times New Roman"/>
          <w:b/>
          <w:sz w:val="28"/>
          <w:szCs w:val="28"/>
          <w:lang w:val="en-US"/>
        </w:rPr>
        <w:t>Abstract:</w:t>
      </w:r>
      <w:r w:rsidR="0039069A" w:rsidRPr="009B2B8D">
        <w:rPr>
          <w:rFonts w:ascii="Times New Roman" w:hAnsi="Times New Roman" w:cs="Times New Roman"/>
          <w:sz w:val="28"/>
          <w:szCs w:val="28"/>
          <w:lang w:val="en-US"/>
        </w:rPr>
        <w:t xml:space="preserve"> this article discusses theoretical and practical issues of economic security, the concept and types of possible risks and threats on the example of the Aeromar joint - Stock Company. the financial indicators of the organization's functioning are analyzed, the probability of bankruptcy is analyzed, and the main indicators-indicators of financial security assessment-are calculated, based on which it is possible to judge the level of economic security.</w:t>
      </w:r>
    </w:p>
    <w:p w:rsidR="0039069A" w:rsidRPr="009B2B8D" w:rsidRDefault="0039069A" w:rsidP="00D24A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B2B8D">
        <w:rPr>
          <w:rFonts w:ascii="Times New Roman" w:hAnsi="Times New Roman" w:cs="Times New Roman"/>
          <w:b/>
          <w:sz w:val="28"/>
          <w:szCs w:val="28"/>
          <w:lang w:val="en-US"/>
        </w:rPr>
        <w:t xml:space="preserve">Keywords: </w:t>
      </w:r>
      <w:r w:rsidRPr="009B2B8D">
        <w:rPr>
          <w:rFonts w:ascii="Times New Roman" w:hAnsi="Times New Roman" w:cs="Times New Roman"/>
          <w:sz w:val="28"/>
          <w:szCs w:val="28"/>
          <w:lang w:val="en-US"/>
        </w:rPr>
        <w:t>bankruptcy, liquidity, stability, financial indicators, economic security</w:t>
      </w:r>
    </w:p>
    <w:p w:rsidR="00691781" w:rsidRPr="009B2B8D" w:rsidRDefault="008D10D3" w:rsidP="00D24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9B2B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9069A" w:rsidRPr="009B2B8D" w:rsidRDefault="0039069A" w:rsidP="00D24A1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>Экономическая безопасность - это состояние защищенности национальной экономики от внешних и внутренних угроз, при котором обеспечиваются экономический суверенитет страны, единство ее экономического пространства, условия для реализации стратегических национальных приоритетов Российской Федерации.</w:t>
      </w:r>
    </w:p>
    <w:p w:rsidR="0034672D" w:rsidRPr="009B2B8D" w:rsidRDefault="0034672D" w:rsidP="00D24A1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Изучая существующие определения «экономическая безопасность» разными научными деятелями, можно обозначить несколько подходов к определению этого понятия: </w:t>
      </w:r>
    </w:p>
    <w:p w:rsidR="0039069A" w:rsidRPr="0039069A" w:rsidRDefault="0039069A" w:rsidP="00D24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6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Согласно Г.В. Сахарову, экономическая безопасность – это совокупность условий и факторов, обеспечивающих независимость национальной экономики, ее стабильность и устойчивость, способность к постоянному обновлению и </w:t>
      </w:r>
      <w:r w:rsidRPr="009B2B8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самосовершенствованию</w:t>
      </w:r>
      <w:r w:rsidRPr="003906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069A" w:rsidRPr="0039069A" w:rsidRDefault="0039069A" w:rsidP="00D24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69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Г. Клейнер под экономической безопасностью предприятия понимает защищенность ее значительно важных интересов от внешних и внутренних угроз. Он полагает, что существующие интересы и структура предприятия, защищены от внешних и внутренних угроз, с помощью достиже</w:t>
      </w:r>
      <w:r w:rsidRPr="009B2B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ния системы таких мер [2, с. 91]. </w:t>
      </w:r>
    </w:p>
    <w:p w:rsidR="0039069A" w:rsidRPr="0039069A" w:rsidRDefault="0039069A" w:rsidP="00D24A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39069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Л.И. Абалкин представляет определение экономической безопасности как состояние экономической системы, которое позволяет ей развиваться динамично, эффективно и решать социальные задачи и в котором государство имеет возможность вырабатывать и проводить в жизнь незав</w:t>
      </w:r>
      <w:r w:rsidRPr="009B2B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исимую экономическую политику </w:t>
      </w:r>
      <w:r w:rsidR="00631F3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[2</w:t>
      </w:r>
      <w:r w:rsidRPr="009B2B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с. 3].</w:t>
      </w:r>
    </w:p>
    <w:p w:rsidR="0039069A" w:rsidRPr="009B2B8D" w:rsidRDefault="0039069A" w:rsidP="00D24A1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69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В.К. Сенчагов под экономической безопасностью понимает такое состояние экономики и институтов власти, при котором обеспечиваются гарантированная защита национальных интересов, социальное развитие страны, оборотный капитал.</w:t>
      </w:r>
    </w:p>
    <w:p w:rsidR="0034672D" w:rsidRPr="009B2B8D" w:rsidRDefault="0034672D" w:rsidP="00D24A1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2B8D">
        <w:rPr>
          <w:rFonts w:ascii="Times New Roman" w:hAnsi="Times New Roman" w:cs="Times New Roman"/>
          <w:sz w:val="28"/>
          <w:szCs w:val="28"/>
          <w:shd w:val="clear" w:color="auto" w:fill="FFFFFF"/>
        </w:rPr>
        <w:t>Под экономической безопасностью следует понимать важнейшую качественную характеристику экономической системы, определяющую ее способность поддерживать нормальные условия жизнедеятельности населения, устойчивое обеспечение ресурсами, а также последовательная реализация национальных государственных интересов.</w:t>
      </w:r>
    </w:p>
    <w:p w:rsidR="0034672D" w:rsidRPr="009B2B8D" w:rsidRDefault="0034672D" w:rsidP="00D24A1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Можно выделить основные функциональные составляющие экономической безопасности организации, которые наглядно </w:t>
      </w:r>
      <w:r w:rsidR="00D24A14" w:rsidRPr="009B2B8D">
        <w:rPr>
          <w:rFonts w:ascii="Times New Roman" w:hAnsi="Times New Roman" w:cs="Times New Roman"/>
          <w:sz w:val="28"/>
          <w:szCs w:val="28"/>
        </w:rPr>
        <w:t>представлены на рисунке 1</w:t>
      </w:r>
      <w:r w:rsidRPr="009B2B8D">
        <w:rPr>
          <w:rFonts w:ascii="Times New Roman" w:hAnsi="Times New Roman" w:cs="Times New Roman"/>
          <w:sz w:val="28"/>
          <w:szCs w:val="28"/>
        </w:rPr>
        <w:t>.</w:t>
      </w:r>
    </w:p>
    <w:p w:rsidR="0034672D" w:rsidRPr="009B2B8D" w:rsidRDefault="0034672D" w:rsidP="00D24A1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>Экономическая безопасность системы складывается из нескольких функциональных составляющих, которые для каждой организации могут иметь различные приоритеты в зависимости от характера существующих угроз.</w:t>
      </w:r>
    </w:p>
    <w:p w:rsidR="00D24A14" w:rsidRPr="009B2B8D" w:rsidRDefault="00D24A14" w:rsidP="00D24A1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4A14" w:rsidRPr="009B2B8D" w:rsidRDefault="00D24A14" w:rsidP="00D24A14">
      <w:pPr>
        <w:widowControl w:val="0"/>
        <w:spacing w:after="0" w:line="36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76799" cy="374072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б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1704" cy="3749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72D" w:rsidRPr="009B2B8D" w:rsidRDefault="0034672D" w:rsidP="00D24A14">
      <w:pPr>
        <w:widowControl w:val="0"/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4672D" w:rsidRPr="009B2B8D" w:rsidRDefault="0034672D" w:rsidP="00D24A1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AE141E" w:rsidRPr="009B2B8D">
        <w:rPr>
          <w:rFonts w:ascii="Times New Roman" w:hAnsi="Times New Roman" w:cs="Times New Roman"/>
          <w:sz w:val="28"/>
          <w:szCs w:val="28"/>
        </w:rPr>
        <w:t>1</w:t>
      </w:r>
      <w:r w:rsidRPr="009B2B8D">
        <w:rPr>
          <w:rFonts w:ascii="Times New Roman" w:hAnsi="Times New Roman" w:cs="Times New Roman"/>
          <w:sz w:val="28"/>
          <w:szCs w:val="28"/>
        </w:rPr>
        <w:t xml:space="preserve"> </w:t>
      </w:r>
      <w:r w:rsidR="00D24A14" w:rsidRPr="009B2B8D">
        <w:rPr>
          <w:rFonts w:ascii="Times New Roman" w:hAnsi="Times New Roman" w:cs="Times New Roman"/>
          <w:sz w:val="28"/>
          <w:szCs w:val="28"/>
        </w:rPr>
        <w:t>–</w:t>
      </w:r>
      <w:r w:rsidRPr="009B2B8D">
        <w:rPr>
          <w:rFonts w:ascii="Times New Roman" w:hAnsi="Times New Roman" w:cs="Times New Roman"/>
          <w:sz w:val="28"/>
          <w:szCs w:val="28"/>
        </w:rPr>
        <w:t xml:space="preserve"> </w:t>
      </w:r>
      <w:r w:rsidR="00D24A14" w:rsidRPr="009B2B8D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9B2B8D">
        <w:rPr>
          <w:rFonts w:ascii="Times New Roman" w:hAnsi="Times New Roman" w:cs="Times New Roman"/>
          <w:sz w:val="28"/>
          <w:szCs w:val="28"/>
        </w:rPr>
        <w:t>фун</w:t>
      </w:r>
      <w:r w:rsidR="00D24A14" w:rsidRPr="009B2B8D">
        <w:rPr>
          <w:rFonts w:ascii="Times New Roman" w:hAnsi="Times New Roman" w:cs="Times New Roman"/>
          <w:sz w:val="28"/>
          <w:szCs w:val="28"/>
        </w:rPr>
        <w:t>кциональные составляющие</w:t>
      </w:r>
      <w:r w:rsidRPr="009B2B8D">
        <w:rPr>
          <w:rFonts w:ascii="Times New Roman" w:hAnsi="Times New Roman" w:cs="Times New Roman"/>
          <w:sz w:val="28"/>
          <w:szCs w:val="28"/>
        </w:rPr>
        <w:t xml:space="preserve"> экономической безопасности предприятия </w:t>
      </w:r>
    </w:p>
    <w:p w:rsidR="00D24A14" w:rsidRPr="009B2B8D" w:rsidRDefault="00D24A14" w:rsidP="00D24A1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>Экономическая безопасность имеет сложную структуру, в которой можно выделить три её важнейших части:</w:t>
      </w:r>
    </w:p>
    <w:p w:rsidR="00D24A14" w:rsidRPr="009B2B8D" w:rsidRDefault="00D24A14" w:rsidP="00D24A1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>В условиях рыночных отношений одной из главных характеристик функционирования предприятия является то, что она подвергается различным внешним и внутренним угрозам, так как действует закон рынка. Для эффективного функционирования предпринимательской деятельности необходимо провести политику выявления различных факторов риска, опасностей и угроз экономической безопасности, чтобы ослабить их воздействие на деятельность предприятия, а в дальнейшем их нейтрализовать.</w:t>
      </w:r>
    </w:p>
    <w:p w:rsidR="00D24A14" w:rsidRPr="009B2B8D" w:rsidRDefault="00D24A14" w:rsidP="00D24A1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>Для большего понимания, что такое риск и угроза, необходимо подробнее рассмотреть данные понятия.</w:t>
      </w:r>
      <w:r w:rsidRPr="009B2B8D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D24A14" w:rsidRPr="009B2B8D" w:rsidRDefault="00D24A14" w:rsidP="00D24A14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В мировой экономике, под риском понимают вероятность возникновения убытков или недополучения доходов по сравнению с прогнозируемым вариантом. Можно сформулировать и более детализированные подходы к определению этого понятия. </w:t>
      </w:r>
    </w:p>
    <w:p w:rsidR="00D24A14" w:rsidRPr="009B2B8D" w:rsidRDefault="00D24A14" w:rsidP="00D24A1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lastRenderedPageBreak/>
        <w:t>В частности, Гранатуров В.М., считает, что риск может быть определен, как уровень определенной финансовой потери, выражающейся в невозможности не достичь поставленной цели; неопределенности прогнозируемого результата; субъективности оценки прогнозируемого результата [14, с. 304].</w:t>
      </w:r>
    </w:p>
    <w:p w:rsidR="0034672D" w:rsidRPr="009B2B8D" w:rsidRDefault="0034672D" w:rsidP="00D24A1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>Стратегия экономической безопасности – это совокупность наиболее важных решений, направленных на обеспечение определенного уровня экономической безопасности деятельности предприятия.</w:t>
      </w:r>
    </w:p>
    <w:p w:rsidR="0034672D" w:rsidRPr="009B2B8D" w:rsidRDefault="0034672D" w:rsidP="00D24A1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При определении эффективности внедрения механизма экономической безопасности следует использовать: </w:t>
      </w:r>
    </w:p>
    <w:p w:rsidR="0034672D" w:rsidRPr="009B2B8D" w:rsidRDefault="0034672D" w:rsidP="00D24A14">
      <w:pPr>
        <w:pStyle w:val="a5"/>
        <w:widowControl w:val="0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для оценки потерь, ожидаемых в результате реализации угрозы, – метод сравнения выручки, затрат и прибыли до и после наступления этого события; </w:t>
      </w:r>
    </w:p>
    <w:p w:rsidR="0034672D" w:rsidRPr="009B2B8D" w:rsidRDefault="0034672D" w:rsidP="00D24A14">
      <w:pPr>
        <w:pStyle w:val="a5"/>
        <w:widowControl w:val="0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для оценки стоимости внедрения мероприятий по локализации угроз – метод минимизации общих издержек по обеспечению безопасности, основанный на расчете размера пред- и постзатрат; </w:t>
      </w:r>
    </w:p>
    <w:p w:rsidR="0034672D" w:rsidRPr="009B2B8D" w:rsidRDefault="0034672D" w:rsidP="00D24A14">
      <w:pPr>
        <w:pStyle w:val="a5"/>
        <w:widowControl w:val="0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>для оценки эффективности внедряемых мероприятий – методический подход, основанный на определении показателя эффективности в абсолютных и относительных величинах, и метод построения платежной матрицы</w:t>
      </w:r>
      <w:r w:rsidRPr="009B2B8D">
        <w:rPr>
          <w:rStyle w:val="af1"/>
          <w:rFonts w:ascii="Times New Roman" w:hAnsi="Times New Roman" w:cs="Times New Roman"/>
          <w:sz w:val="28"/>
          <w:szCs w:val="28"/>
        </w:rPr>
        <w:footnoteReference w:id="1"/>
      </w:r>
      <w:r w:rsidRPr="009B2B8D">
        <w:rPr>
          <w:rFonts w:ascii="Times New Roman" w:hAnsi="Times New Roman" w:cs="Times New Roman"/>
          <w:sz w:val="28"/>
          <w:szCs w:val="28"/>
        </w:rPr>
        <w:t>.</w:t>
      </w:r>
    </w:p>
    <w:p w:rsidR="00B57362" w:rsidRPr="009B2B8D" w:rsidRDefault="0034672D" w:rsidP="009B2B8D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Механизм обеспечения экономической безопасности функционирования предприятия призван обеспечивать создание условий, мотивирующих эффективную деятельность всех элементов предприятия, высокую степень согласованности общественных корпоративных и личных потребностей и интересов. Механизм должен способствовать обеспечению экономической безопасности на входе и выходе из системы, создать надежные условия функционирования управляющей и управляемой систем. </w:t>
      </w:r>
      <w:r w:rsidR="00B57362" w:rsidRPr="009B2B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АО «</w:t>
      </w:r>
      <w:bookmarkStart w:id="3" w:name="YANDEX_2"/>
      <w:bookmarkEnd w:id="3"/>
      <w:r w:rsidR="00B57362" w:rsidRPr="009B2B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Аэромар» является</w:t>
      </w:r>
      <w:bookmarkStart w:id="4" w:name="YANDEX_4"/>
      <w:bookmarkEnd w:id="4"/>
      <w:r w:rsidR="00B57362" w:rsidRPr="009B2B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крупнейшей</w:t>
      </w:r>
      <w:bookmarkStart w:id="5" w:name="YANDEX_5"/>
      <w:bookmarkEnd w:id="5"/>
      <w:r w:rsidR="00B57362" w:rsidRPr="009B2B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в</w:t>
      </w:r>
      <w:bookmarkStart w:id="6" w:name="YANDEX_6"/>
      <w:bookmarkEnd w:id="6"/>
      <w:r w:rsidR="00B57362" w:rsidRPr="009B2B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Российской</w:t>
      </w:r>
      <w:bookmarkStart w:id="7" w:name="YANDEX_7"/>
      <w:bookmarkEnd w:id="7"/>
      <w:r w:rsidR="00B57362" w:rsidRPr="009B2B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Федерации </w:t>
      </w:r>
      <w:bookmarkStart w:id="8" w:name="YANDEX_8"/>
      <w:bookmarkEnd w:id="8"/>
      <w:r w:rsidR="00B57362" w:rsidRPr="009B2B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компанией, осуществляющей </w:t>
      </w:r>
      <w:bookmarkStart w:id="9" w:name="YANDEX_10"/>
      <w:bookmarkEnd w:id="9"/>
      <w:r w:rsidR="00B57362" w:rsidRPr="009B2B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производство </w:t>
      </w:r>
      <w:bookmarkStart w:id="10" w:name="YANDEX_11"/>
      <w:bookmarkEnd w:id="10"/>
      <w:r w:rsidR="00B57362" w:rsidRPr="009B2B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 питания для авиапассажиров, оказывающей услуги по уборке и экипировке салонов воздушных судов, и связанные с этими услугами </w:t>
      </w:r>
      <w:r w:rsidR="00B57362" w:rsidRPr="009B2B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дополнительными функциями, а также по предоставлению торговли на борту самолета и розничной/оптовой продаже товаров SKYSHOP на земле. </w:t>
      </w:r>
    </w:p>
    <w:p w:rsidR="00D24A14" w:rsidRPr="00D24A14" w:rsidRDefault="00D24A14" w:rsidP="00D24A14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A14">
        <w:rPr>
          <w:rFonts w:ascii="Times New Roman" w:eastAsia="Times New Roman" w:hAnsi="Times New Roman" w:cs="Times New Roman"/>
          <w:sz w:val="28"/>
          <w:szCs w:val="28"/>
        </w:rPr>
        <w:t xml:space="preserve">На основе данных бухгалтерской отчетности рассчитаем основные показатели финансово-экономической деятельности АО «Аэромар» за </w:t>
      </w:r>
    </w:p>
    <w:p w:rsidR="00D24A14" w:rsidRPr="00D24A14" w:rsidRDefault="00D24A14" w:rsidP="00D24A1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4A14">
        <w:rPr>
          <w:rFonts w:ascii="Times New Roman" w:eastAsia="Times New Roman" w:hAnsi="Times New Roman" w:cs="Times New Roman"/>
          <w:sz w:val="28"/>
          <w:szCs w:val="28"/>
        </w:rPr>
        <w:t>2016-2018 гг.., проведем их</w:t>
      </w:r>
      <w:r w:rsidR="009B2B8D" w:rsidRPr="009B2B8D">
        <w:rPr>
          <w:rFonts w:ascii="Times New Roman" w:eastAsia="Times New Roman" w:hAnsi="Times New Roman" w:cs="Times New Roman"/>
          <w:sz w:val="28"/>
          <w:szCs w:val="28"/>
        </w:rPr>
        <w:t xml:space="preserve"> анализ и рассмотрим в таблице 1</w:t>
      </w:r>
      <w:r w:rsidRPr="00D24A1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4A14" w:rsidRPr="00D24A14" w:rsidRDefault="00D24A14" w:rsidP="00D24A1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4A14">
        <w:rPr>
          <w:rFonts w:ascii="Times New Roman" w:eastAsia="Calibri" w:hAnsi="Times New Roman" w:cs="Times New Roman"/>
          <w:sz w:val="28"/>
          <w:szCs w:val="28"/>
        </w:rPr>
        <w:t>Таблица</w:t>
      </w:r>
      <w:r w:rsidR="009B2B8D" w:rsidRPr="009B2B8D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Pr="00D24A14">
        <w:rPr>
          <w:rFonts w:ascii="Times New Roman" w:eastAsia="Calibri" w:hAnsi="Times New Roman" w:cs="Times New Roman"/>
          <w:sz w:val="28"/>
          <w:szCs w:val="28"/>
        </w:rPr>
        <w:t xml:space="preserve"> - Основные экономические показатели АО «Аэромар».</w:t>
      </w:r>
    </w:p>
    <w:tbl>
      <w:tblPr>
        <w:tblW w:w="949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115"/>
        <w:gridCol w:w="992"/>
        <w:gridCol w:w="992"/>
        <w:gridCol w:w="993"/>
        <w:gridCol w:w="992"/>
        <w:gridCol w:w="846"/>
        <w:gridCol w:w="1134"/>
        <w:gridCol w:w="851"/>
      </w:tblGrid>
      <w:tr w:rsidR="00D24A14" w:rsidRPr="00D24A14" w:rsidTr="00D17D11">
        <w:trPr>
          <w:trHeight w:val="676"/>
          <w:jc w:val="center"/>
        </w:trPr>
        <w:tc>
          <w:tcPr>
            <w:tcW w:w="15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Показатели</w:t>
            </w:r>
          </w:p>
        </w:tc>
        <w:tc>
          <w:tcPr>
            <w:tcW w:w="30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Год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Абсолютное отклонение, +,-</w:t>
            </w:r>
          </w:p>
        </w:tc>
        <w:tc>
          <w:tcPr>
            <w:tcW w:w="283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Относительное отклонение, %</w:t>
            </w:r>
          </w:p>
        </w:tc>
      </w:tr>
      <w:tr w:rsidR="00D24A14" w:rsidRPr="00D24A14" w:rsidTr="00D17D11">
        <w:trPr>
          <w:trHeight w:val="301"/>
          <w:jc w:val="center"/>
        </w:trPr>
        <w:tc>
          <w:tcPr>
            <w:tcW w:w="15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</w:p>
        </w:tc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2016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2017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2018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2017/</w:t>
            </w:r>
          </w:p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2016</w:t>
            </w:r>
          </w:p>
        </w:tc>
        <w:tc>
          <w:tcPr>
            <w:tcW w:w="99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2018/</w:t>
            </w:r>
          </w:p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highlight w:val="green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2017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2017/</w:t>
            </w:r>
          </w:p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2016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2018/</w:t>
            </w:r>
          </w:p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2017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2018/</w:t>
            </w:r>
          </w:p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2016</w:t>
            </w:r>
          </w:p>
        </w:tc>
      </w:tr>
      <w:tr w:rsidR="00D24A14" w:rsidRPr="00D24A14" w:rsidTr="00D17D11">
        <w:trPr>
          <w:trHeight w:val="630"/>
          <w:jc w:val="center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Выручка, тыс.руб</w:t>
            </w:r>
          </w:p>
        </w:tc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15930596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19492359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21101777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3561763</w:t>
            </w:r>
          </w:p>
        </w:tc>
        <w:tc>
          <w:tcPr>
            <w:tcW w:w="99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1609418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22.36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8.26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32.5</w:t>
            </w:r>
          </w:p>
        </w:tc>
      </w:tr>
      <w:tr w:rsidR="00D24A14" w:rsidRPr="00D24A14" w:rsidTr="00D17D11">
        <w:trPr>
          <w:trHeight w:val="546"/>
          <w:jc w:val="center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Себестоимость продаж, тыс.руб</w:t>
            </w:r>
          </w:p>
        </w:tc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9453097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11627111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12294967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2174014</w:t>
            </w:r>
          </w:p>
        </w:tc>
        <w:tc>
          <w:tcPr>
            <w:tcW w:w="99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667856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5.74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30.1</w:t>
            </w:r>
          </w:p>
        </w:tc>
      </w:tr>
      <w:tr w:rsidR="00D24A14" w:rsidRPr="00D24A14" w:rsidTr="00D17D11">
        <w:trPr>
          <w:trHeight w:val="992"/>
          <w:jc w:val="center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Валовая прибыль (убыток) , тыс.руб</w:t>
            </w:r>
          </w:p>
        </w:tc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6477499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7865248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8806810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1387749</w:t>
            </w:r>
          </w:p>
        </w:tc>
        <w:tc>
          <w:tcPr>
            <w:tcW w:w="99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941562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21.42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11.97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36</w:t>
            </w:r>
          </w:p>
        </w:tc>
      </w:tr>
      <w:tr w:rsidR="00D24A14" w:rsidRPr="00D24A14" w:rsidTr="00D17D11">
        <w:trPr>
          <w:trHeight w:val="809"/>
          <w:jc w:val="center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Прибыль (убыток) от продаж, тыс.руб</w:t>
            </w:r>
          </w:p>
        </w:tc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1151240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1741825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1615848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590585</w:t>
            </w:r>
          </w:p>
        </w:tc>
        <w:tc>
          <w:tcPr>
            <w:tcW w:w="99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-125977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51.3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-7.23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40.4</w:t>
            </w:r>
          </w:p>
        </w:tc>
      </w:tr>
      <w:tr w:rsidR="00D24A14" w:rsidRPr="00D24A14" w:rsidTr="00D17D11">
        <w:trPr>
          <w:trHeight w:val="691"/>
          <w:jc w:val="center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Чистая прибыль (убыток) , тыс.руб</w:t>
            </w:r>
          </w:p>
        </w:tc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873841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1443382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1261503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569541</w:t>
            </w:r>
          </w:p>
        </w:tc>
        <w:tc>
          <w:tcPr>
            <w:tcW w:w="99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-181879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65.18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-13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44.4</w:t>
            </w:r>
          </w:p>
        </w:tc>
      </w:tr>
      <w:tr w:rsidR="00D24A14" w:rsidRPr="00D24A14" w:rsidTr="00D17D11">
        <w:trPr>
          <w:trHeight w:val="490"/>
          <w:jc w:val="center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Прибыль (убыток) до налогообложения, тыс.руб</w:t>
            </w:r>
          </w:p>
        </w:tc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1105013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1807918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1595246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702905</w:t>
            </w:r>
          </w:p>
        </w:tc>
        <w:tc>
          <w:tcPr>
            <w:tcW w:w="99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-212672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63.61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-11.8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44.4</w:t>
            </w:r>
          </w:p>
        </w:tc>
      </w:tr>
      <w:tr w:rsidR="00D24A14" w:rsidRPr="00D24A14" w:rsidTr="00D17D11">
        <w:trPr>
          <w:trHeight w:val="823"/>
          <w:jc w:val="center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Дебиторская задолженность, тыс.руб</w:t>
            </w:r>
          </w:p>
        </w:tc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2205048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2752777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2864964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547729</w:t>
            </w:r>
          </w:p>
        </w:tc>
        <w:tc>
          <w:tcPr>
            <w:tcW w:w="99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112187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4..07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30</w:t>
            </w:r>
          </w:p>
        </w:tc>
      </w:tr>
      <w:tr w:rsidR="00D24A14" w:rsidRPr="00D24A14" w:rsidTr="009B2B8D">
        <w:trPr>
          <w:trHeight w:val="833"/>
          <w:jc w:val="center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Кредиторская задолженность, тыс.руб</w:t>
            </w:r>
          </w:p>
        </w:tc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2385717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2603176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2966012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217459</w:t>
            </w:r>
          </w:p>
        </w:tc>
        <w:tc>
          <w:tcPr>
            <w:tcW w:w="99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362836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9.11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8.35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24.34</w:t>
            </w:r>
          </w:p>
        </w:tc>
      </w:tr>
      <w:tr w:rsidR="00D24A14" w:rsidRPr="00D24A14" w:rsidTr="009B2B8D">
        <w:trPr>
          <w:trHeight w:val="559"/>
          <w:jc w:val="center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</w:pPr>
            <w:r w:rsidRPr="00D24A1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8"/>
                <w:lang w:eastAsia="ru-RU" w:bidi="ru-RU"/>
              </w:rPr>
              <w:t>Рентабельность продаж, %</w:t>
            </w:r>
          </w:p>
        </w:tc>
        <w:tc>
          <w:tcPr>
            <w:tcW w:w="1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5.49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7.40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24A14" w:rsidRPr="00D24A14" w:rsidRDefault="00D24A14" w:rsidP="00D24A14">
            <w:pPr>
              <w:spacing w:after="0" w:line="240" w:lineRule="auto"/>
              <w:ind w:hanging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D24A1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</w:t>
            </w:r>
          </w:p>
        </w:tc>
      </w:tr>
    </w:tbl>
    <w:p w:rsidR="00D24A14" w:rsidRPr="00D24A14" w:rsidRDefault="00D24A14" w:rsidP="00D24A1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приведенных основных экономических показателей анализируемого общества можно сделать следующие выводы.</w:t>
      </w:r>
    </w:p>
    <w:p w:rsidR="00D24A14" w:rsidRPr="00D24A14" w:rsidRDefault="00D24A14" w:rsidP="00D24A14">
      <w:pPr>
        <w:spacing w:after="0" w:line="37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1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Выручка от продажи товаров увеличилась на 3561763 тыс. руб. в 2017 г. по сравнению с 2016 г., что составляет 22.36%.</w:t>
      </w:r>
    </w:p>
    <w:p w:rsidR="00D24A14" w:rsidRPr="00D24A14" w:rsidRDefault="00D24A14" w:rsidP="00D24A14">
      <w:pPr>
        <w:spacing w:after="0" w:line="37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Соответственно полная себестоимость продаж увеличилась на 2 174 014 тыс. руб. в 2017 г. по сравнению с 2016 г., что соответствует 23%, также в 2018 г., а также увеличилась на 2 841 870 или на 30 % по сравнению с 2016 годом. Темп роста выручки от реализации</w:t>
      </w:r>
      <w:r w:rsidRPr="00D24A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АО «Аэромар» </w:t>
      </w:r>
      <w:r w:rsidRPr="00D24A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растет, это может отнести к положительным факторам предприятия.</w:t>
      </w:r>
    </w:p>
    <w:p w:rsidR="00D24A14" w:rsidRPr="00D24A14" w:rsidRDefault="00D24A14" w:rsidP="00D24A14">
      <w:pPr>
        <w:spacing w:after="0" w:line="372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D24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прибыли, полученные </w:t>
      </w:r>
      <w:r w:rsidRPr="00D24A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АО «Аэромар» </w:t>
      </w:r>
      <w:r w:rsidRPr="00D24A1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 период с 2015-2018 г. возросли. Так валовая прибыль увеличилась в 2017 г. на 1387749 тыс. руб. по сравнению с 2016 г., что соответствует 21.42%, а в 2018 г. валовая прибыль увеличилась на 2329311 руб. по сравнению с 2016г., что соответствует 36%. </w:t>
      </w:r>
    </w:p>
    <w:p w:rsidR="00D24A14" w:rsidRPr="00D24A14" w:rsidRDefault="00D24A14" w:rsidP="00D24A1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1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Дебиторская задолженность увеличилась на 547729 тыс. рублей в 2017 году по отношению с 2016 годом, что соответствует 25%, а в 2018 году по отношению к 2016 году задолженность увеличилась на 30%.</w:t>
      </w:r>
    </w:p>
    <w:p w:rsidR="00D24A14" w:rsidRPr="00D24A14" w:rsidRDefault="009B2B8D" w:rsidP="00D24A1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B8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Далее, на рисунке 2</w:t>
      </w:r>
      <w:r w:rsidR="00D24A14" w:rsidRPr="00D24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рассмотрим график динамики финансовых результатов.</w:t>
      </w:r>
    </w:p>
    <w:p w:rsidR="00D24A14" w:rsidRPr="00D24A14" w:rsidRDefault="00D24A14" w:rsidP="00D24A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14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8F8C37" wp14:editId="2F02E762">
            <wp:extent cx="6019800" cy="36576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24A14" w:rsidRPr="00D24A14" w:rsidRDefault="009B2B8D" w:rsidP="00D24A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>Рисунок 2</w:t>
      </w:r>
      <w:r w:rsidR="00D24A14" w:rsidRPr="00D24A14">
        <w:rPr>
          <w:rFonts w:ascii="Times New Roman" w:eastAsia="Calibri" w:hAnsi="Times New Roman" w:cs="Times New Roman"/>
          <w:sz w:val="28"/>
          <w:szCs w:val="28"/>
        </w:rPr>
        <w:t xml:space="preserve"> - График динамики финансовых результатов 2016-2018 г.</w:t>
      </w:r>
    </w:p>
    <w:p w:rsidR="006C6A92" w:rsidRPr="009B2B8D" w:rsidRDefault="006C6A92" w:rsidP="00D24A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A14" w:rsidRPr="009B2B8D" w:rsidRDefault="00D24A14" w:rsidP="00D24A1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>Для оценки финансово-экономического состояния предприятия проанализировано финансовое состояние АО «Аэромар» за период 2016-2018г.</w:t>
      </w:r>
    </w:p>
    <w:p w:rsidR="00D24A14" w:rsidRPr="009B2B8D" w:rsidRDefault="00D24A14" w:rsidP="00D24A14">
      <w:pPr>
        <w:tabs>
          <w:tab w:val="left" w:pos="709"/>
        </w:tabs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lastRenderedPageBreak/>
        <w:t>Источником информации для анализа финансового состояния является бухгалтерская отчетность АО «Аэромар» (2016-2018 г.).</w:t>
      </w:r>
    </w:p>
    <w:p w:rsidR="00D24A14" w:rsidRPr="009B2B8D" w:rsidRDefault="00D24A14" w:rsidP="00D24A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>На основе второго раздела актива Бухгалтерского баланса сделан анализ состава оборотных активов.</w:t>
      </w:r>
    </w:p>
    <w:p w:rsidR="00D24A14" w:rsidRPr="009B2B8D" w:rsidRDefault="00D24A14" w:rsidP="00D24A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>Далее рассмотрим состав оборотных активов, в та</w:t>
      </w:r>
      <w:r w:rsidR="009B2B8D" w:rsidRPr="009B2B8D">
        <w:rPr>
          <w:rFonts w:ascii="Times New Roman" w:eastAsia="Calibri" w:hAnsi="Times New Roman" w:cs="Times New Roman"/>
          <w:sz w:val="28"/>
          <w:szCs w:val="28"/>
        </w:rPr>
        <w:t>блице 2</w:t>
      </w:r>
      <w:r w:rsidRPr="009B2B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4A14" w:rsidRPr="009B2B8D" w:rsidRDefault="009B2B8D" w:rsidP="00D24A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>Таблица 2</w:t>
      </w:r>
      <w:r w:rsidR="00D24A14" w:rsidRPr="009B2B8D">
        <w:rPr>
          <w:rFonts w:ascii="Times New Roman" w:eastAsia="Calibri" w:hAnsi="Times New Roman" w:cs="Times New Roman"/>
          <w:sz w:val="28"/>
          <w:szCs w:val="28"/>
        </w:rPr>
        <w:t xml:space="preserve"> -  Состав оборотных активов АО «Аэромар</w:t>
      </w:r>
      <w:r w:rsidR="00D24A14" w:rsidRPr="009B2B8D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="00D24A14" w:rsidRPr="009B2B8D">
        <w:rPr>
          <w:rFonts w:ascii="Times New Roman" w:eastAsia="Calibri" w:hAnsi="Times New Roman" w:cs="Times New Roman"/>
          <w:sz w:val="28"/>
          <w:szCs w:val="28"/>
        </w:rPr>
        <w:t xml:space="preserve">, тыс. руб.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1134"/>
        <w:gridCol w:w="1105"/>
        <w:gridCol w:w="1134"/>
        <w:gridCol w:w="1134"/>
        <w:gridCol w:w="766"/>
      </w:tblGrid>
      <w:tr w:rsidR="00D24A14" w:rsidRPr="009B2B8D" w:rsidTr="00D17D11">
        <w:trPr>
          <w:trHeight w:val="443"/>
        </w:trPr>
        <w:tc>
          <w:tcPr>
            <w:tcW w:w="3970" w:type="dxa"/>
            <w:vMerge w:val="restart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Показатели</w:t>
            </w:r>
          </w:p>
        </w:tc>
        <w:tc>
          <w:tcPr>
            <w:tcW w:w="3373" w:type="dxa"/>
            <w:gridSpan w:val="3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Год</w:t>
            </w:r>
          </w:p>
        </w:tc>
        <w:tc>
          <w:tcPr>
            <w:tcW w:w="1900" w:type="dxa"/>
            <w:gridSpan w:val="2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Отношение 2018 г. в % к</w:t>
            </w:r>
          </w:p>
        </w:tc>
      </w:tr>
      <w:tr w:rsidR="00D24A14" w:rsidRPr="009B2B8D" w:rsidTr="00D17D11">
        <w:trPr>
          <w:trHeight w:val="369"/>
        </w:trPr>
        <w:tc>
          <w:tcPr>
            <w:tcW w:w="3970" w:type="dxa"/>
            <w:vMerge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2016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2016 г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2017 г</w:t>
            </w:r>
          </w:p>
        </w:tc>
      </w:tr>
      <w:tr w:rsidR="00D24A14" w:rsidRPr="009B2B8D" w:rsidTr="00D17D11">
        <w:trPr>
          <w:trHeight w:val="402"/>
        </w:trPr>
        <w:tc>
          <w:tcPr>
            <w:tcW w:w="397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Запасы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1737119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1873577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2029005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8.29</w:t>
            </w:r>
          </w:p>
        </w:tc>
      </w:tr>
      <w:tr w:rsidR="00D24A14" w:rsidRPr="009B2B8D" w:rsidTr="00D17D11">
        <w:trPr>
          <w:trHeight w:val="561"/>
        </w:trPr>
        <w:tc>
          <w:tcPr>
            <w:tcW w:w="397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Налог на добавленную стоимость</w:t>
            </w:r>
          </w:p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по приобретенным ценностям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12613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12065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18150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125.1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50.4</w:t>
            </w:r>
          </w:p>
        </w:tc>
      </w:tr>
      <w:tr w:rsidR="00D24A14" w:rsidRPr="009B2B8D" w:rsidTr="00D17D11">
        <w:trPr>
          <w:trHeight w:val="427"/>
        </w:trPr>
        <w:tc>
          <w:tcPr>
            <w:tcW w:w="397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Дебиторская задолженность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2205048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2752777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2864964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4.07</w:t>
            </w:r>
          </w:p>
        </w:tc>
      </w:tr>
      <w:tr w:rsidR="00D24A14" w:rsidRPr="009B2B8D" w:rsidTr="00D17D11">
        <w:trPr>
          <w:trHeight w:val="548"/>
        </w:trPr>
        <w:tc>
          <w:tcPr>
            <w:tcW w:w="397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Денежные средства и денежные эквиваленты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1107688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1183466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1340815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21.04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13.3</w:t>
            </w:r>
          </w:p>
        </w:tc>
      </w:tr>
      <w:tr w:rsidR="00D24A14" w:rsidRPr="009B2B8D" w:rsidTr="00D17D11">
        <w:trPr>
          <w:trHeight w:val="400"/>
        </w:trPr>
        <w:tc>
          <w:tcPr>
            <w:tcW w:w="397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Прочие оборотные активы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11817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12448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17040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24A14" w:rsidRPr="009B2B8D" w:rsidTr="00D17D11">
        <w:trPr>
          <w:trHeight w:val="323"/>
        </w:trPr>
        <w:tc>
          <w:tcPr>
            <w:tcW w:w="397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ИТОГО: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5074285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5834333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6269974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D24A14" w:rsidRPr="009B2B8D" w:rsidRDefault="00D24A14" w:rsidP="00D24A1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D24A14" w:rsidRPr="009B2B8D" w:rsidRDefault="00D24A14" w:rsidP="00D24A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>В составе оборотных активов, как показал анализ, преобладает дебиторская задолженность, в 2018 году 2 864 964 тыс. рублей.</w:t>
      </w:r>
    </w:p>
    <w:p w:rsidR="00D24A14" w:rsidRPr="009B2B8D" w:rsidRDefault="00D24A14" w:rsidP="00D24A14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>В 2017 году этот показатель увеличился на 30,3%, по отношению к 2016 году, в основном этот показатель указывает на</w:t>
      </w:r>
      <w:r w:rsidRPr="009B2B8D">
        <w:rPr>
          <w:rFonts w:ascii="Times New Roman" w:hAnsi="Times New Roman" w:cs="Times New Roman"/>
          <w:sz w:val="28"/>
          <w:szCs w:val="28"/>
        </w:rPr>
        <w:t xml:space="preserve"> недостаточный контроль за платежно-расчетной дисциплиной на предприятии. Т</w:t>
      </w:r>
      <w:r w:rsidRPr="009B2B8D">
        <w:rPr>
          <w:rFonts w:ascii="Times New Roman" w:eastAsia="Calibri" w:hAnsi="Times New Roman" w:cs="Times New Roman"/>
          <w:sz w:val="28"/>
          <w:szCs w:val="28"/>
        </w:rPr>
        <w:t>ак как, это может привести к уменьшению средств на счетах, что отрицательно влияет на платежеспособность предприятия.</w:t>
      </w:r>
    </w:p>
    <w:p w:rsidR="00D24A14" w:rsidRPr="009B2B8D" w:rsidRDefault="00D24A14" w:rsidP="00D24A1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 xml:space="preserve">В 2018 году объем запасов увеличился 8.29% по отношению к 2017 году, что оценивается положительно, так как это сопровождается увеличением объема производимой продукции.  Налог на добавленную стоимость по приобретенным ценностям с 2015г. по 2018 гг. значительно вырос это связано с тем, что предприятие закупила больше сырья и материалов, и увеличение этих запасов привело к росту данного показателя. </w:t>
      </w:r>
    </w:p>
    <w:p w:rsidR="00D24A14" w:rsidRPr="009B2B8D" w:rsidRDefault="009B2B8D" w:rsidP="00D24A1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>На рисунке 3</w:t>
      </w:r>
      <w:r w:rsidR="00D24A14" w:rsidRPr="009B2B8D">
        <w:rPr>
          <w:rFonts w:ascii="Times New Roman" w:eastAsia="Calibri" w:hAnsi="Times New Roman" w:cs="Times New Roman"/>
          <w:sz w:val="28"/>
          <w:szCs w:val="28"/>
        </w:rPr>
        <w:t xml:space="preserve"> представлена динамика дебиторской задолженности </w:t>
      </w:r>
      <w:r w:rsidR="00D24A14" w:rsidRPr="009B2B8D">
        <w:rPr>
          <w:rFonts w:ascii="Times New Roman" w:eastAsia="Calibri" w:hAnsi="Times New Roman" w:cs="Times New Roman"/>
          <w:sz w:val="28"/>
          <w:szCs w:val="28"/>
        </w:rPr>
        <w:br/>
        <w:t>АО «Аэромар</w:t>
      </w:r>
      <w:r w:rsidR="00D24A14" w:rsidRPr="009B2B8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</w:t>
      </w:r>
      <w:r w:rsidR="00D24A14" w:rsidRPr="009B2B8D">
        <w:rPr>
          <w:rFonts w:ascii="Times New Roman" w:hAnsi="Times New Roman" w:cs="Times New Roman"/>
          <w:sz w:val="28"/>
          <w:szCs w:val="28"/>
        </w:rPr>
        <w:t>за 2018 год.</w:t>
      </w:r>
    </w:p>
    <w:p w:rsidR="00D24A14" w:rsidRPr="009B2B8D" w:rsidRDefault="00D24A14" w:rsidP="00D24A14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C36C188" wp14:editId="7BAB4330">
            <wp:extent cx="5889625" cy="3063834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24A14" w:rsidRPr="009B2B8D" w:rsidRDefault="009B2B8D" w:rsidP="00D24A1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>Рисунок 3</w:t>
      </w:r>
      <w:r w:rsidR="00D24A14" w:rsidRPr="009B2B8D">
        <w:rPr>
          <w:rFonts w:ascii="Times New Roman" w:eastAsia="Calibri" w:hAnsi="Times New Roman" w:cs="Times New Roman"/>
          <w:sz w:val="28"/>
          <w:szCs w:val="28"/>
        </w:rPr>
        <w:t xml:space="preserve"> - Динамика дебиторской задолженности АО «Аэромар</w:t>
      </w:r>
      <w:r w:rsidR="00D24A14" w:rsidRPr="009B2B8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</w:t>
      </w:r>
      <w:r w:rsidR="00D24A14" w:rsidRPr="009B2B8D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="00D24A14" w:rsidRPr="009B2B8D">
        <w:rPr>
          <w:rFonts w:ascii="Times New Roman" w:hAnsi="Times New Roman" w:cs="Times New Roman"/>
          <w:sz w:val="28"/>
          <w:szCs w:val="28"/>
        </w:rPr>
        <w:t xml:space="preserve"> за 2017 год.</w:t>
      </w:r>
    </w:p>
    <w:p w:rsidR="00D24A14" w:rsidRPr="009B2B8D" w:rsidRDefault="00D24A14" w:rsidP="00D24A14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>Рост дебиторской задолженности приводит к отвлечению оборотных средств из оборота предприятия и увеличению кредиторского долга. Что отрицательно влияет на платежеспособность предприятия.</w:t>
      </w:r>
    </w:p>
    <w:p w:rsidR="00D24A14" w:rsidRPr="009B2B8D" w:rsidRDefault="009B2B8D" w:rsidP="00D24A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>Далее рассмотрим таблицу 3</w:t>
      </w:r>
      <w:r w:rsidR="00D24A14" w:rsidRPr="009B2B8D">
        <w:rPr>
          <w:rFonts w:ascii="Times New Roman" w:eastAsia="Calibri" w:hAnsi="Times New Roman" w:cs="Times New Roman"/>
          <w:sz w:val="28"/>
          <w:szCs w:val="28"/>
        </w:rPr>
        <w:t xml:space="preserve"> «Основные показатели эффективности использования оборотных средств»</w:t>
      </w:r>
      <w:r w:rsidR="00D24A14" w:rsidRPr="009B2B8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D24A14" w:rsidRPr="009B2B8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24A14" w:rsidRPr="009B2B8D" w:rsidRDefault="009B2B8D" w:rsidP="00D24A14">
      <w:pPr>
        <w:spacing w:after="0" w:line="360" w:lineRule="auto"/>
        <w:ind w:firstLine="142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 xml:space="preserve">Таблица 3 </w:t>
      </w:r>
      <w:r w:rsidR="00D24A14" w:rsidRPr="009B2B8D">
        <w:rPr>
          <w:rFonts w:ascii="Times New Roman" w:eastAsia="Calibri" w:hAnsi="Times New Roman" w:cs="Times New Roman"/>
          <w:sz w:val="28"/>
          <w:szCs w:val="28"/>
        </w:rPr>
        <w:t>- Основные показатели эффективности использования оборотных средств, %</w:t>
      </w:r>
    </w:p>
    <w:tbl>
      <w:tblPr>
        <w:tblW w:w="9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93"/>
        <w:gridCol w:w="850"/>
        <w:gridCol w:w="1134"/>
        <w:gridCol w:w="1623"/>
        <w:gridCol w:w="1389"/>
      </w:tblGrid>
      <w:tr w:rsidR="00D24A14" w:rsidRPr="009B2B8D" w:rsidTr="00D17D11">
        <w:trPr>
          <w:trHeight w:val="556"/>
          <w:jc w:val="center"/>
        </w:trPr>
        <w:tc>
          <w:tcPr>
            <w:tcW w:w="3260" w:type="dxa"/>
            <w:vMerge w:val="restart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56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Показатели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9B2B8D">
              <w:rPr>
                <w:rFonts w:ascii="Times New Roman" w:hAnsi="Times New Roman" w:cs="Times New Roman"/>
                <w:szCs w:val="28"/>
              </w:rPr>
              <w:t>Год</w:t>
            </w:r>
          </w:p>
        </w:tc>
        <w:tc>
          <w:tcPr>
            <w:tcW w:w="3012" w:type="dxa"/>
            <w:gridSpan w:val="2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9B2B8D">
              <w:rPr>
                <w:rFonts w:ascii="Times New Roman" w:hAnsi="Times New Roman" w:cs="Times New Roman"/>
                <w:szCs w:val="28"/>
              </w:rPr>
              <w:t>Отношение 2018  в % к</w:t>
            </w:r>
          </w:p>
        </w:tc>
      </w:tr>
      <w:tr w:rsidR="00D24A14" w:rsidRPr="009B2B8D" w:rsidTr="009B2B8D">
        <w:trPr>
          <w:trHeight w:val="85"/>
          <w:jc w:val="center"/>
        </w:trPr>
        <w:tc>
          <w:tcPr>
            <w:tcW w:w="3260" w:type="dxa"/>
            <w:vMerge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567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2016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2018</w:t>
            </w:r>
          </w:p>
        </w:tc>
        <w:tc>
          <w:tcPr>
            <w:tcW w:w="1623" w:type="dxa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9B2B8D">
              <w:rPr>
                <w:rFonts w:ascii="Times New Roman" w:hAnsi="Times New Roman" w:cs="Times New Roman"/>
                <w:szCs w:val="28"/>
              </w:rPr>
              <w:t>2016 г</w:t>
            </w:r>
          </w:p>
        </w:tc>
        <w:tc>
          <w:tcPr>
            <w:tcW w:w="1389" w:type="dxa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Cs w:val="28"/>
              </w:rPr>
            </w:pPr>
            <w:r w:rsidRPr="009B2B8D">
              <w:rPr>
                <w:rFonts w:ascii="Times New Roman" w:hAnsi="Times New Roman" w:cs="Times New Roman"/>
                <w:szCs w:val="28"/>
              </w:rPr>
              <w:t>2017 г</w:t>
            </w:r>
          </w:p>
        </w:tc>
      </w:tr>
      <w:tr w:rsidR="00D24A14" w:rsidRPr="009B2B8D" w:rsidTr="00D17D11">
        <w:trPr>
          <w:trHeight w:val="621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Коэффициент оборачиваемости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2,66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2,72</w:t>
            </w:r>
          </w:p>
        </w:tc>
        <w:tc>
          <w:tcPr>
            <w:tcW w:w="1623" w:type="dxa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102,3</w:t>
            </w:r>
          </w:p>
        </w:tc>
        <w:tc>
          <w:tcPr>
            <w:tcW w:w="1389" w:type="dxa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100,7</w:t>
            </w:r>
          </w:p>
        </w:tc>
      </w:tr>
      <w:tr w:rsidR="00D24A14" w:rsidRPr="009B2B8D" w:rsidTr="00D17D11">
        <w:trPr>
          <w:trHeight w:val="555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Длительность одного оборота, дни.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135,3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133,3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132,4</w:t>
            </w:r>
          </w:p>
        </w:tc>
        <w:tc>
          <w:tcPr>
            <w:tcW w:w="1623" w:type="dxa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97,8</w:t>
            </w:r>
          </w:p>
        </w:tc>
        <w:tc>
          <w:tcPr>
            <w:tcW w:w="1389" w:type="dxa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99,3</w:t>
            </w:r>
          </w:p>
        </w:tc>
      </w:tr>
      <w:tr w:rsidR="00D24A14" w:rsidRPr="009B2B8D" w:rsidTr="00D17D11">
        <w:trPr>
          <w:trHeight w:val="493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Коэффициент загрузки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0,37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0,36</w:t>
            </w:r>
          </w:p>
        </w:tc>
        <w:tc>
          <w:tcPr>
            <w:tcW w:w="1623" w:type="dxa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97,3</w:t>
            </w:r>
          </w:p>
        </w:tc>
        <w:tc>
          <w:tcPr>
            <w:tcW w:w="1389" w:type="dxa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90</w:t>
            </w:r>
          </w:p>
        </w:tc>
      </w:tr>
      <w:tr w:rsidR="00D24A14" w:rsidRPr="009B2B8D" w:rsidTr="00D17D11">
        <w:trPr>
          <w:trHeight w:val="698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Экономическая рентабельность</w:t>
            </w:r>
          </w:p>
          <w:p w:rsidR="00D24A14" w:rsidRPr="009B2B8D" w:rsidRDefault="00D24A14" w:rsidP="00D24A14">
            <w:pPr>
              <w:spacing w:after="0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оборотных активов, %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17,24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14,6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20,2</w:t>
            </w:r>
          </w:p>
        </w:tc>
        <w:tc>
          <w:tcPr>
            <w:tcW w:w="1623" w:type="dxa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117,2</w:t>
            </w:r>
          </w:p>
        </w:tc>
        <w:tc>
          <w:tcPr>
            <w:tcW w:w="1389" w:type="dxa"/>
            <w:vAlign w:val="center"/>
          </w:tcPr>
          <w:p w:rsidR="00D24A14" w:rsidRPr="009B2B8D" w:rsidRDefault="00D24A14" w:rsidP="00D24A14">
            <w:pPr>
              <w:spacing w:after="0"/>
              <w:ind w:firstLine="97"/>
              <w:jc w:val="center"/>
              <w:rPr>
                <w:rFonts w:ascii="Times New Roman" w:eastAsia="Calibri" w:hAnsi="Times New Roman" w:cs="Times New Roman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Cs w:val="28"/>
              </w:rPr>
              <w:t>138,4</w:t>
            </w:r>
          </w:p>
        </w:tc>
      </w:tr>
    </w:tbl>
    <w:p w:rsidR="00D24A14" w:rsidRPr="009B2B8D" w:rsidRDefault="00D24A14" w:rsidP="00D24A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A14" w:rsidRPr="009B2B8D" w:rsidRDefault="00D24A14" w:rsidP="00D24A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>Рентабельность оборотных активов отражает сумму денежных средств, приходящихся на единицу оборотных средств организации.</w:t>
      </w:r>
    </w:p>
    <w:p w:rsidR="00D24A14" w:rsidRPr="009B2B8D" w:rsidRDefault="00D24A14" w:rsidP="00D24A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lastRenderedPageBreak/>
        <w:t>Показатель рентабельности оборотных активов имеет тенденцию роста, так в 2018 году этот показатель составил 20,2%, что больше показателя 2016 года на 17,2 %. Однако в 2017 году было снижение показателя и составило 14,6%.</w:t>
      </w:r>
    </w:p>
    <w:p w:rsidR="00D24A14" w:rsidRPr="009B2B8D" w:rsidRDefault="00D24A14" w:rsidP="00D24A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 xml:space="preserve">На основе раздела </w:t>
      </w:r>
      <w:r w:rsidRPr="009B2B8D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9B2B8D">
        <w:rPr>
          <w:rFonts w:ascii="Times New Roman" w:eastAsia="Calibri" w:hAnsi="Times New Roman" w:cs="Times New Roman"/>
          <w:sz w:val="28"/>
          <w:szCs w:val="28"/>
        </w:rPr>
        <w:t xml:space="preserve"> «Внеоборотные активы» Бухгалтерского баланса проведен анализ использования и управления в</w:t>
      </w:r>
      <w:r w:rsidR="009B2B8D" w:rsidRPr="009B2B8D">
        <w:rPr>
          <w:rFonts w:ascii="Times New Roman" w:eastAsia="Calibri" w:hAnsi="Times New Roman" w:cs="Times New Roman"/>
          <w:sz w:val="28"/>
          <w:szCs w:val="28"/>
        </w:rPr>
        <w:t>необоротными активами (Таблица 4</w:t>
      </w:r>
      <w:r w:rsidRPr="009B2B8D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D24A14" w:rsidRPr="009B2B8D" w:rsidRDefault="009B2B8D" w:rsidP="00D24A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>Таблица 4</w:t>
      </w:r>
      <w:r w:rsidR="00D24A14" w:rsidRPr="009B2B8D">
        <w:rPr>
          <w:rFonts w:ascii="Times New Roman" w:eastAsia="Calibri" w:hAnsi="Times New Roman" w:cs="Times New Roman"/>
          <w:sz w:val="28"/>
          <w:szCs w:val="28"/>
        </w:rPr>
        <w:t xml:space="preserve"> -  Состав внеоборотных активов </w:t>
      </w:r>
      <w:r w:rsidR="00D24A14" w:rsidRPr="009B2B8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АО «Аэромар», </w:t>
      </w:r>
      <w:r w:rsidR="00D24A14" w:rsidRPr="009B2B8D">
        <w:rPr>
          <w:rFonts w:ascii="Times New Roman" w:eastAsia="Calibri" w:hAnsi="Times New Roman" w:cs="Times New Roman"/>
          <w:sz w:val="28"/>
          <w:szCs w:val="28"/>
        </w:rPr>
        <w:t>тыс. руб.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1276"/>
        <w:gridCol w:w="1134"/>
        <w:gridCol w:w="1134"/>
        <w:gridCol w:w="1021"/>
        <w:gridCol w:w="992"/>
      </w:tblGrid>
      <w:tr w:rsidR="00D24A14" w:rsidRPr="009B2B8D" w:rsidTr="00D17D11">
        <w:trPr>
          <w:trHeight w:val="347"/>
        </w:trPr>
        <w:tc>
          <w:tcPr>
            <w:tcW w:w="3657" w:type="dxa"/>
            <w:vMerge w:val="restart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Показатели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Год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Отношение 2018 г. в % к</w:t>
            </w:r>
          </w:p>
        </w:tc>
      </w:tr>
      <w:tr w:rsidR="00D24A14" w:rsidRPr="009B2B8D" w:rsidTr="00D17D11">
        <w:tc>
          <w:tcPr>
            <w:tcW w:w="3657" w:type="dxa"/>
            <w:vMerge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2016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2018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2016г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2017 г</w:t>
            </w:r>
          </w:p>
        </w:tc>
      </w:tr>
      <w:tr w:rsidR="00D24A14" w:rsidRPr="009B2B8D" w:rsidTr="00D17D11">
        <w:trPr>
          <w:trHeight w:val="501"/>
        </w:trPr>
        <w:tc>
          <w:tcPr>
            <w:tcW w:w="3657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Нематериальные активы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418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320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227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- 46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- 29</w:t>
            </w:r>
          </w:p>
        </w:tc>
      </w:tr>
      <w:tr w:rsidR="00D24A14" w:rsidRPr="009B2B8D" w:rsidTr="00D17D11">
        <w:trPr>
          <w:trHeight w:val="295"/>
        </w:trPr>
        <w:tc>
          <w:tcPr>
            <w:tcW w:w="3657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Основные средства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646739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1000303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1734824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168.24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73.4</w:t>
            </w:r>
          </w:p>
        </w:tc>
      </w:tr>
      <w:tr w:rsidR="00D24A14" w:rsidRPr="009B2B8D" w:rsidTr="00D17D11">
        <w:trPr>
          <w:trHeight w:val="421"/>
        </w:trPr>
        <w:tc>
          <w:tcPr>
            <w:tcW w:w="3657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Финансовые вложения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12755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103842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104352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718.1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0.5</w:t>
            </w:r>
          </w:p>
        </w:tc>
      </w:tr>
      <w:tr w:rsidR="00D24A14" w:rsidRPr="009B2B8D" w:rsidTr="00D17D11">
        <w:trPr>
          <w:trHeight w:val="616"/>
        </w:trPr>
        <w:tc>
          <w:tcPr>
            <w:tcW w:w="3657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Доходные вложения в материальные ценности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D24A14" w:rsidRPr="009B2B8D" w:rsidTr="00D17D11">
        <w:trPr>
          <w:trHeight w:val="409"/>
        </w:trPr>
        <w:tc>
          <w:tcPr>
            <w:tcW w:w="3657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Отложенные налоговые активы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20626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28434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33696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63.4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18.50</w:t>
            </w:r>
          </w:p>
        </w:tc>
      </w:tr>
      <w:tr w:rsidR="00D24A14" w:rsidRPr="009B2B8D" w:rsidTr="00D17D11">
        <w:trPr>
          <w:trHeight w:val="489"/>
        </w:trPr>
        <w:tc>
          <w:tcPr>
            <w:tcW w:w="3657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sz w:val="24"/>
                <w:szCs w:val="28"/>
              </w:rPr>
              <w:t>Прочие внеоборотные активы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211878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169978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92457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-56.36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- 45</w:t>
            </w:r>
          </w:p>
        </w:tc>
      </w:tr>
      <w:tr w:rsidR="00D24A14" w:rsidRPr="009B2B8D" w:rsidTr="00D17D11">
        <w:trPr>
          <w:trHeight w:val="413"/>
        </w:trPr>
        <w:tc>
          <w:tcPr>
            <w:tcW w:w="3657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9B2B8D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Итого: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892 416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1 302 877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1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1 965 556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24A14" w:rsidRPr="009B2B8D" w:rsidRDefault="00D24A14" w:rsidP="00D24A14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</w:tbl>
    <w:p w:rsidR="00D24A14" w:rsidRPr="009B2B8D" w:rsidRDefault="00D24A14" w:rsidP="00D24A1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B8D">
        <w:rPr>
          <w:rFonts w:ascii="Times New Roman" w:eastAsia="Calibri" w:hAnsi="Times New Roman" w:cs="Times New Roman"/>
          <w:sz w:val="28"/>
          <w:szCs w:val="28"/>
        </w:rPr>
        <w:t xml:space="preserve">Как мы видим, стоимость нематериальных активов в 2018 году снизилась на 93 тыс. руб. или на 29 % по сравнению с 2017 годом и на 191 тыс. руб. по сравнению с 2016 годом. </w:t>
      </w:r>
    </w:p>
    <w:p w:rsidR="009B2B8D" w:rsidRDefault="009B2B8D" w:rsidP="009B2B8D">
      <w:pPr>
        <w:spacing w:after="5" w:line="362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Далее, в таблице 5, рассмотрим показатели ликвидности АО «Аэромар».</w:t>
      </w:r>
    </w:p>
    <w:p w:rsidR="009B2B8D" w:rsidRPr="009B2B8D" w:rsidRDefault="009B2B8D" w:rsidP="009B2B8D">
      <w:pPr>
        <w:spacing w:after="3" w:line="369" w:lineRule="auto"/>
        <w:ind w:left="10"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Таблица 5 - Показатели ликвидности и платежеспособности 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br/>
        <w:t>АО «Аэромар»</w:t>
      </w:r>
    </w:p>
    <w:tbl>
      <w:tblPr>
        <w:tblW w:w="9211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5"/>
        <w:gridCol w:w="1132"/>
        <w:gridCol w:w="1394"/>
        <w:gridCol w:w="1418"/>
        <w:gridCol w:w="1422"/>
      </w:tblGrid>
      <w:tr w:rsidR="009B2B8D" w:rsidRPr="009B2B8D" w:rsidTr="00D17D11">
        <w:trPr>
          <w:trHeight w:val="103"/>
          <w:jc w:val="center"/>
        </w:trPr>
        <w:tc>
          <w:tcPr>
            <w:tcW w:w="38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Показатели</w:t>
            </w:r>
          </w:p>
        </w:tc>
        <w:tc>
          <w:tcPr>
            <w:tcW w:w="113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Норма</w:t>
            </w:r>
          </w:p>
        </w:tc>
        <w:tc>
          <w:tcPr>
            <w:tcW w:w="42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Год</w:t>
            </w:r>
          </w:p>
        </w:tc>
      </w:tr>
      <w:tr w:rsidR="009B2B8D" w:rsidRPr="009B2B8D" w:rsidTr="00D17D11">
        <w:trPr>
          <w:trHeight w:val="324"/>
          <w:jc w:val="center"/>
        </w:trPr>
        <w:tc>
          <w:tcPr>
            <w:tcW w:w="384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</w:p>
        </w:tc>
        <w:tc>
          <w:tcPr>
            <w:tcW w:w="113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2016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2017</w:t>
            </w:r>
          </w:p>
        </w:tc>
        <w:tc>
          <w:tcPr>
            <w:tcW w:w="142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2018</w:t>
            </w:r>
          </w:p>
        </w:tc>
      </w:tr>
      <w:tr w:rsidR="009B2B8D" w:rsidRPr="009B2B8D" w:rsidTr="00D17D11">
        <w:trPr>
          <w:trHeight w:val="382"/>
          <w:jc w:val="center"/>
        </w:trPr>
        <w:tc>
          <w:tcPr>
            <w:tcW w:w="3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Коэффициент текущей ликвидности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val="en-US"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val="en-US" w:bidi="ru-RU"/>
              </w:rPr>
              <w:t>1-2.5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1,38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1,51</w:t>
            </w:r>
          </w:p>
        </w:tc>
        <w:tc>
          <w:tcPr>
            <w:tcW w:w="142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1,42</w:t>
            </w:r>
          </w:p>
        </w:tc>
      </w:tr>
      <w:tr w:rsidR="009B2B8D" w:rsidRPr="009B2B8D" w:rsidTr="00D17D11">
        <w:trPr>
          <w:trHeight w:val="696"/>
          <w:jc w:val="center"/>
        </w:trPr>
        <w:tc>
          <w:tcPr>
            <w:tcW w:w="3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Коэффициент абсолютной ликвидности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val="en-US"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val="en-US" w:bidi="ru-RU"/>
              </w:rPr>
              <w:t>От 0.1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0.46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0.45</w:t>
            </w:r>
          </w:p>
        </w:tc>
        <w:tc>
          <w:tcPr>
            <w:tcW w:w="142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0.45</w:t>
            </w:r>
          </w:p>
        </w:tc>
      </w:tr>
      <w:tr w:rsidR="009B2B8D" w:rsidRPr="009B2B8D" w:rsidTr="00D17D11">
        <w:trPr>
          <w:trHeight w:val="518"/>
          <w:jc w:val="center"/>
        </w:trPr>
        <w:tc>
          <w:tcPr>
            <w:tcW w:w="3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Коэффициент быстрой ликвидности</w:t>
            </w:r>
          </w:p>
        </w:tc>
        <w:tc>
          <w:tcPr>
            <w:tcW w:w="1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val="en-US"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val="en-US" w:bidi="ru-RU"/>
              </w:rPr>
              <w:t>0.7</w:t>
            </w: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-</w:t>
            </w:r>
            <w:r w:rsidRPr="009B2B8D">
              <w:rPr>
                <w:rFonts w:ascii="Times New Roman" w:hAnsi="Times New Roman" w:cs="Times New Roman"/>
                <w:noProof/>
                <w:szCs w:val="28"/>
                <w:lang w:val="en-US" w:bidi="ru-RU"/>
              </w:rPr>
              <w:t>1.5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1.39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1.51</w:t>
            </w:r>
          </w:p>
        </w:tc>
        <w:tc>
          <w:tcPr>
            <w:tcW w:w="142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-16"/>
              <w:jc w:val="center"/>
              <w:rPr>
                <w:rFonts w:ascii="Times New Roman" w:hAnsi="Times New Roman" w:cs="Times New Roman"/>
                <w:noProof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Cs w:val="28"/>
                <w:lang w:bidi="ru-RU"/>
              </w:rPr>
              <w:t>1.41</w:t>
            </w:r>
          </w:p>
        </w:tc>
      </w:tr>
    </w:tbl>
    <w:p w:rsidR="009B2B8D" w:rsidRPr="009B2B8D" w:rsidRDefault="009B2B8D" w:rsidP="009B2B8D">
      <w:pPr>
        <w:spacing w:after="3" w:line="369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Как показано в таблице 5, коэффициент текущей ликвидности возрастает в 2017 году, но немного снижается в 2018 году, однако все равно остается в пределах нормы, а значит, предприятие способно погашать свои краткосрочные обязательства в течение исследуемого периода.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Коэффициент абсолютной ликвидности также находится в норме - это означает, что у организации достаточно средств для погашения краткосрочных обязательств в течение периода. Коэффициент быстрой ликвидности показывает способность предприятия расплачиваться по краткосрочным обязательствам, не прибегая к продаже ТМЦ.  </w:t>
      </w:r>
    </w:p>
    <w:p w:rsidR="009B2B8D" w:rsidRPr="009B2B8D" w:rsidRDefault="009B2B8D" w:rsidP="009B2B8D">
      <w:pPr>
        <w:spacing w:after="3" w:line="369" w:lineRule="auto"/>
        <w:ind w:firstLine="8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Таким образом, анализ ликвидности показал, что АО «Аэромар» является абсолютно ликвидным и устойчивым предприятием, что свидетельствует о эффективном управлении финансовым состоянием.</w:t>
      </w:r>
    </w:p>
    <w:p w:rsidR="009B2B8D" w:rsidRPr="009B2B8D" w:rsidRDefault="009B2B8D" w:rsidP="009B2B8D">
      <w:pPr>
        <w:spacing w:after="3" w:line="369" w:lineRule="auto"/>
        <w:ind w:left="-142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Далее рассмотрим и проанализируем основные показатели финансовой устойчивости предприятия, в таблице 6.</w:t>
      </w:r>
    </w:p>
    <w:p w:rsidR="009B2B8D" w:rsidRPr="009B2B8D" w:rsidRDefault="009B2B8D" w:rsidP="009B2B8D">
      <w:pPr>
        <w:spacing w:after="3" w:line="369" w:lineRule="auto"/>
        <w:ind w:left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Таблица 6 -  Показатели финансовой устойчивости АО «Аэромар»</w:t>
      </w:r>
    </w:p>
    <w:tbl>
      <w:tblPr>
        <w:tblW w:w="9372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559"/>
        <w:gridCol w:w="1717"/>
      </w:tblGrid>
      <w:tr w:rsidR="009B2B8D" w:rsidRPr="009B2B8D" w:rsidTr="00D17D11">
        <w:trPr>
          <w:trHeight w:val="299"/>
        </w:trPr>
        <w:tc>
          <w:tcPr>
            <w:tcW w:w="32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Показатели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Норма</w:t>
            </w:r>
          </w:p>
        </w:tc>
        <w:tc>
          <w:tcPr>
            <w:tcW w:w="469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Год</w:t>
            </w:r>
          </w:p>
        </w:tc>
      </w:tr>
      <w:tr w:rsidR="009B2B8D" w:rsidRPr="009B2B8D" w:rsidTr="00631F32">
        <w:trPr>
          <w:trHeight w:val="257"/>
        </w:trPr>
        <w:tc>
          <w:tcPr>
            <w:tcW w:w="32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2016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2017</w:t>
            </w:r>
          </w:p>
        </w:tc>
        <w:tc>
          <w:tcPr>
            <w:tcW w:w="17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2018</w:t>
            </w:r>
          </w:p>
        </w:tc>
      </w:tr>
      <w:tr w:rsidR="009B2B8D" w:rsidRPr="009B2B8D" w:rsidTr="00D17D11">
        <w:trPr>
          <w:trHeight w:val="406"/>
        </w:trPr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Собственные оборотные средства, тыс.руб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-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2556297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3081604</w:t>
            </w:r>
          </w:p>
        </w:tc>
        <w:tc>
          <w:tcPr>
            <w:tcW w:w="17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3124228</w:t>
            </w:r>
          </w:p>
        </w:tc>
      </w:tr>
      <w:tr w:rsidR="009B2B8D" w:rsidRPr="009B2B8D" w:rsidTr="00631F32">
        <w:trPr>
          <w:trHeight w:val="574"/>
        </w:trPr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br w:type="page"/>
            </w: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Коэффициент соотношения заемных и собственных средств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1.0-1.5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0.74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0.63</w:t>
            </w:r>
          </w:p>
        </w:tc>
        <w:tc>
          <w:tcPr>
            <w:tcW w:w="17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0.62</w:t>
            </w:r>
          </w:p>
        </w:tc>
      </w:tr>
      <w:tr w:rsidR="009B2B8D" w:rsidRPr="009B2B8D" w:rsidTr="00D17D11">
        <w:trPr>
          <w:trHeight w:val="268"/>
        </w:trPr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Коэффициент обеспеченности собственными источниками  финансирования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0.1-0.5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0.50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0.51</w:t>
            </w:r>
          </w:p>
        </w:tc>
        <w:tc>
          <w:tcPr>
            <w:tcW w:w="17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0.52</w:t>
            </w:r>
          </w:p>
        </w:tc>
      </w:tr>
      <w:tr w:rsidR="009B2B8D" w:rsidRPr="009B2B8D" w:rsidTr="00D17D11">
        <w:trPr>
          <w:trHeight w:val="544"/>
        </w:trPr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Коэффициент финансовой независимости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0.4-0.6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0.57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0.61</w:t>
            </w:r>
          </w:p>
        </w:tc>
        <w:tc>
          <w:tcPr>
            <w:tcW w:w="17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0.61</w:t>
            </w:r>
          </w:p>
        </w:tc>
      </w:tr>
      <w:tr w:rsidR="009B2B8D" w:rsidRPr="009B2B8D" w:rsidTr="00D17D11">
        <w:trPr>
          <w:trHeight w:val="322"/>
        </w:trPr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Коэффициент финансирования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val="en-US" w:bidi="ru-RU"/>
              </w:rPr>
              <w:t>0.7-1.</w:t>
            </w: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1.36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1.58</w:t>
            </w:r>
          </w:p>
        </w:tc>
        <w:tc>
          <w:tcPr>
            <w:tcW w:w="17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1.60</w:t>
            </w:r>
          </w:p>
        </w:tc>
      </w:tr>
      <w:tr w:rsidR="009B2B8D" w:rsidRPr="009B2B8D" w:rsidTr="00D17D11">
        <w:trPr>
          <w:trHeight w:val="416"/>
        </w:trPr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noWrap/>
            <w:vAlign w:val="center"/>
            <w:hideMark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Коэффициент устойчивости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0.58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0.61</w:t>
            </w:r>
          </w:p>
        </w:tc>
        <w:tc>
          <w:tcPr>
            <w:tcW w:w="1717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B2B8D" w:rsidRPr="009B2B8D" w:rsidRDefault="009B2B8D" w:rsidP="00D17D11">
            <w:pPr>
              <w:ind w:left="293" w:right="-49" w:hanging="167"/>
              <w:jc w:val="center"/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</w:pPr>
            <w:r w:rsidRPr="009B2B8D">
              <w:rPr>
                <w:rFonts w:ascii="Times New Roman" w:hAnsi="Times New Roman" w:cs="Times New Roman"/>
                <w:noProof/>
                <w:sz w:val="24"/>
                <w:szCs w:val="28"/>
                <w:lang w:bidi="ru-RU"/>
              </w:rPr>
              <w:t>0.62</w:t>
            </w:r>
          </w:p>
        </w:tc>
      </w:tr>
    </w:tbl>
    <w:p w:rsidR="009B2B8D" w:rsidRPr="009B2B8D" w:rsidRDefault="009B2B8D" w:rsidP="009B2B8D">
      <w:pPr>
        <w:widowControl w:val="0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B2B8D" w:rsidRPr="009B2B8D" w:rsidRDefault="009B2B8D" w:rsidP="009B2B8D">
      <w:pPr>
        <w:spacing w:after="3" w:line="369" w:lineRule="auto"/>
        <w:ind w:left="10"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ab/>
        <w:t>Согласно показателям таблицы 6 видим, что финансовая устойчивость предприятия находится в пределах нормы.</w:t>
      </w:r>
    </w:p>
    <w:p w:rsidR="009B2B8D" w:rsidRPr="009B2B8D" w:rsidRDefault="009B2B8D" w:rsidP="009B2B8D">
      <w:pPr>
        <w:spacing w:after="3" w:line="369" w:lineRule="auto"/>
        <w:ind w:left="10"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2B8D">
        <w:rPr>
          <w:rFonts w:ascii="Times New Roman" w:hAnsi="Times New Roman" w:cs="Times New Roman"/>
          <w:sz w:val="28"/>
          <w:szCs w:val="28"/>
        </w:rPr>
        <w:t>Для оценки вероятности банкротства могут применяться различные модели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, как зарубежные, так и отечественные. В рамках настоящей работы следует использовать следующие модели:</w:t>
      </w:r>
    </w:p>
    <w:p w:rsidR="009B2B8D" w:rsidRPr="009B2B8D" w:rsidRDefault="009B2B8D" w:rsidP="009B2B8D">
      <w:pPr>
        <w:pStyle w:val="a5"/>
        <w:numPr>
          <w:ilvl w:val="0"/>
          <w:numId w:val="9"/>
        </w:numPr>
        <w:spacing w:after="3" w:line="360" w:lineRule="auto"/>
        <w:ind w:left="1418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Модель О.П. Зайцевой;</w:t>
      </w:r>
    </w:p>
    <w:p w:rsidR="009B2B8D" w:rsidRPr="009B2B8D" w:rsidRDefault="009B2B8D" w:rsidP="009B2B8D">
      <w:pPr>
        <w:pStyle w:val="a5"/>
        <w:numPr>
          <w:ilvl w:val="0"/>
          <w:numId w:val="9"/>
        </w:numPr>
        <w:spacing w:after="3" w:line="360" w:lineRule="auto"/>
        <w:ind w:left="1418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Модель Р.С. Сайфуллина – Г.Г. Кадыкова;</w:t>
      </w:r>
    </w:p>
    <w:p w:rsidR="009B2B8D" w:rsidRPr="009B2B8D" w:rsidRDefault="009B2B8D" w:rsidP="009B2B8D">
      <w:pPr>
        <w:pStyle w:val="a5"/>
        <w:numPr>
          <w:ilvl w:val="0"/>
          <w:numId w:val="9"/>
        </w:numPr>
        <w:spacing w:after="3" w:line="360" w:lineRule="auto"/>
        <w:ind w:left="1418" w:hanging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Модель А.Ю. Беликова – Г.В. Давыдовой (Иркутская модель).</w:t>
      </w:r>
    </w:p>
    <w:p w:rsidR="009B2B8D" w:rsidRPr="009B2B8D" w:rsidRDefault="009B2B8D" w:rsidP="009B2B8D">
      <w:pPr>
        <w:spacing w:line="360" w:lineRule="auto"/>
        <w:ind w:left="709" w:hanging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Рассмотрим эти модели подробнее:</w:t>
      </w:r>
    </w:p>
    <w:p w:rsidR="009B2B8D" w:rsidRPr="009B2B8D" w:rsidRDefault="009B2B8D" w:rsidP="009B2B8D">
      <w:pPr>
        <w:spacing w:line="360" w:lineRule="auto"/>
        <w:ind w:left="78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Модель О.П. Зайцевой рассчитывается по формуле:</w:t>
      </w:r>
    </w:p>
    <w:p w:rsidR="009B2B8D" w:rsidRPr="009B2B8D" w:rsidRDefault="009B2B8D" w:rsidP="009B2B8D">
      <w:pPr>
        <w:spacing w:before="100" w:beforeAutospacing="1" w:after="100" w:afterAutospacing="1"/>
        <w:ind w:left="1069"/>
        <w:contextualSpacing/>
        <w:jc w:val="center"/>
        <w:rPr>
          <w:rFonts w:ascii="Times New Roman" w:hAnsi="Times New Roman" w:cs="Times New Roman"/>
          <w:bCs/>
          <w:color w:val="212034"/>
          <w:sz w:val="28"/>
          <w:szCs w:val="28"/>
        </w:rPr>
      </w:pP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К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  <w:vertAlign w:val="subscript"/>
        </w:rPr>
        <w:t>факт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=0.25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К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  <w:vertAlign w:val="subscript"/>
        </w:rPr>
        <w:t>1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+0.1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К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  <w:vertAlign w:val="subscript"/>
        </w:rPr>
        <w:t>2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+0.2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К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  <w:vertAlign w:val="subscript"/>
        </w:rPr>
        <w:t>3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+0.25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К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  <w:vertAlign w:val="subscript"/>
        </w:rPr>
        <w:t>4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+0.1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К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  <w:vertAlign w:val="subscript"/>
        </w:rPr>
        <w:t>5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+0.1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К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  <w:vertAlign w:val="subscript"/>
        </w:rPr>
        <w:t xml:space="preserve">6            </w:t>
      </w:r>
      <w:bookmarkStart w:id="11" w:name="_GoBack"/>
      <w:bookmarkEnd w:id="11"/>
    </w:p>
    <w:p w:rsidR="009B2B8D" w:rsidRPr="009B2B8D" w:rsidRDefault="009B2B8D" w:rsidP="009B2B8D">
      <w:pPr>
        <w:spacing w:after="3"/>
        <w:ind w:left="10"/>
        <w:rPr>
          <w:rFonts w:ascii="Times New Roman" w:hAnsi="Times New Roman" w:cs="Times New Roman"/>
          <w:color w:val="000000"/>
          <w:sz w:val="28"/>
          <w:szCs w:val="28"/>
        </w:rPr>
      </w:pPr>
    </w:p>
    <w:p w:rsidR="009B2B8D" w:rsidRPr="009B2B8D" w:rsidRDefault="009B2B8D" w:rsidP="009B2B8D">
      <w:pPr>
        <w:spacing w:after="3"/>
        <w:ind w:left="10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Система коэффициентов модели О.П. Зайцевой представлена в таблице 7</w:t>
      </w:r>
    </w:p>
    <w:p w:rsidR="009B2B8D" w:rsidRPr="009B2B8D" w:rsidRDefault="009B2B8D" w:rsidP="009B2B8D">
      <w:pPr>
        <w:spacing w:after="3"/>
        <w:ind w:left="10"/>
        <w:rPr>
          <w:rFonts w:ascii="Times New Roman" w:hAnsi="Times New Roman" w:cs="Times New Roman"/>
          <w:color w:val="000000"/>
          <w:sz w:val="28"/>
          <w:szCs w:val="28"/>
        </w:rPr>
      </w:pPr>
    </w:p>
    <w:p w:rsidR="009B2B8D" w:rsidRPr="009B2B8D" w:rsidRDefault="009B2B8D" w:rsidP="009B2B8D">
      <w:pPr>
        <w:spacing w:after="3"/>
        <w:ind w:left="10"/>
        <w:rPr>
          <w:rFonts w:ascii="Times New Roman" w:hAnsi="Times New Roman" w:cs="Times New Roman"/>
          <w:color w:val="212034"/>
          <w:sz w:val="28"/>
          <w:szCs w:val="28"/>
        </w:rPr>
      </w:pPr>
      <w:r w:rsidRPr="009B2B8D">
        <w:rPr>
          <w:rFonts w:ascii="Times New Roman" w:hAnsi="Times New Roman" w:cs="Times New Roman"/>
          <w:color w:val="212034"/>
          <w:sz w:val="28"/>
          <w:szCs w:val="28"/>
        </w:rPr>
        <w:tab/>
        <w:t xml:space="preserve">Таблица 7 – Система коэффициентов модели О.П. Зайцевой. </w:t>
      </w:r>
    </w:p>
    <w:p w:rsidR="009B2B8D" w:rsidRPr="009B2B8D" w:rsidRDefault="009B2B8D" w:rsidP="009B2B8D">
      <w:pPr>
        <w:spacing w:after="3"/>
        <w:ind w:left="1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0"/>
        <w:gridCol w:w="3685"/>
        <w:gridCol w:w="2977"/>
        <w:gridCol w:w="1704"/>
      </w:tblGrid>
      <w:tr w:rsidR="009B2B8D" w:rsidRPr="009B2B8D" w:rsidTr="00631F32">
        <w:trPr>
          <w:trHeight w:val="876"/>
        </w:trPr>
        <w:tc>
          <w:tcPr>
            <w:tcW w:w="99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Коэффициент</w:t>
            </w:r>
          </w:p>
        </w:tc>
        <w:tc>
          <w:tcPr>
            <w:tcW w:w="36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Формула вычисления коэффициента</w:t>
            </w:r>
          </w:p>
        </w:tc>
        <w:tc>
          <w:tcPr>
            <w:tcW w:w="297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Расчет по РСБУ</w:t>
            </w:r>
          </w:p>
        </w:tc>
        <w:tc>
          <w:tcPr>
            <w:tcW w:w="17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Норматив</w:t>
            </w:r>
          </w:p>
        </w:tc>
      </w:tr>
      <w:tr w:rsidR="009B2B8D" w:rsidRPr="009B2B8D" w:rsidTr="00D17D11">
        <w:trPr>
          <w:trHeight w:val="549"/>
        </w:trPr>
        <w:tc>
          <w:tcPr>
            <w:tcW w:w="99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1</w:t>
            </w:r>
          </w:p>
        </w:tc>
        <w:tc>
          <w:tcPr>
            <w:tcW w:w="36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  <w:vertAlign w:val="subscript"/>
              </w:rPr>
              <w:t>1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= Прибыль (убыток) до налогообложения / Собственный капитал</w:t>
            </w:r>
          </w:p>
        </w:tc>
        <w:tc>
          <w:tcPr>
            <w:tcW w:w="297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стр. 2300 / стр. 1300</w:t>
            </w:r>
          </w:p>
        </w:tc>
        <w:tc>
          <w:tcPr>
            <w:tcW w:w="17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  <w:vertAlign w:val="subscript"/>
              </w:rPr>
              <w:t>1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= 0</w:t>
            </w:r>
          </w:p>
        </w:tc>
      </w:tr>
      <w:tr w:rsidR="009B2B8D" w:rsidRPr="009B2B8D" w:rsidTr="00D17D11">
        <w:trPr>
          <w:trHeight w:val="25"/>
        </w:trPr>
        <w:tc>
          <w:tcPr>
            <w:tcW w:w="99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2</w:t>
            </w:r>
          </w:p>
        </w:tc>
        <w:tc>
          <w:tcPr>
            <w:tcW w:w="36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  <w:vertAlign w:val="subscript"/>
              </w:rPr>
              <w:t>2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= Кредиторская задолженность / Дебиторская задолженность</w:t>
            </w:r>
          </w:p>
        </w:tc>
        <w:tc>
          <w:tcPr>
            <w:tcW w:w="297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стр. 1520 / стр. 1230</w:t>
            </w:r>
          </w:p>
        </w:tc>
        <w:tc>
          <w:tcPr>
            <w:tcW w:w="17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  <w:vertAlign w:val="subscript"/>
              </w:rPr>
              <w:t>2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= 1</w:t>
            </w:r>
          </w:p>
        </w:tc>
      </w:tr>
      <w:tr w:rsidR="009B2B8D" w:rsidRPr="009B2B8D" w:rsidTr="00D17D11">
        <w:trPr>
          <w:trHeight w:val="181"/>
        </w:trPr>
        <w:tc>
          <w:tcPr>
            <w:tcW w:w="99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3</w:t>
            </w:r>
          </w:p>
        </w:tc>
        <w:tc>
          <w:tcPr>
            <w:tcW w:w="36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  <w:vertAlign w:val="subscript"/>
              </w:rPr>
              <w:t xml:space="preserve">3 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= Краткосрочные обязательства / Наиболее ликвидные активы</w:t>
            </w:r>
          </w:p>
        </w:tc>
        <w:tc>
          <w:tcPr>
            <w:tcW w:w="297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(стр.1520+стр1510)/ стр. 1250</w:t>
            </w:r>
          </w:p>
        </w:tc>
        <w:tc>
          <w:tcPr>
            <w:tcW w:w="17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  <w:vertAlign w:val="subscript"/>
              </w:rPr>
              <w:t>3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= 7</w:t>
            </w:r>
          </w:p>
        </w:tc>
      </w:tr>
      <w:tr w:rsidR="009B2B8D" w:rsidRPr="009B2B8D" w:rsidTr="00D17D11">
        <w:trPr>
          <w:trHeight w:val="404"/>
        </w:trPr>
        <w:tc>
          <w:tcPr>
            <w:tcW w:w="99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4</w:t>
            </w:r>
          </w:p>
        </w:tc>
        <w:tc>
          <w:tcPr>
            <w:tcW w:w="36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  <w:vertAlign w:val="subscript"/>
              </w:rPr>
              <w:t xml:space="preserve">4 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= Прибыль до налогообложения / Выручка</w:t>
            </w:r>
          </w:p>
        </w:tc>
        <w:tc>
          <w:tcPr>
            <w:tcW w:w="297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стр. 2300 / стр. 2110</w:t>
            </w:r>
          </w:p>
        </w:tc>
        <w:tc>
          <w:tcPr>
            <w:tcW w:w="17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  <w:vertAlign w:val="subscript"/>
              </w:rPr>
              <w:t>4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= 0</w:t>
            </w:r>
          </w:p>
        </w:tc>
      </w:tr>
      <w:tr w:rsidR="009B2B8D" w:rsidRPr="009B2B8D" w:rsidTr="00D17D11">
        <w:trPr>
          <w:trHeight w:val="571"/>
        </w:trPr>
        <w:tc>
          <w:tcPr>
            <w:tcW w:w="99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</w:t>
            </w:r>
            <w:r w:rsidRPr="009B2B8D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5</w:t>
            </w:r>
          </w:p>
        </w:tc>
        <w:tc>
          <w:tcPr>
            <w:tcW w:w="36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  <w:vertAlign w:val="subscript"/>
              </w:rPr>
              <w:t xml:space="preserve">5 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=Заемный капитал / Собственный капитал</w:t>
            </w:r>
          </w:p>
        </w:tc>
        <w:tc>
          <w:tcPr>
            <w:tcW w:w="297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(стр.1400+стр.1500)/стр.1300</w:t>
            </w:r>
          </w:p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  <w:vertAlign w:val="subscript"/>
              </w:rPr>
              <w:t>5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= 0,7</w:t>
            </w:r>
          </w:p>
        </w:tc>
      </w:tr>
      <w:tr w:rsidR="009B2B8D" w:rsidRPr="009B2B8D" w:rsidTr="00D17D11">
        <w:trPr>
          <w:trHeight w:val="233"/>
        </w:trPr>
        <w:tc>
          <w:tcPr>
            <w:tcW w:w="99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6</w:t>
            </w:r>
          </w:p>
        </w:tc>
        <w:tc>
          <w:tcPr>
            <w:tcW w:w="36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  <w:vertAlign w:val="subscript"/>
              </w:rPr>
              <w:t xml:space="preserve">6 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= Активы / Выручка</w:t>
            </w:r>
          </w:p>
        </w:tc>
        <w:tc>
          <w:tcPr>
            <w:tcW w:w="297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стр. 1600 / стр. 2110</w:t>
            </w:r>
          </w:p>
        </w:tc>
        <w:tc>
          <w:tcPr>
            <w:tcW w:w="170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  <w:vertAlign w:val="subscript"/>
              </w:rPr>
              <w:t>6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=К</w:t>
            </w:r>
            <w:r w:rsidRPr="009B2B8D">
              <w:rPr>
                <w:rFonts w:ascii="Times New Roman" w:hAnsi="Times New Roman" w:cs="Times New Roman"/>
                <w:iCs/>
                <w:sz w:val="24"/>
                <w:szCs w:val="28"/>
                <w:vertAlign w:val="subscript"/>
              </w:rPr>
              <w:t>6 прошлого года</w:t>
            </w:r>
          </w:p>
        </w:tc>
      </w:tr>
    </w:tbl>
    <w:p w:rsidR="009B2B8D" w:rsidRPr="009B2B8D" w:rsidRDefault="009B2B8D" w:rsidP="009B2B8D">
      <w:pPr>
        <w:spacing w:after="3" w:line="369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К1=0.31; К2=1.03;</w:t>
      </w:r>
    </w:p>
    <w:p w:rsidR="009B2B8D" w:rsidRPr="009B2B8D" w:rsidRDefault="009B2B8D" w:rsidP="009B2B8D">
      <w:pPr>
        <w:spacing w:after="3" w:line="369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 xml:space="preserve">К3=2.21; К4=0.07; </w:t>
      </w:r>
    </w:p>
    <w:p w:rsidR="009B2B8D" w:rsidRPr="009B2B8D" w:rsidRDefault="009B2B8D" w:rsidP="009B2B8D">
      <w:pPr>
        <w:spacing w:after="3" w:line="369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К5=0.62; К6=0.4; К6прошл.года=0.4</w:t>
      </w:r>
    </w:p>
    <w:p w:rsidR="009B2B8D" w:rsidRPr="009B2B8D" w:rsidRDefault="009B2B8D" w:rsidP="009B2B8D">
      <w:pPr>
        <w:spacing w:after="3" w:line="369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К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  <w:vertAlign w:val="subscript"/>
        </w:rPr>
        <w:t>факт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=0.25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0.31+0.1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1.03+0.2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2.21+0.25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0.07+0.1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0.62+0.1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212034"/>
          <w:sz w:val="28"/>
          <w:szCs w:val="28"/>
        </w:rPr>
        <w:t>0.4=0.74</w:t>
      </w:r>
    </w:p>
    <w:p w:rsidR="009B2B8D" w:rsidRPr="009B2B8D" w:rsidRDefault="009B2B8D" w:rsidP="009B2B8D">
      <w:pPr>
        <w:spacing w:after="3" w:line="369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Для определения вероятности банкротства предприятия необходимо произвести сравнение фактического значения интегрального показателя с нормативным.</w:t>
      </w:r>
    </w:p>
    <w:p w:rsidR="009B2B8D" w:rsidRPr="009B2B8D" w:rsidRDefault="009B2B8D" w:rsidP="009B2B8D">
      <w:pPr>
        <w:spacing w:after="3" w:line="369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9B2B8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факт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 xml:space="preserve"> сравнивается с К</w:t>
      </w:r>
      <w:r w:rsidRPr="009B2B8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норматив.</w:t>
      </w:r>
    </w:p>
    <w:p w:rsidR="009B2B8D" w:rsidRPr="009B2B8D" w:rsidRDefault="009B2B8D" w:rsidP="009B2B8D">
      <w:pPr>
        <w:spacing w:after="3" w:line="369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Нормативное значение К</w:t>
      </w:r>
      <w:r w:rsidRPr="009B2B8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норматив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 xml:space="preserve"> рассчитывается по следующей формуле:</w:t>
      </w:r>
    </w:p>
    <w:p w:rsidR="009B2B8D" w:rsidRPr="009B2B8D" w:rsidRDefault="009B2B8D" w:rsidP="009B2B8D">
      <w:pPr>
        <w:tabs>
          <w:tab w:val="center" w:pos="4677"/>
          <w:tab w:val="right" w:pos="9355"/>
        </w:tabs>
        <w:spacing w:after="3" w:line="369" w:lineRule="auto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bCs/>
          <w:color w:val="000000"/>
          <w:sz w:val="28"/>
          <w:szCs w:val="28"/>
        </w:rPr>
        <w:tab/>
        <w:t>К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норматив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0.25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</w:rPr>
        <w:t>0+0.1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</w:rPr>
        <w:t>1+0.2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</w:rPr>
        <w:t>7+0.25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</w:rPr>
        <w:t>0+0.1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</w:rPr>
        <w:t>0.7+0.1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×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6прошл.года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ab/>
      </w:r>
    </w:p>
    <w:p w:rsidR="009B2B8D" w:rsidRPr="009B2B8D" w:rsidRDefault="009B2B8D" w:rsidP="009B2B8D">
      <w:pPr>
        <w:spacing w:after="3" w:line="369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норматив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1.61, следовательно, 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0.74&lt;1.61</w:t>
      </w:r>
    </w:p>
    <w:p w:rsidR="009B2B8D" w:rsidRPr="009B2B8D" w:rsidRDefault="009B2B8D" w:rsidP="009B2B8D">
      <w:pPr>
        <w:spacing w:after="3" w:line="369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 xml:space="preserve">Если 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факт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</w:rPr>
        <w:t>&gt;К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норматив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, то высока вероятность банкротства предприятия.</w:t>
      </w:r>
    </w:p>
    <w:p w:rsidR="009B2B8D" w:rsidRPr="009B2B8D" w:rsidRDefault="009B2B8D" w:rsidP="009B2B8D">
      <w:pPr>
        <w:spacing w:after="3" w:line="369" w:lineRule="auto"/>
        <w:ind w:hanging="1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ab/>
        <w:t>Если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факт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&lt;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Pr="009B2B8D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норматив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, то риск банкротства незначительный.</w:t>
      </w:r>
    </w:p>
    <w:p w:rsidR="009B2B8D" w:rsidRPr="009B2B8D" w:rsidRDefault="009B2B8D" w:rsidP="009B2B8D">
      <w:pPr>
        <w:spacing w:after="3" w:line="369" w:lineRule="auto"/>
        <w:ind w:hanging="1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 xml:space="preserve">Следовательно, риск банкротства минимальный. </w:t>
      </w:r>
    </w:p>
    <w:p w:rsidR="009B2B8D" w:rsidRPr="009B2B8D" w:rsidRDefault="009B2B8D" w:rsidP="009B2B8D">
      <w:pPr>
        <w:spacing w:after="3" w:line="369" w:lineRule="auto"/>
        <w:ind w:hanging="1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ab/>
        <w:t>Модель Р.С. Сайфуллина – Г.Г. Кадыкова рассчитывается по формуле:</w:t>
      </w:r>
    </w:p>
    <w:p w:rsidR="009B2B8D" w:rsidRPr="009B2B8D" w:rsidRDefault="009B2B8D" w:rsidP="009B2B8D">
      <w:pPr>
        <w:tabs>
          <w:tab w:val="left" w:pos="708"/>
          <w:tab w:val="left" w:pos="1861"/>
          <w:tab w:val="center" w:pos="4677"/>
          <w:tab w:val="left" w:pos="8540"/>
        </w:tabs>
        <w:spacing w:after="3" w:line="369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ab/>
        <w:t>R = 2×K1 + 0,1×K2 + 0,08×K3 + 0,45×K4 + K5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</w:t>
      </w:r>
    </w:p>
    <w:p w:rsidR="009B2B8D" w:rsidRDefault="009B2B8D" w:rsidP="009B2B8D">
      <w:pPr>
        <w:spacing w:after="3" w:line="369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ab/>
        <w:t>Система коэффициентов модели Р.С. Сайфуллина – Г.Г. Кадыкова представлена в таблице 15.</w:t>
      </w:r>
    </w:p>
    <w:p w:rsidR="00631F32" w:rsidRDefault="00631F32" w:rsidP="009B2B8D">
      <w:pPr>
        <w:spacing w:after="3" w:line="369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31F32" w:rsidRDefault="00631F32" w:rsidP="009B2B8D">
      <w:pPr>
        <w:spacing w:after="3" w:line="369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31F32" w:rsidRDefault="00631F32" w:rsidP="009B2B8D">
      <w:pPr>
        <w:spacing w:after="3" w:line="369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31F32" w:rsidRDefault="00631F32" w:rsidP="009B2B8D">
      <w:pPr>
        <w:spacing w:after="3" w:line="369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31F32" w:rsidRDefault="00631F32" w:rsidP="009B2B8D">
      <w:pPr>
        <w:spacing w:after="3" w:line="369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31F32" w:rsidRPr="009B2B8D" w:rsidRDefault="00631F32" w:rsidP="009B2B8D">
      <w:pPr>
        <w:spacing w:after="3" w:line="369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B2B8D" w:rsidRPr="009B2B8D" w:rsidRDefault="009B2B8D" w:rsidP="009B2B8D">
      <w:pPr>
        <w:tabs>
          <w:tab w:val="left" w:pos="708"/>
          <w:tab w:val="left" w:pos="1861"/>
        </w:tabs>
        <w:spacing w:after="3" w:line="369" w:lineRule="auto"/>
        <w:ind w:hanging="284"/>
        <w:contextualSpacing/>
        <w:rPr>
          <w:rFonts w:ascii="Times New Roman" w:hAnsi="Times New Roman" w:cs="Times New Roman"/>
          <w:color w:val="212034"/>
          <w:sz w:val="28"/>
          <w:szCs w:val="28"/>
        </w:rPr>
      </w:pPr>
      <w:r w:rsidRPr="009B2B8D">
        <w:rPr>
          <w:rFonts w:ascii="Times New Roman" w:hAnsi="Times New Roman" w:cs="Times New Roman"/>
          <w:color w:val="212034"/>
          <w:sz w:val="28"/>
          <w:szCs w:val="28"/>
        </w:rPr>
        <w:lastRenderedPageBreak/>
        <w:tab/>
        <w:t>Таблица 15 – Система коэффициентов модели Р.С. Сайфуллина - Г.Г. Кадыкова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5"/>
        <w:gridCol w:w="3685"/>
        <w:gridCol w:w="4384"/>
      </w:tblGrid>
      <w:tr w:rsidR="009B2B8D" w:rsidRPr="009B2B8D" w:rsidTr="00D17D11">
        <w:trPr>
          <w:trHeight w:val="135"/>
        </w:trPr>
        <w:tc>
          <w:tcPr>
            <w:tcW w:w="114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Коэффициент</w:t>
            </w:r>
          </w:p>
        </w:tc>
        <w:tc>
          <w:tcPr>
            <w:tcW w:w="36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Формула вычисления коэффициента</w:t>
            </w:r>
          </w:p>
        </w:tc>
        <w:tc>
          <w:tcPr>
            <w:tcW w:w="438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Расчет по РСБУ</w:t>
            </w:r>
          </w:p>
        </w:tc>
      </w:tr>
      <w:tr w:rsidR="009B2B8D" w:rsidRPr="009B2B8D" w:rsidTr="00D17D11">
        <w:trPr>
          <w:trHeight w:val="459"/>
        </w:trPr>
        <w:tc>
          <w:tcPr>
            <w:tcW w:w="114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1</w:t>
            </w:r>
          </w:p>
        </w:tc>
        <w:tc>
          <w:tcPr>
            <w:tcW w:w="36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К1 = (Собственный капитал – Внеоборотные активы) / Оборотные активы</w:t>
            </w:r>
          </w:p>
        </w:tc>
        <w:tc>
          <w:tcPr>
            <w:tcW w:w="438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(стр.1300-стр.1100) / стр.1200</w:t>
            </w:r>
          </w:p>
        </w:tc>
      </w:tr>
      <w:tr w:rsidR="009B2B8D" w:rsidRPr="009B2B8D" w:rsidTr="00D17D11">
        <w:trPr>
          <w:trHeight w:val="517"/>
        </w:trPr>
        <w:tc>
          <w:tcPr>
            <w:tcW w:w="114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2</w:t>
            </w:r>
          </w:p>
        </w:tc>
        <w:tc>
          <w:tcPr>
            <w:tcW w:w="36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К2 = Оборотные активы / Краткосрочные обязательства</w:t>
            </w:r>
          </w:p>
        </w:tc>
        <w:tc>
          <w:tcPr>
            <w:tcW w:w="438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стр.1200 / (стр.1520 + стр. 1510+стр. 1550)</w:t>
            </w:r>
          </w:p>
        </w:tc>
      </w:tr>
      <w:tr w:rsidR="009B2B8D" w:rsidRPr="009B2B8D" w:rsidTr="00D17D11">
        <w:trPr>
          <w:trHeight w:val="132"/>
        </w:trPr>
        <w:tc>
          <w:tcPr>
            <w:tcW w:w="114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3</w:t>
            </w:r>
          </w:p>
        </w:tc>
        <w:tc>
          <w:tcPr>
            <w:tcW w:w="36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К3 = Выручка / Среднегодовая стоимость активов</w:t>
            </w:r>
          </w:p>
        </w:tc>
        <w:tc>
          <w:tcPr>
            <w:tcW w:w="438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стр.2110 / [(стр.1600н.п.+стр.1600кп.)×0.5]</w:t>
            </w:r>
          </w:p>
        </w:tc>
      </w:tr>
      <w:tr w:rsidR="009B2B8D" w:rsidRPr="009B2B8D" w:rsidTr="00D17D11">
        <w:tc>
          <w:tcPr>
            <w:tcW w:w="114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4</w:t>
            </w:r>
          </w:p>
        </w:tc>
        <w:tc>
          <w:tcPr>
            <w:tcW w:w="36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К4 = Чистая прибыль/Выручка</w:t>
            </w:r>
          </w:p>
        </w:tc>
        <w:tc>
          <w:tcPr>
            <w:tcW w:w="438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стр.2400/стр.2110</w:t>
            </w:r>
          </w:p>
        </w:tc>
      </w:tr>
      <w:tr w:rsidR="009B2B8D" w:rsidRPr="009B2B8D" w:rsidTr="00D17D11">
        <w:trPr>
          <w:trHeight w:val="27"/>
        </w:trPr>
        <w:tc>
          <w:tcPr>
            <w:tcW w:w="114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5</w:t>
            </w:r>
          </w:p>
        </w:tc>
        <w:tc>
          <w:tcPr>
            <w:tcW w:w="368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К5 = Чистая прибыль / Собственный капитал</w:t>
            </w:r>
          </w:p>
        </w:tc>
        <w:tc>
          <w:tcPr>
            <w:tcW w:w="438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sz w:val="24"/>
                <w:szCs w:val="28"/>
              </w:rPr>
              <w:t>стр.2400 / стр.1300</w:t>
            </w:r>
          </w:p>
        </w:tc>
      </w:tr>
    </w:tbl>
    <w:p w:rsidR="009B2B8D" w:rsidRPr="009B2B8D" w:rsidRDefault="009B2B8D" w:rsidP="009B2B8D">
      <w:pPr>
        <w:spacing w:after="3" w:line="369" w:lineRule="auto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К1=0.5; К2=2.12;</w:t>
      </w:r>
    </w:p>
    <w:p w:rsidR="009B2B8D" w:rsidRPr="009B2B8D" w:rsidRDefault="009B2B8D" w:rsidP="009B2B8D">
      <w:pPr>
        <w:spacing w:after="3" w:line="369" w:lineRule="auto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К3=5.11; К4=0.06; К5=0.25</w:t>
      </w:r>
    </w:p>
    <w:p w:rsidR="009B2B8D" w:rsidRPr="009B2B8D" w:rsidRDefault="009B2B8D" w:rsidP="009B2B8D">
      <w:pPr>
        <w:spacing w:after="3" w:line="369" w:lineRule="auto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R=2×0.5+ 0.1×2.12+0.08×5.11+0.45×0.06+0.25=1.9</w:t>
      </w:r>
    </w:p>
    <w:p w:rsidR="009B2B8D" w:rsidRPr="009B2B8D" w:rsidRDefault="009B2B8D" w:rsidP="009B2B8D">
      <w:pPr>
        <w:spacing w:after="3" w:line="369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Если значение итогового показателя R&lt;1, то вероятность банкротства считается высокой.</w:t>
      </w:r>
    </w:p>
    <w:p w:rsidR="009B2B8D" w:rsidRPr="009B2B8D" w:rsidRDefault="009B2B8D" w:rsidP="009B2B8D">
      <w:pPr>
        <w:spacing w:after="3" w:line="369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Если значение итогового показателя R&gt;1, то вероятность банкротства низкая.</w:t>
      </w:r>
    </w:p>
    <w:p w:rsidR="009B2B8D" w:rsidRPr="009B2B8D" w:rsidRDefault="009B2B8D" w:rsidP="009B2B8D">
      <w:pPr>
        <w:spacing w:after="3" w:line="369" w:lineRule="auto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Исходя из вышеперечисленного следует, что R&gt;1 или 1.9 &gt;1</w:t>
      </w:r>
    </w:p>
    <w:p w:rsidR="009B2B8D" w:rsidRPr="009B2B8D" w:rsidRDefault="009B2B8D" w:rsidP="009B2B8D">
      <w:pPr>
        <w:spacing w:after="3" w:line="369" w:lineRule="auto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Вероятность банкротства низкая.</w:t>
      </w:r>
    </w:p>
    <w:p w:rsidR="009B2B8D" w:rsidRPr="009B2B8D" w:rsidRDefault="009B2B8D" w:rsidP="009B2B8D">
      <w:pPr>
        <w:spacing w:line="360" w:lineRule="auto"/>
        <w:ind w:left="78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Модель А.Ю. Беликова-Г.В. Давыдовой (Иркутская модель) рассчитывается по формуле</w:t>
      </w:r>
    </w:p>
    <w:p w:rsidR="009B2B8D" w:rsidRPr="009B2B8D" w:rsidRDefault="009B2B8D" w:rsidP="009B2B8D">
      <w:pPr>
        <w:spacing w:after="3" w:line="369" w:lineRule="auto"/>
        <w:ind w:hanging="1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Z= 8,38×K1 + 1×K2 + 0,054×K3 + 0,63×K4                         </w:t>
      </w:r>
    </w:p>
    <w:p w:rsidR="009B2B8D" w:rsidRDefault="009B2B8D" w:rsidP="009B2B8D">
      <w:pPr>
        <w:spacing w:after="3" w:line="369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Система коэффициентов модели представлена в таблице 16.</w:t>
      </w:r>
    </w:p>
    <w:p w:rsidR="00631F32" w:rsidRDefault="00631F32" w:rsidP="009B2B8D">
      <w:pPr>
        <w:spacing w:after="3" w:line="369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31F32" w:rsidRDefault="00631F32" w:rsidP="009B2B8D">
      <w:pPr>
        <w:spacing w:after="3" w:line="369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31F32" w:rsidRPr="009B2B8D" w:rsidRDefault="00631F32" w:rsidP="009B2B8D">
      <w:pPr>
        <w:spacing w:after="3" w:line="369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B2B8D" w:rsidRPr="009B2B8D" w:rsidRDefault="009B2B8D" w:rsidP="009B2B8D">
      <w:pPr>
        <w:tabs>
          <w:tab w:val="left" w:pos="708"/>
          <w:tab w:val="left" w:pos="1861"/>
        </w:tabs>
        <w:spacing w:after="3" w:line="369" w:lineRule="auto"/>
        <w:ind w:hanging="284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212034"/>
          <w:sz w:val="28"/>
          <w:szCs w:val="28"/>
        </w:rPr>
        <w:lastRenderedPageBreak/>
        <w:tab/>
      </w:r>
      <w:r w:rsidRPr="009B2B8D">
        <w:rPr>
          <w:rFonts w:ascii="Times New Roman" w:hAnsi="Times New Roman" w:cs="Times New Roman"/>
          <w:color w:val="212034"/>
          <w:sz w:val="28"/>
          <w:szCs w:val="28"/>
        </w:rPr>
        <w:tab/>
        <w:t xml:space="preserve">Таблица 16 – Система коэффициентов 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А.Ю. Беликова - Г.В. Давыдовой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4"/>
        <w:gridCol w:w="3828"/>
        <w:gridCol w:w="3672"/>
      </w:tblGrid>
      <w:tr w:rsidR="009B2B8D" w:rsidRPr="009B2B8D" w:rsidTr="00D17D11">
        <w:tc>
          <w:tcPr>
            <w:tcW w:w="171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spacing w:before="100" w:beforeAutospacing="1" w:after="100" w:afterAutospacing="1"/>
              <w:ind w:firstLine="9"/>
              <w:jc w:val="center"/>
              <w:rPr>
                <w:rFonts w:ascii="Times New Roman" w:hAnsi="Times New Roman" w:cs="Times New Roman"/>
                <w:color w:val="212034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bCs/>
                <w:color w:val="212034"/>
                <w:sz w:val="24"/>
                <w:szCs w:val="28"/>
              </w:rPr>
              <w:t>Коэффициент</w:t>
            </w:r>
          </w:p>
        </w:tc>
        <w:tc>
          <w:tcPr>
            <w:tcW w:w="382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spacing w:before="100" w:beforeAutospacing="1" w:after="100" w:afterAutospacing="1"/>
              <w:ind w:firstLine="9"/>
              <w:jc w:val="center"/>
              <w:rPr>
                <w:rFonts w:ascii="Times New Roman" w:hAnsi="Times New Roman" w:cs="Times New Roman"/>
                <w:color w:val="212034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bCs/>
                <w:color w:val="212034"/>
                <w:sz w:val="24"/>
                <w:szCs w:val="28"/>
              </w:rPr>
              <w:t>Формула вычисления коэффициента</w:t>
            </w:r>
          </w:p>
        </w:tc>
        <w:tc>
          <w:tcPr>
            <w:tcW w:w="367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spacing w:before="100" w:beforeAutospacing="1" w:after="100" w:afterAutospacing="1"/>
              <w:ind w:firstLine="9"/>
              <w:jc w:val="center"/>
              <w:rPr>
                <w:rFonts w:ascii="Times New Roman" w:hAnsi="Times New Roman" w:cs="Times New Roman"/>
                <w:color w:val="212034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bCs/>
                <w:color w:val="212034"/>
                <w:sz w:val="24"/>
                <w:szCs w:val="28"/>
              </w:rPr>
              <w:t>Расчет по РСБУ</w:t>
            </w:r>
          </w:p>
        </w:tc>
      </w:tr>
      <w:tr w:rsidR="009B2B8D" w:rsidRPr="009B2B8D" w:rsidTr="00D17D11">
        <w:tc>
          <w:tcPr>
            <w:tcW w:w="171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spacing w:before="100" w:beforeAutospacing="1" w:after="100" w:afterAutospacing="1"/>
              <w:ind w:firstLine="9"/>
              <w:jc w:val="center"/>
              <w:rPr>
                <w:rFonts w:ascii="Times New Roman" w:hAnsi="Times New Roman" w:cs="Times New Roman"/>
                <w:color w:val="212034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color w:val="212034"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color w:val="212034"/>
                <w:sz w:val="24"/>
                <w:szCs w:val="28"/>
                <w:vertAlign w:val="subscript"/>
              </w:rPr>
              <w:t>1</w:t>
            </w:r>
          </w:p>
        </w:tc>
        <w:tc>
          <w:tcPr>
            <w:tcW w:w="382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B2B8D" w:rsidRPr="009B2B8D" w:rsidRDefault="009B2B8D" w:rsidP="00D17D11">
            <w:pPr>
              <w:spacing w:after="3"/>
              <w:ind w:firstLine="9"/>
              <w:jc w:val="center"/>
              <w:rPr>
                <w:rFonts w:ascii="Times New Roman" w:hAnsi="Times New Roman" w:cs="Times New Roman"/>
                <w:color w:val="212034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К1 Оборотный капитал / Активы</w:t>
            </w:r>
          </w:p>
        </w:tc>
        <w:tc>
          <w:tcPr>
            <w:tcW w:w="367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B2B8D" w:rsidRPr="009B2B8D" w:rsidRDefault="009B2B8D" w:rsidP="00D17D11">
            <w:pPr>
              <w:spacing w:after="3"/>
              <w:ind w:firstLine="9"/>
              <w:jc w:val="center"/>
              <w:rPr>
                <w:rFonts w:ascii="Times New Roman" w:hAnsi="Times New Roman" w:cs="Times New Roman"/>
                <w:color w:val="212034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color w:val="212034"/>
                <w:sz w:val="24"/>
                <w:szCs w:val="28"/>
              </w:rPr>
              <w:t>(стр.1200-стр.1500)/ стр.1600</w:t>
            </w:r>
          </w:p>
        </w:tc>
      </w:tr>
      <w:tr w:rsidR="009B2B8D" w:rsidRPr="009B2B8D" w:rsidTr="00D17D11">
        <w:tc>
          <w:tcPr>
            <w:tcW w:w="171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spacing w:before="100" w:beforeAutospacing="1" w:after="100" w:afterAutospacing="1"/>
              <w:ind w:firstLine="9"/>
              <w:jc w:val="center"/>
              <w:rPr>
                <w:rFonts w:ascii="Times New Roman" w:hAnsi="Times New Roman" w:cs="Times New Roman"/>
                <w:color w:val="212034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color w:val="212034"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color w:val="212034"/>
                <w:sz w:val="24"/>
                <w:szCs w:val="28"/>
                <w:vertAlign w:val="subscript"/>
              </w:rPr>
              <w:t>2</w:t>
            </w:r>
          </w:p>
        </w:tc>
        <w:tc>
          <w:tcPr>
            <w:tcW w:w="382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B2B8D" w:rsidRPr="009B2B8D" w:rsidRDefault="009B2B8D" w:rsidP="00D17D11">
            <w:pPr>
              <w:spacing w:before="100" w:beforeAutospacing="1" w:after="100" w:afterAutospacing="1"/>
              <w:ind w:firstLine="9"/>
              <w:jc w:val="center"/>
              <w:rPr>
                <w:rFonts w:ascii="Times New Roman" w:hAnsi="Times New Roman" w:cs="Times New Roman"/>
                <w:color w:val="212034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color w:val="212034"/>
                <w:sz w:val="24"/>
                <w:szCs w:val="28"/>
              </w:rPr>
              <w:t>К2 Чистая прибыль / Собственный капитал</w:t>
            </w:r>
          </w:p>
        </w:tc>
        <w:tc>
          <w:tcPr>
            <w:tcW w:w="367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B2B8D" w:rsidRPr="009B2B8D" w:rsidRDefault="009B2B8D" w:rsidP="00D17D11">
            <w:pPr>
              <w:spacing w:before="100" w:beforeAutospacing="1" w:after="100" w:afterAutospacing="1"/>
              <w:ind w:firstLine="9"/>
              <w:jc w:val="center"/>
              <w:rPr>
                <w:rFonts w:ascii="Times New Roman" w:hAnsi="Times New Roman" w:cs="Times New Roman"/>
                <w:color w:val="212034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color w:val="212034"/>
                <w:sz w:val="24"/>
                <w:szCs w:val="28"/>
              </w:rPr>
              <w:t>стр.2400 / стр.1300</w:t>
            </w:r>
          </w:p>
        </w:tc>
      </w:tr>
      <w:tr w:rsidR="009B2B8D" w:rsidRPr="009B2B8D" w:rsidTr="00D17D11">
        <w:tc>
          <w:tcPr>
            <w:tcW w:w="171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9B2B8D" w:rsidRPr="009B2B8D" w:rsidRDefault="009B2B8D" w:rsidP="00D17D11">
            <w:pPr>
              <w:spacing w:before="100" w:beforeAutospacing="1" w:after="100" w:afterAutospacing="1"/>
              <w:ind w:firstLine="9"/>
              <w:jc w:val="center"/>
              <w:rPr>
                <w:rFonts w:ascii="Times New Roman" w:hAnsi="Times New Roman" w:cs="Times New Roman"/>
                <w:color w:val="212034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color w:val="212034"/>
                <w:sz w:val="24"/>
                <w:szCs w:val="28"/>
              </w:rPr>
              <w:t>К</w:t>
            </w:r>
            <w:r w:rsidRPr="009B2B8D">
              <w:rPr>
                <w:rFonts w:ascii="Times New Roman" w:hAnsi="Times New Roman" w:cs="Times New Roman"/>
                <w:color w:val="212034"/>
                <w:sz w:val="24"/>
                <w:szCs w:val="28"/>
                <w:vertAlign w:val="subscript"/>
              </w:rPr>
              <w:t>3</w:t>
            </w:r>
          </w:p>
        </w:tc>
        <w:tc>
          <w:tcPr>
            <w:tcW w:w="382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B2B8D" w:rsidRPr="009B2B8D" w:rsidRDefault="009B2B8D" w:rsidP="00D17D11">
            <w:pPr>
              <w:spacing w:before="100" w:beforeAutospacing="1" w:after="100" w:afterAutospacing="1"/>
              <w:ind w:firstLine="9"/>
              <w:jc w:val="center"/>
              <w:rPr>
                <w:rFonts w:ascii="Times New Roman" w:hAnsi="Times New Roman" w:cs="Times New Roman"/>
                <w:iCs/>
                <w:color w:val="212034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iCs/>
                <w:color w:val="212034"/>
                <w:sz w:val="24"/>
                <w:szCs w:val="28"/>
              </w:rPr>
              <w:t>К3 Выручка / Активы</w:t>
            </w:r>
          </w:p>
        </w:tc>
        <w:tc>
          <w:tcPr>
            <w:tcW w:w="367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9B2B8D" w:rsidRPr="009B2B8D" w:rsidRDefault="009B2B8D" w:rsidP="00D17D11">
            <w:pPr>
              <w:spacing w:before="100" w:beforeAutospacing="1" w:after="100" w:afterAutospacing="1"/>
              <w:ind w:firstLine="9"/>
              <w:jc w:val="center"/>
              <w:rPr>
                <w:rFonts w:ascii="Times New Roman" w:hAnsi="Times New Roman" w:cs="Times New Roman"/>
                <w:color w:val="212034"/>
                <w:sz w:val="24"/>
                <w:szCs w:val="28"/>
              </w:rPr>
            </w:pPr>
            <w:r w:rsidRPr="009B2B8D">
              <w:rPr>
                <w:rFonts w:ascii="Times New Roman" w:hAnsi="Times New Roman" w:cs="Times New Roman"/>
                <w:color w:val="212034"/>
                <w:sz w:val="24"/>
                <w:szCs w:val="28"/>
              </w:rPr>
              <w:t>стр.2110 / стр.1600</w:t>
            </w:r>
          </w:p>
        </w:tc>
      </w:tr>
    </w:tbl>
    <w:p w:rsidR="009B2B8D" w:rsidRPr="009B2B8D" w:rsidRDefault="009B2B8D" w:rsidP="009B2B8D">
      <w:pPr>
        <w:tabs>
          <w:tab w:val="left" w:pos="6453"/>
        </w:tabs>
        <w:spacing w:after="3" w:line="369" w:lineRule="auto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Интерпретация полученных результатов проводится по следующим</w:t>
      </w:r>
    </w:p>
    <w:p w:rsidR="009B2B8D" w:rsidRPr="009B2B8D" w:rsidRDefault="009B2B8D" w:rsidP="009B2B8D">
      <w:pPr>
        <w:tabs>
          <w:tab w:val="left" w:pos="6453"/>
        </w:tabs>
        <w:spacing w:after="3" w:line="369" w:lineRule="auto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условиям:</w:t>
      </w:r>
    </w:p>
    <w:p w:rsidR="009B2B8D" w:rsidRPr="009B2B8D" w:rsidRDefault="009B2B8D" w:rsidP="009B2B8D">
      <w:pPr>
        <w:spacing w:after="3" w:line="369" w:lineRule="auto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 xml:space="preserve">К1=0.38, К2=0.25, </w:t>
      </w:r>
    </w:p>
    <w:p w:rsidR="009B2B8D" w:rsidRPr="009B2B8D" w:rsidRDefault="009B2B8D" w:rsidP="009B2B8D">
      <w:pPr>
        <w:spacing w:after="3" w:line="369" w:lineRule="auto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К3=2.55, К4=0.10</w:t>
      </w:r>
    </w:p>
    <w:p w:rsidR="009B2B8D" w:rsidRPr="009B2B8D" w:rsidRDefault="009B2B8D" w:rsidP="009B2B8D">
      <w:pPr>
        <w:spacing w:after="3" w:line="369" w:lineRule="auto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  <w:lang w:val="en-US"/>
        </w:rPr>
        <w:t>Z</w:t>
      </w:r>
      <w:r w:rsidRPr="009B2B8D">
        <w:rPr>
          <w:rFonts w:ascii="Times New Roman" w:hAnsi="Times New Roman" w:cs="Times New Roman"/>
          <w:color w:val="000000"/>
          <w:sz w:val="28"/>
          <w:szCs w:val="28"/>
        </w:rPr>
        <w:t>=8.38×0.38+ 1×0.25+ 0.054×2.55+ 0.63×0.10</w:t>
      </w:r>
    </w:p>
    <w:p w:rsidR="009B2B8D" w:rsidRPr="009B2B8D" w:rsidRDefault="009B2B8D" w:rsidP="009B2B8D">
      <w:pPr>
        <w:spacing w:after="3" w:line="369" w:lineRule="auto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Z=3.3&gt;0.42</w:t>
      </w:r>
    </w:p>
    <w:p w:rsidR="009B2B8D" w:rsidRPr="009B2B8D" w:rsidRDefault="009B2B8D" w:rsidP="009B2B8D">
      <w:pPr>
        <w:spacing w:after="3" w:line="369" w:lineRule="auto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Z=3.3&gt;0.42</w:t>
      </w:r>
    </w:p>
    <w:p w:rsidR="009B2B8D" w:rsidRPr="009B2B8D" w:rsidRDefault="009B2B8D" w:rsidP="009A4230">
      <w:pPr>
        <w:spacing w:after="3" w:line="369" w:lineRule="auto"/>
        <w:ind w:hanging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>Следовательно, риск банкротства минимальный.</w:t>
      </w:r>
    </w:p>
    <w:p w:rsidR="006C6A92" w:rsidRPr="009A4230" w:rsidRDefault="009B2B8D" w:rsidP="009A4230">
      <w:pPr>
        <w:spacing w:after="132" w:line="360" w:lineRule="auto"/>
        <w:ind w:right="2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B8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A4230" w:rsidRP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данной работе мы рассмотрели, основные показатели, которые</w:t>
      </w:r>
      <w:r w:rsid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230" w:rsidRP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</w:t>
      </w:r>
      <w:r w:rsid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чают за финансовую деятельность. </w:t>
      </w:r>
      <w:r w:rsidR="009A4230" w:rsidRP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подробно проанализировав деятельность </w:t>
      </w:r>
      <w:r w:rsid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«Аэромар» мы выявили, что</w:t>
      </w:r>
      <w:r w:rsidR="009A4230" w:rsidRP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</w:t>
      </w:r>
      <w:r w:rsid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230" w:rsidRP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стабильно растёт по экономическим показателям. Также к позитивным</w:t>
      </w:r>
      <w:r w:rsid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4230" w:rsidRP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моментам деятельности </w:t>
      </w:r>
      <w:r w:rsid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«Аэромар»</w:t>
      </w:r>
      <w:r w:rsidR="009A4230" w:rsidRP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отнести</w:t>
      </w:r>
      <w:r w:rsidR="009A4230" w:rsidRPr="009A4230">
        <w:t xml:space="preserve"> </w:t>
      </w:r>
      <w:r w:rsidR="009A4230" w:rsidRP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вышение прибыли за последние 3 года, также проанализировав </w:t>
      </w:r>
      <w:r w:rsidR="009A4230" w:rsidRPr="009A42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рассмотренные методы оценки вероятности наступления риска банкротства, можно дать заключение, что предприятие не будет подвержено банкротству, так как все расчеты по моделям дали положительный результат.</w:t>
      </w:r>
    </w:p>
    <w:p w:rsidR="009B2B8D" w:rsidRDefault="009B2B8D" w:rsidP="00631F3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230" w:rsidRDefault="009A4230" w:rsidP="00631F3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230" w:rsidRDefault="009A4230" w:rsidP="00631F3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230" w:rsidRDefault="009A4230" w:rsidP="00631F3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B8D" w:rsidRDefault="009B2B8D" w:rsidP="00D24A1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781" w:rsidRPr="009B2B8D" w:rsidRDefault="00691781" w:rsidP="00631F32">
      <w:pPr>
        <w:pStyle w:val="1"/>
        <w:rPr>
          <w:lang w:val="en-US"/>
        </w:rPr>
      </w:pPr>
      <w:bookmarkStart w:id="12" w:name="_Toc504647115"/>
      <w:bookmarkStart w:id="13" w:name="_Toc1726966"/>
      <w:r w:rsidRPr="009B2B8D">
        <w:lastRenderedPageBreak/>
        <w:t>Библиографический список</w:t>
      </w:r>
      <w:bookmarkEnd w:id="12"/>
      <w:bookmarkEnd w:id="13"/>
    </w:p>
    <w:p w:rsidR="00D1304C" w:rsidRPr="009B2B8D" w:rsidRDefault="00D1304C" w:rsidP="00D24A14">
      <w:pPr>
        <w:tabs>
          <w:tab w:val="left" w:pos="1134"/>
        </w:tabs>
        <w:spacing w:after="0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D1304C" w:rsidRPr="009B2B8D" w:rsidRDefault="00D1304C" w:rsidP="00D24A14">
      <w:pPr>
        <w:pStyle w:val="a5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_Ref32073397"/>
      <w:r w:rsidRPr="009B2B8D">
        <w:rPr>
          <w:rFonts w:ascii="Times New Roman" w:hAnsi="Times New Roman" w:cs="Times New Roman"/>
          <w:sz w:val="28"/>
          <w:szCs w:val="28"/>
          <w:lang w:eastAsia="ru-RU"/>
        </w:rPr>
        <w:t>Конституция Российской Федерации (принята всенародным голосованием 12.12.1993) //  СПС Гарант. - [Электронный ресурс]. – Режим доступа: http://constitution.garant.ru/</w:t>
      </w:r>
      <w:bookmarkEnd w:id="14"/>
    </w:p>
    <w:p w:rsidR="00D1304C" w:rsidRPr="009B2B8D" w:rsidRDefault="00D1304C" w:rsidP="00D24A14">
      <w:pPr>
        <w:pStyle w:val="a5"/>
        <w:widowControl w:val="0"/>
        <w:numPr>
          <w:ilvl w:val="0"/>
          <w:numId w:val="3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 Федеральный закон от 08.08.2001 № 129-ФЗ «О государственной регистрации юридических лиц и индивидуальных предпринимателей»// Российская газета от 10.08.2001г. №153</w:t>
      </w:r>
    </w:p>
    <w:p w:rsidR="00D1304C" w:rsidRPr="009B2B8D" w:rsidRDefault="00D1304C" w:rsidP="00D24A14">
      <w:pPr>
        <w:pStyle w:val="a5"/>
        <w:widowControl w:val="0"/>
        <w:numPr>
          <w:ilvl w:val="0"/>
          <w:numId w:val="3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 Федеральный закон от 26.07.2006 №135-ФЗ «О защите конкуренции» // </w:t>
      </w:r>
      <w:r w:rsidRPr="009B2B8D">
        <w:rPr>
          <w:rFonts w:ascii="Times New Roman" w:hAnsi="Times New Roman" w:cs="Times New Roman"/>
          <w:sz w:val="28"/>
          <w:szCs w:val="28"/>
          <w:lang w:eastAsia="ru-RU"/>
        </w:rPr>
        <w:t xml:space="preserve"> Парламентская газета  от 3.08.2006г. №126-127</w:t>
      </w:r>
    </w:p>
    <w:p w:rsidR="00D1304C" w:rsidRPr="009B2B8D" w:rsidRDefault="00D1304C" w:rsidP="00D24A14">
      <w:pPr>
        <w:pStyle w:val="a5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Федеральный закон от 17.08.1995 №147-ФЗ «О естественных монополиях: федеральный закон от» // </w:t>
      </w:r>
      <w:r w:rsidRPr="009B2B8D">
        <w:rPr>
          <w:rFonts w:ascii="Times New Roman" w:hAnsi="Times New Roman" w:cs="Times New Roman"/>
          <w:sz w:val="28"/>
          <w:szCs w:val="28"/>
          <w:lang w:eastAsia="ru-RU"/>
        </w:rPr>
        <w:t>Российская газета от 24.08.1995г. №164</w:t>
      </w:r>
    </w:p>
    <w:p w:rsidR="00D1304C" w:rsidRPr="009B2B8D" w:rsidRDefault="00D1304C" w:rsidP="00D24A14">
      <w:pPr>
        <w:pStyle w:val="a5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>Федеральный закон от 29.07.2004 №98-ФЗ «О коммерческой тайне»// «Российская газета» от 5.08.2004г. №166</w:t>
      </w:r>
    </w:p>
    <w:p w:rsidR="00E553E0" w:rsidRPr="009B2B8D" w:rsidRDefault="00E553E0" w:rsidP="00D24A14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D1304C" w:rsidRPr="009B2B8D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«Аэромар</w:t>
      </w:r>
      <w:r w:rsidRPr="009B2B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1304C" w:rsidRPr="009B2B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B2B8D">
        <w:rPr>
          <w:rFonts w:ascii="Times New Roman" w:hAnsi="Times New Roman" w:cs="Times New Roman"/>
          <w:sz w:val="28"/>
          <w:szCs w:val="28"/>
        </w:rPr>
        <w:t xml:space="preserve">– </w:t>
      </w:r>
      <w:r w:rsidR="00D1304C" w:rsidRPr="009B2B8D">
        <w:rPr>
          <w:rFonts w:ascii="Times New Roman" w:hAnsi="Times New Roman" w:cs="Times New Roman"/>
          <w:sz w:val="28"/>
          <w:szCs w:val="28"/>
        </w:rPr>
        <w:t>Химки</w:t>
      </w:r>
      <w:r w:rsidRPr="009B2B8D">
        <w:rPr>
          <w:rFonts w:ascii="Times New Roman" w:hAnsi="Times New Roman" w:cs="Times New Roman"/>
          <w:sz w:val="28"/>
          <w:szCs w:val="28"/>
        </w:rPr>
        <w:t>., 2014. – 47 с.</w:t>
      </w:r>
    </w:p>
    <w:p w:rsidR="00E553E0" w:rsidRPr="009B2B8D" w:rsidRDefault="00E553E0" w:rsidP="00D24A14">
      <w:pPr>
        <w:pStyle w:val="23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Данные первичного учёта и отчётности </w:t>
      </w:r>
      <w:r w:rsidR="00D1304C" w:rsidRPr="009B2B8D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«Аэромар»</w:t>
      </w:r>
      <w:r w:rsidR="00D1304C" w:rsidRPr="009B2B8D">
        <w:rPr>
          <w:rFonts w:ascii="Times New Roman" w:hAnsi="Times New Roman" w:cs="Times New Roman"/>
          <w:sz w:val="28"/>
          <w:szCs w:val="28"/>
        </w:rPr>
        <w:t>/ Электронный ресурс]: Официальный сайт компании «</w:t>
      </w:r>
      <w:r w:rsidR="00D1304C" w:rsidRPr="009B2B8D">
        <w:rPr>
          <w:rFonts w:ascii="Times New Roman" w:hAnsi="Times New Roman" w:cs="Times New Roman"/>
          <w:sz w:val="28"/>
          <w:szCs w:val="28"/>
          <w:lang w:val="en-US"/>
        </w:rPr>
        <w:t>Audit</w:t>
      </w:r>
      <w:r w:rsidR="00D1304C" w:rsidRPr="009B2B8D">
        <w:rPr>
          <w:rFonts w:ascii="Times New Roman" w:hAnsi="Times New Roman" w:cs="Times New Roman"/>
          <w:sz w:val="28"/>
          <w:szCs w:val="28"/>
        </w:rPr>
        <w:t>-</w:t>
      </w:r>
      <w:r w:rsidR="00D1304C" w:rsidRPr="009B2B8D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D1304C" w:rsidRPr="009B2B8D">
        <w:rPr>
          <w:rFonts w:ascii="Times New Roman" w:hAnsi="Times New Roman" w:cs="Times New Roman"/>
          <w:sz w:val="28"/>
          <w:szCs w:val="28"/>
        </w:rPr>
        <w:t>» - Режим доступа: https://www.audit-it.ru/buh_otchet/7712045131_zao-aeromar</w:t>
      </w:r>
    </w:p>
    <w:p w:rsidR="00D1304C" w:rsidRPr="009B2B8D" w:rsidRDefault="00D1304C" w:rsidP="00D24A14">
      <w:pPr>
        <w:pStyle w:val="a5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Ref32073402"/>
      <w:r w:rsidRPr="009B2B8D">
        <w:rPr>
          <w:rFonts w:ascii="Times New Roman" w:hAnsi="Times New Roman" w:cs="Times New Roman"/>
          <w:sz w:val="28"/>
          <w:szCs w:val="28"/>
        </w:rPr>
        <w:t>Абалкин Л.И. Экономическая безопасность. СПб.: Вектор, 2017.</w:t>
      </w:r>
      <w:bookmarkEnd w:id="15"/>
      <w:r w:rsidRPr="009B2B8D">
        <w:rPr>
          <w:rFonts w:ascii="Times New Roman" w:hAnsi="Times New Roman" w:cs="Times New Roman"/>
          <w:sz w:val="28"/>
          <w:szCs w:val="28"/>
        </w:rPr>
        <w:t xml:space="preserve"> </w:t>
      </w:r>
      <w:r w:rsidRPr="009B2B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1304C" w:rsidRPr="009B2B8D" w:rsidRDefault="00D1304C" w:rsidP="00D24A14">
      <w:pPr>
        <w:pStyle w:val="a5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Богомолов В.А. Экономическая безопасность. М., 2014. </w:t>
      </w:r>
      <w:r w:rsidRPr="009B2B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1304C" w:rsidRPr="009B2B8D" w:rsidRDefault="00D1304C" w:rsidP="00D24A14">
      <w:pPr>
        <w:pStyle w:val="a5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Гриняев С. Национальная безопасность. Глобализация и безопасность России. СПб.: Питер, 2015. </w:t>
      </w:r>
      <w:r w:rsidRPr="009B2B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1304C" w:rsidRPr="009B2B8D" w:rsidRDefault="00D1304C" w:rsidP="00D24A14">
      <w:pPr>
        <w:pStyle w:val="a5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2B8D">
        <w:rPr>
          <w:rFonts w:ascii="Times New Roman" w:hAnsi="Times New Roman" w:cs="Times New Roman"/>
          <w:iCs/>
          <w:sz w:val="28"/>
          <w:szCs w:val="28"/>
          <w:lang w:eastAsia="ru-RU"/>
        </w:rPr>
        <w:t>Михайлов Б.</w:t>
      </w:r>
      <w:r w:rsidRPr="009B2B8D">
        <w:rPr>
          <w:rFonts w:ascii="Times New Roman" w:hAnsi="Times New Roman" w:cs="Times New Roman"/>
          <w:sz w:val="28"/>
          <w:szCs w:val="28"/>
          <w:lang w:eastAsia="ru-RU"/>
        </w:rPr>
        <w:t> Экономическая политика государства при переходе от кризиса к экономическому росту // Экономические науки. 2014. № 43. С. 126.</w:t>
      </w:r>
    </w:p>
    <w:p w:rsidR="00D1304C" w:rsidRPr="009B2B8D" w:rsidRDefault="00D1304C" w:rsidP="00D24A14">
      <w:pPr>
        <w:pStyle w:val="a5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 xml:space="preserve">Сенчагов В.К. Экономическая безопасность России. М.: Дело, 2015. </w:t>
      </w:r>
      <w:r w:rsidRPr="009B2B8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1304C" w:rsidRPr="009B2B8D" w:rsidRDefault="00D1304C" w:rsidP="00D24A14">
      <w:pPr>
        <w:pStyle w:val="a5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>Филиппова И.А. Негативные последствия экономических санкций – «эффект бумеранга» // Национальные интересы: приоритеты и безопасность. 2016. №5. С.28-34</w:t>
      </w:r>
    </w:p>
    <w:p w:rsidR="00D1304C" w:rsidRPr="009B2B8D" w:rsidRDefault="00D1304C" w:rsidP="00D24A14">
      <w:pPr>
        <w:pStyle w:val="a5"/>
        <w:widowControl w:val="0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B8D">
        <w:rPr>
          <w:rFonts w:ascii="Times New Roman" w:hAnsi="Times New Roman" w:cs="Times New Roman"/>
          <w:sz w:val="28"/>
          <w:szCs w:val="28"/>
        </w:rPr>
        <w:t>Шаховская Л. Причины и последствия экономических санкций против Российской Федерации // Евразийский союз ученых. 2015. № 3. С. 144.</w:t>
      </w:r>
    </w:p>
    <w:sectPr w:rsidR="00D1304C" w:rsidRPr="009B2B8D" w:rsidSect="00E627FC">
      <w:footerReference w:type="default" r:id="rId11"/>
      <w:pgSz w:w="11906" w:h="16838"/>
      <w:pgMar w:top="1134" w:right="707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CC0" w:rsidRDefault="00A52CC0" w:rsidP="00C61719">
      <w:pPr>
        <w:spacing w:after="0" w:line="240" w:lineRule="auto"/>
      </w:pPr>
      <w:r>
        <w:separator/>
      </w:r>
    </w:p>
  </w:endnote>
  <w:endnote w:type="continuationSeparator" w:id="0">
    <w:p w:rsidR="00A52CC0" w:rsidRDefault="00A52CC0" w:rsidP="00C6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</w:rPr>
      <w:id w:val="443434731"/>
      <w:docPartObj>
        <w:docPartGallery w:val="Page Numbers (Bottom of Page)"/>
        <w:docPartUnique/>
      </w:docPartObj>
    </w:sdtPr>
    <w:sdtEndPr/>
    <w:sdtContent>
      <w:p w:rsidR="00EF02F7" w:rsidRPr="0034672D" w:rsidRDefault="00EF02F7" w:rsidP="0034672D">
        <w:pPr>
          <w:pStyle w:val="af"/>
          <w:jc w:val="center"/>
          <w:rPr>
            <w:rFonts w:ascii="Times New Roman" w:hAnsi="Times New Roman" w:cs="Times New Roman"/>
            <w:sz w:val="24"/>
          </w:rPr>
        </w:pPr>
        <w:r w:rsidRPr="0034672D">
          <w:rPr>
            <w:rFonts w:ascii="Times New Roman" w:hAnsi="Times New Roman" w:cs="Times New Roman"/>
            <w:sz w:val="24"/>
          </w:rPr>
          <w:fldChar w:fldCharType="begin"/>
        </w:r>
        <w:r w:rsidRPr="0034672D">
          <w:rPr>
            <w:rFonts w:ascii="Times New Roman" w:hAnsi="Times New Roman" w:cs="Times New Roman"/>
            <w:sz w:val="24"/>
          </w:rPr>
          <w:instrText>PAGE   \* MERGEFORMAT</w:instrText>
        </w:r>
        <w:r w:rsidRPr="0034672D">
          <w:rPr>
            <w:rFonts w:ascii="Times New Roman" w:hAnsi="Times New Roman" w:cs="Times New Roman"/>
            <w:sz w:val="24"/>
          </w:rPr>
          <w:fldChar w:fldCharType="separate"/>
        </w:r>
        <w:r w:rsidR="00B16515">
          <w:rPr>
            <w:rFonts w:ascii="Times New Roman" w:hAnsi="Times New Roman" w:cs="Times New Roman"/>
            <w:noProof/>
            <w:sz w:val="24"/>
          </w:rPr>
          <w:t>2</w:t>
        </w:r>
        <w:r w:rsidRPr="0034672D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CC0" w:rsidRDefault="00A52CC0" w:rsidP="00C61719">
      <w:pPr>
        <w:spacing w:after="0" w:line="240" w:lineRule="auto"/>
      </w:pPr>
      <w:r>
        <w:separator/>
      </w:r>
    </w:p>
  </w:footnote>
  <w:footnote w:type="continuationSeparator" w:id="0">
    <w:p w:rsidR="00A52CC0" w:rsidRDefault="00A52CC0" w:rsidP="00C61719">
      <w:pPr>
        <w:spacing w:after="0" w:line="240" w:lineRule="auto"/>
      </w:pPr>
      <w:r>
        <w:continuationSeparator/>
      </w:r>
    </w:p>
  </w:footnote>
  <w:footnote w:id="1">
    <w:p w:rsidR="00EF02F7" w:rsidRPr="00F13D24" w:rsidRDefault="00EF02F7" w:rsidP="009B2B8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27A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8C510F"/>
    <w:multiLevelType w:val="hybridMultilevel"/>
    <w:tmpl w:val="0726BFA2"/>
    <w:lvl w:ilvl="0" w:tplc="6A8864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D87384"/>
    <w:multiLevelType w:val="hybridMultilevel"/>
    <w:tmpl w:val="DDF6C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17E72"/>
    <w:multiLevelType w:val="hybridMultilevel"/>
    <w:tmpl w:val="5D2E3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7B2A8B"/>
    <w:multiLevelType w:val="hybridMultilevel"/>
    <w:tmpl w:val="C602E1E8"/>
    <w:lvl w:ilvl="0" w:tplc="A776F21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3241371D"/>
    <w:multiLevelType w:val="hybridMultilevel"/>
    <w:tmpl w:val="A528A158"/>
    <w:lvl w:ilvl="0" w:tplc="35E4D1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F1CD6"/>
    <w:multiLevelType w:val="hybridMultilevel"/>
    <w:tmpl w:val="039005D8"/>
    <w:lvl w:ilvl="0" w:tplc="A776F21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A017978"/>
    <w:multiLevelType w:val="hybridMultilevel"/>
    <w:tmpl w:val="A5C6130A"/>
    <w:lvl w:ilvl="0" w:tplc="6A8864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C00DF9"/>
    <w:multiLevelType w:val="hybridMultilevel"/>
    <w:tmpl w:val="86B4494A"/>
    <w:lvl w:ilvl="0" w:tplc="91F29BDC">
      <w:start w:val="1"/>
      <w:numFmt w:val="bullet"/>
      <w:lvlText w:val="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</w:num>
  <w:num w:numId="6">
    <w:abstractNumId w:val="1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617"/>
    <w:rsid w:val="000011F1"/>
    <w:rsid w:val="00035286"/>
    <w:rsid w:val="00061617"/>
    <w:rsid w:val="000703CF"/>
    <w:rsid w:val="000C1C75"/>
    <w:rsid w:val="00115E98"/>
    <w:rsid w:val="00155CE3"/>
    <w:rsid w:val="00175090"/>
    <w:rsid w:val="001E4654"/>
    <w:rsid w:val="00212495"/>
    <w:rsid w:val="00214E2D"/>
    <w:rsid w:val="00222191"/>
    <w:rsid w:val="002656E1"/>
    <w:rsid w:val="002757BD"/>
    <w:rsid w:val="002D5DDE"/>
    <w:rsid w:val="002F5D1B"/>
    <w:rsid w:val="0034672D"/>
    <w:rsid w:val="00367660"/>
    <w:rsid w:val="00377FAA"/>
    <w:rsid w:val="00380C9E"/>
    <w:rsid w:val="0039069A"/>
    <w:rsid w:val="003C1526"/>
    <w:rsid w:val="0043108E"/>
    <w:rsid w:val="004536B4"/>
    <w:rsid w:val="00473A38"/>
    <w:rsid w:val="00501374"/>
    <w:rsid w:val="006109F8"/>
    <w:rsid w:val="00612899"/>
    <w:rsid w:val="00631F32"/>
    <w:rsid w:val="00646D69"/>
    <w:rsid w:val="00686F0E"/>
    <w:rsid w:val="00691781"/>
    <w:rsid w:val="006A0841"/>
    <w:rsid w:val="006C6A92"/>
    <w:rsid w:val="006D63E0"/>
    <w:rsid w:val="00734279"/>
    <w:rsid w:val="007344F4"/>
    <w:rsid w:val="00744DBC"/>
    <w:rsid w:val="007C53D6"/>
    <w:rsid w:val="008D10D3"/>
    <w:rsid w:val="009009C5"/>
    <w:rsid w:val="00947AE5"/>
    <w:rsid w:val="00984AF3"/>
    <w:rsid w:val="009A0B3A"/>
    <w:rsid w:val="009A4230"/>
    <w:rsid w:val="009B2B8D"/>
    <w:rsid w:val="00A1658D"/>
    <w:rsid w:val="00A32C6F"/>
    <w:rsid w:val="00A52CC0"/>
    <w:rsid w:val="00AE141E"/>
    <w:rsid w:val="00B16515"/>
    <w:rsid w:val="00B57362"/>
    <w:rsid w:val="00B86DF9"/>
    <w:rsid w:val="00BC16D2"/>
    <w:rsid w:val="00C26A12"/>
    <w:rsid w:val="00C52167"/>
    <w:rsid w:val="00C61719"/>
    <w:rsid w:val="00D1304C"/>
    <w:rsid w:val="00D24A14"/>
    <w:rsid w:val="00E04762"/>
    <w:rsid w:val="00E3548D"/>
    <w:rsid w:val="00E553E0"/>
    <w:rsid w:val="00E61DA5"/>
    <w:rsid w:val="00E627FC"/>
    <w:rsid w:val="00E7235A"/>
    <w:rsid w:val="00E74EEE"/>
    <w:rsid w:val="00EA66BC"/>
    <w:rsid w:val="00EC6748"/>
    <w:rsid w:val="00EF02F7"/>
    <w:rsid w:val="00F05197"/>
    <w:rsid w:val="00F454BF"/>
    <w:rsid w:val="00F77E9A"/>
    <w:rsid w:val="00FA2377"/>
    <w:rsid w:val="00FF6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18593"/>
  <w15:docId w15:val="{A698F8A9-70B1-4E59-9090-9B72CE5C2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A12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rsid w:val="00631F32"/>
    <w:pPr>
      <w:keepNext/>
      <w:spacing w:after="0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2">
    <w:name w:val="heading 2"/>
    <w:basedOn w:val="a"/>
    <w:next w:val="a"/>
    <w:link w:val="20"/>
    <w:autoRedefine/>
    <w:unhideWhenUsed/>
    <w:qFormat/>
    <w:rsid w:val="0034672D"/>
    <w:pPr>
      <w:keepNext/>
      <w:spacing w:before="240" w:after="60" w:line="36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656E1"/>
    <w:pPr>
      <w:keepNext/>
      <w:jc w:val="right"/>
      <w:outlineLvl w:val="2"/>
    </w:pPr>
    <w:rPr>
      <w:rFonts w:eastAsia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2656E1"/>
    <w:pPr>
      <w:keepNext/>
      <w:spacing w:line="360" w:lineRule="auto"/>
      <w:jc w:val="center"/>
      <w:outlineLvl w:val="3"/>
    </w:pPr>
    <w:rPr>
      <w:rFonts w:eastAsia="Times New Roman" w:cs="Times New Roman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2656E1"/>
    <w:pPr>
      <w:keepNext/>
      <w:spacing w:after="220" w:line="360" w:lineRule="auto"/>
      <w:jc w:val="center"/>
      <w:outlineLvl w:val="4"/>
    </w:pPr>
    <w:rPr>
      <w:rFonts w:eastAsia="Times New Roman" w:cs="Times New Roman"/>
      <w:b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2656E1"/>
    <w:pPr>
      <w:keepNext/>
      <w:spacing w:line="360" w:lineRule="auto"/>
      <w:jc w:val="center"/>
      <w:outlineLvl w:val="5"/>
    </w:pPr>
    <w:rPr>
      <w:rFonts w:eastAsia="Times New Roman" w:cs="Times New Roman"/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2656E1"/>
    <w:pPr>
      <w:keepNext/>
      <w:spacing w:line="360" w:lineRule="auto"/>
      <w:jc w:val="both"/>
      <w:outlineLvl w:val="6"/>
    </w:pPr>
    <w:rPr>
      <w:rFonts w:eastAsia="Times New Roman" w:cs="Times New Roman"/>
      <w:color w:val="000000"/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2656E1"/>
    <w:pPr>
      <w:keepNext/>
      <w:spacing w:line="360" w:lineRule="auto"/>
      <w:ind w:firstLine="709"/>
      <w:jc w:val="center"/>
      <w:outlineLvl w:val="7"/>
    </w:pPr>
    <w:rPr>
      <w:rFonts w:eastAsia="Times New Roman" w:cs="Times New Roman"/>
      <w:sz w:val="28"/>
    </w:rPr>
  </w:style>
  <w:style w:type="paragraph" w:styleId="9">
    <w:name w:val="heading 9"/>
    <w:basedOn w:val="a"/>
    <w:next w:val="a"/>
    <w:link w:val="90"/>
    <w:semiHidden/>
    <w:unhideWhenUsed/>
    <w:qFormat/>
    <w:rsid w:val="002656E1"/>
    <w:pPr>
      <w:keepNext/>
      <w:shd w:val="clear" w:color="auto" w:fill="FFFFFF"/>
      <w:spacing w:line="336" w:lineRule="auto"/>
      <w:ind w:right="106"/>
      <w:jc w:val="center"/>
      <w:outlineLvl w:val="8"/>
    </w:pPr>
    <w:rPr>
      <w:rFonts w:eastAsia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F32"/>
    <w:rPr>
      <w:rFonts w:eastAsia="Times New Roman"/>
      <w:b/>
      <w:bC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4672D"/>
    <w:rPr>
      <w:rFonts w:eastAsia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2656E1"/>
    <w:rPr>
      <w:rFonts w:eastAsia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2656E1"/>
    <w:rPr>
      <w:rFonts w:eastAsia="Times New Roman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2656E1"/>
    <w:rPr>
      <w:rFonts w:eastAsia="Times New Roman"/>
      <w:b/>
      <w:sz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2656E1"/>
    <w:rPr>
      <w:rFonts w:eastAsia="Times New Roman"/>
      <w:sz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2656E1"/>
    <w:rPr>
      <w:rFonts w:eastAsia="Times New Roman"/>
      <w:color w:val="000000"/>
      <w:sz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2656E1"/>
    <w:rPr>
      <w:rFonts w:eastAsia="Times New Roman"/>
      <w:sz w:val="28"/>
      <w:lang w:eastAsia="ru-RU"/>
    </w:rPr>
  </w:style>
  <w:style w:type="character" w:customStyle="1" w:styleId="90">
    <w:name w:val="Заголовок 9 Знак"/>
    <w:basedOn w:val="a0"/>
    <w:link w:val="9"/>
    <w:semiHidden/>
    <w:rsid w:val="002656E1"/>
    <w:rPr>
      <w:rFonts w:eastAsia="Times New Roman"/>
      <w:sz w:val="28"/>
      <w:shd w:val="clear" w:color="auto" w:fill="FFFFFF"/>
      <w:lang w:eastAsia="ru-RU"/>
    </w:rPr>
  </w:style>
  <w:style w:type="paragraph" w:styleId="a3">
    <w:name w:val="caption"/>
    <w:basedOn w:val="a"/>
    <w:next w:val="a"/>
    <w:semiHidden/>
    <w:unhideWhenUsed/>
    <w:qFormat/>
    <w:rsid w:val="002656E1"/>
    <w:pPr>
      <w:shd w:val="clear" w:color="auto" w:fill="FFFFFF"/>
      <w:spacing w:line="360" w:lineRule="auto"/>
      <w:jc w:val="center"/>
      <w:outlineLvl w:val="0"/>
    </w:pPr>
    <w:rPr>
      <w:rFonts w:eastAsia="Times New Roman" w:cs="Times New Roman"/>
      <w:i/>
      <w:iCs/>
      <w:color w:val="000000"/>
      <w:spacing w:val="5"/>
      <w:szCs w:val="21"/>
    </w:rPr>
  </w:style>
  <w:style w:type="character" w:styleId="a4">
    <w:name w:val="Hyperlink"/>
    <w:basedOn w:val="a0"/>
    <w:uiPriority w:val="99"/>
    <w:unhideWhenUsed/>
    <w:rsid w:val="00C26A1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26A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26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6A12"/>
    <w:rPr>
      <w:rFonts w:ascii="Tahoma" w:hAnsi="Tahoma" w:cs="Tahoma"/>
      <w:sz w:val="16"/>
      <w:szCs w:val="16"/>
    </w:rPr>
  </w:style>
  <w:style w:type="character" w:customStyle="1" w:styleId="11">
    <w:name w:val="Основной текст (11)_"/>
    <w:link w:val="110"/>
    <w:locked/>
    <w:rsid w:val="00C26A12"/>
    <w:rPr>
      <w:rFonts w:eastAsia="Times New Roman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C26A12"/>
    <w:pPr>
      <w:shd w:val="clear" w:color="auto" w:fill="FFFFFF"/>
      <w:spacing w:after="0" w:line="30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91">
    <w:name w:val="Основной текст (9)_"/>
    <w:link w:val="92"/>
    <w:locked/>
    <w:rsid w:val="00C26A12"/>
    <w:rPr>
      <w:rFonts w:ascii="Garamond" w:eastAsia="Garamond" w:hAnsi="Garamond" w:cs="Garamond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C26A12"/>
    <w:pPr>
      <w:shd w:val="clear" w:color="auto" w:fill="FFFFFF"/>
      <w:spacing w:after="240" w:line="278" w:lineRule="exact"/>
      <w:ind w:firstLine="840"/>
    </w:pPr>
    <w:rPr>
      <w:rFonts w:ascii="Garamond" w:eastAsia="Garamond" w:hAnsi="Garamond" w:cs="Garamond"/>
      <w:sz w:val="24"/>
      <w:szCs w:val="24"/>
    </w:rPr>
  </w:style>
  <w:style w:type="character" w:customStyle="1" w:styleId="9TimesNewRoman">
    <w:name w:val="Основной текст (9) + Times New Roman"/>
    <w:aliases w:val="9,5 pt,Курсив,Колонтитул + 11,12 pt,Не полужирный,Основной текст (20) + 9,Полужирный"/>
    <w:rsid w:val="00C26A12"/>
    <w:rPr>
      <w:rFonts w:ascii="Times New Roman" w:eastAsia="Times New Roman" w:hAnsi="Times New Roman" w:cs="Times New Roman" w:hint="default"/>
      <w:i/>
      <w:iCs/>
      <w:sz w:val="19"/>
      <w:szCs w:val="19"/>
      <w:shd w:val="clear" w:color="auto" w:fill="FFFFFF"/>
    </w:rPr>
  </w:style>
  <w:style w:type="character" w:customStyle="1" w:styleId="18">
    <w:name w:val="Основной текст (18)_"/>
    <w:link w:val="180"/>
    <w:locked/>
    <w:rsid w:val="00C26A12"/>
    <w:rPr>
      <w:rFonts w:eastAsia="Times New Roman"/>
      <w:sz w:val="19"/>
      <w:szCs w:val="19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C26A12"/>
    <w:pPr>
      <w:shd w:val="clear" w:color="auto" w:fill="FFFFFF"/>
      <w:spacing w:after="540" w:line="234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table" w:styleId="a8">
    <w:name w:val="Table Grid"/>
    <w:basedOn w:val="a1"/>
    <w:uiPriority w:val="59"/>
    <w:rsid w:val="00C26A12"/>
    <w:pPr>
      <w:spacing w:after="0" w:line="240" w:lineRule="auto"/>
    </w:pPr>
    <w:rPr>
      <w:rFonts w:ascii="Courier New" w:eastAsia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basedOn w:val="a"/>
    <w:link w:val="aa"/>
    <w:semiHidden/>
    <w:unhideWhenUsed/>
    <w:rsid w:val="00C26A12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semiHidden/>
    <w:rsid w:val="00C26A1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">
    <w:name w:val="Style3"/>
    <w:basedOn w:val="a"/>
    <w:rsid w:val="00C26A12"/>
    <w:pPr>
      <w:widowControl w:val="0"/>
      <w:autoSpaceDE w:val="0"/>
      <w:autoSpaceDN w:val="0"/>
      <w:adjustRightInd w:val="0"/>
      <w:spacing w:after="0" w:line="36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C26A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 (15)_"/>
    <w:link w:val="150"/>
    <w:locked/>
    <w:rsid w:val="00C26A12"/>
    <w:rPr>
      <w:rFonts w:ascii="Impact" w:eastAsia="Impact" w:hAnsi="Impact" w:cs="Impact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C26A12"/>
    <w:pPr>
      <w:shd w:val="clear" w:color="auto" w:fill="FFFFFF"/>
      <w:spacing w:after="0" w:line="0" w:lineRule="atLeast"/>
    </w:pPr>
    <w:rPr>
      <w:rFonts w:ascii="Impact" w:eastAsia="Impact" w:hAnsi="Impact" w:cs="Impact"/>
      <w:sz w:val="18"/>
      <w:szCs w:val="18"/>
    </w:rPr>
  </w:style>
  <w:style w:type="character" w:customStyle="1" w:styleId="FontStyle11">
    <w:name w:val="Font Style11"/>
    <w:rsid w:val="00C26A1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rsid w:val="00C26A1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1">
    <w:name w:val="Основной текст (2)_"/>
    <w:basedOn w:val="a0"/>
    <w:link w:val="22"/>
    <w:locked/>
    <w:rsid w:val="00691781"/>
    <w:rPr>
      <w:rFonts w:eastAsia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91781"/>
    <w:pPr>
      <w:widowControl w:val="0"/>
      <w:shd w:val="clear" w:color="auto" w:fill="FFFFFF"/>
      <w:spacing w:before="180"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"/>
    <w:link w:val="ac"/>
    <w:semiHidden/>
    <w:unhideWhenUsed/>
    <w:rsid w:val="006917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691781"/>
    <w:rPr>
      <w:rFonts w:eastAsia="Times New Roman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E553E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553E0"/>
    <w:rPr>
      <w:rFonts w:asciiTheme="minorHAnsi" w:hAnsiTheme="minorHAnsi" w:cstheme="minorBidi"/>
      <w:sz w:val="22"/>
      <w:szCs w:val="22"/>
    </w:rPr>
  </w:style>
  <w:style w:type="paragraph" w:styleId="12">
    <w:name w:val="toc 1"/>
    <w:basedOn w:val="a"/>
    <w:next w:val="a"/>
    <w:autoRedefine/>
    <w:uiPriority w:val="39"/>
    <w:unhideWhenUsed/>
    <w:rsid w:val="006109F8"/>
    <w:pPr>
      <w:spacing w:after="100"/>
    </w:pPr>
  </w:style>
  <w:style w:type="paragraph" w:styleId="ad">
    <w:name w:val="header"/>
    <w:basedOn w:val="a"/>
    <w:link w:val="ae"/>
    <w:uiPriority w:val="99"/>
    <w:unhideWhenUsed/>
    <w:rsid w:val="00C61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1719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C61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61719"/>
    <w:rPr>
      <w:rFonts w:asciiTheme="minorHAnsi" w:hAnsiTheme="minorHAnsi" w:cstheme="minorBidi"/>
      <w:sz w:val="22"/>
      <w:szCs w:val="22"/>
    </w:rPr>
  </w:style>
  <w:style w:type="character" w:styleId="af1">
    <w:name w:val="footnote reference"/>
    <w:basedOn w:val="a0"/>
    <w:uiPriority w:val="99"/>
    <w:unhideWhenUsed/>
    <w:rsid w:val="0034672D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34672D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4672D"/>
    <w:rPr>
      <w:rFonts w:asciiTheme="minorHAnsi" w:hAnsiTheme="minorHAnsi" w:cstheme="minorBidi"/>
      <w:sz w:val="20"/>
      <w:szCs w:val="20"/>
    </w:rPr>
  </w:style>
  <w:style w:type="paragraph" w:styleId="af4">
    <w:name w:val="Document Map"/>
    <w:basedOn w:val="a"/>
    <w:link w:val="af5"/>
    <w:uiPriority w:val="99"/>
    <w:semiHidden/>
    <w:unhideWhenUsed/>
    <w:rsid w:val="00346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34672D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57362"/>
  </w:style>
  <w:style w:type="paragraph" w:styleId="af6">
    <w:name w:val="Normal (Web)"/>
    <w:aliases w:val="Обычный (Web)"/>
    <w:basedOn w:val="a"/>
    <w:link w:val="af7"/>
    <w:uiPriority w:val="99"/>
    <w:unhideWhenUsed/>
    <w:rsid w:val="00B57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бычный (веб) Знак"/>
    <w:aliases w:val="Обычный (Web) Знак"/>
    <w:basedOn w:val="a0"/>
    <w:link w:val="af6"/>
    <w:uiPriority w:val="99"/>
    <w:rsid w:val="003C1526"/>
    <w:rPr>
      <w:rFonts w:eastAsia="Times New Roman"/>
      <w:lang w:eastAsia="ru-RU"/>
    </w:rPr>
  </w:style>
  <w:style w:type="character" w:styleId="af8">
    <w:name w:val="Strong"/>
    <w:basedOn w:val="a0"/>
    <w:uiPriority w:val="22"/>
    <w:qFormat/>
    <w:rsid w:val="009A0B3A"/>
    <w:rPr>
      <w:b/>
      <w:bCs/>
    </w:rPr>
  </w:style>
  <w:style w:type="paragraph" w:styleId="25">
    <w:name w:val="toc 2"/>
    <w:basedOn w:val="a"/>
    <w:next w:val="a"/>
    <w:autoRedefine/>
    <w:uiPriority w:val="39"/>
    <w:unhideWhenUsed/>
    <w:rsid w:val="006C6A92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8902577282006418"/>
          <c:y val="3.0433595800524954E-3"/>
          <c:w val="0.5432890419947507"/>
          <c:h val="0.88783706036745402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Выручка</c:v>
                </c:pt>
                <c:pt idx="1">
                  <c:v>Себестоимость продаж</c:v>
                </c:pt>
                <c:pt idx="2">
                  <c:v>Валовая прибыль (убыток)</c:v>
                </c:pt>
                <c:pt idx="3">
                  <c:v>Прибыль (убыток) от продаж</c:v>
                </c:pt>
                <c:pt idx="4">
                  <c:v>Прибыль (убыток) до налогообложения</c:v>
                </c:pt>
                <c:pt idx="5">
                  <c:v>Чистая прибыль 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15930596</c:v>
                </c:pt>
                <c:pt idx="1">
                  <c:v>9453097</c:v>
                </c:pt>
                <c:pt idx="2">
                  <c:v>6477500</c:v>
                </c:pt>
                <c:pt idx="3">
                  <c:v>1151240</c:v>
                </c:pt>
                <c:pt idx="4">
                  <c:v>1105013</c:v>
                </c:pt>
                <c:pt idx="5">
                  <c:v>873841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DBD-476F-AE95-B05E7952C25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Выручка</c:v>
                </c:pt>
                <c:pt idx="1">
                  <c:v>Себестоимость продаж</c:v>
                </c:pt>
                <c:pt idx="2">
                  <c:v>Валовая прибыль (убыток)</c:v>
                </c:pt>
                <c:pt idx="3">
                  <c:v>Прибыль (убыток) от продаж</c:v>
                </c:pt>
                <c:pt idx="4">
                  <c:v>Прибыль (убыток) до налогообложения</c:v>
                </c:pt>
                <c:pt idx="5">
                  <c:v>Чистая прибыль 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19492359</c:v>
                </c:pt>
                <c:pt idx="1">
                  <c:v>11627111</c:v>
                </c:pt>
                <c:pt idx="2">
                  <c:v>7865249</c:v>
                </c:pt>
                <c:pt idx="3">
                  <c:v>1741826</c:v>
                </c:pt>
                <c:pt idx="4">
                  <c:v>1807918</c:v>
                </c:pt>
                <c:pt idx="5">
                  <c:v>1443383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DBD-476F-AE95-B05E7952C25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Выручка</c:v>
                </c:pt>
                <c:pt idx="1">
                  <c:v>Себестоимость продаж</c:v>
                </c:pt>
                <c:pt idx="2">
                  <c:v>Валовая прибыль (убыток)</c:v>
                </c:pt>
                <c:pt idx="3">
                  <c:v>Прибыль (убыток) от продаж</c:v>
                </c:pt>
                <c:pt idx="4">
                  <c:v>Прибыль (убыток) до налогообложения</c:v>
                </c:pt>
                <c:pt idx="5">
                  <c:v>Чистая прибыль 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21101777</c:v>
                </c:pt>
                <c:pt idx="1">
                  <c:v>12294967</c:v>
                </c:pt>
                <c:pt idx="2">
                  <c:v>8806810</c:v>
                </c:pt>
                <c:pt idx="3">
                  <c:v>1615848</c:v>
                </c:pt>
                <c:pt idx="4">
                  <c:v>1595246</c:v>
                </c:pt>
                <c:pt idx="5">
                  <c:v>1261503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DBD-476F-AE95-B05E7952C25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15"/>
        <c:overlap val="-20"/>
        <c:axId val="83645952"/>
        <c:axId val="123368192"/>
      </c:barChart>
      <c:catAx>
        <c:axId val="836459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3368192"/>
        <c:crosses val="autoZero"/>
        <c:auto val="1"/>
        <c:lblAlgn val="ctr"/>
        <c:lblOffset val="100"/>
        <c:noMultiLvlLbl val="0"/>
      </c:catAx>
      <c:valAx>
        <c:axId val="1233681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3645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0693897119385938"/>
          <c:y val="2.7477932550656378E-2"/>
          <c:w val="0.8127020675243769"/>
          <c:h val="0.8365909676907514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gradFill>
              <a:gsLst>
                <a:gs pos="100000">
                  <a:schemeClr val="accent1">
                    <a:alpha val="0"/>
                  </a:schemeClr>
                </a:gs>
                <a:gs pos="50000">
                  <a:schemeClr val="accent1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9.486540969998793E-3"/>
                  <c:y val="-1.02935408935951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8DF-4A01-A138-1EBE1E69C20D}"/>
                </c:ext>
              </c:extLst>
            </c:dLbl>
            <c:dLbl>
              <c:idx val="1"/>
              <c:layout>
                <c:manualLayout>
                  <c:x val="0.1147163019716875"/>
                  <c:y val="0.1542859847742912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8DF-4A01-A138-1EBE1E69C20D}"/>
                </c:ext>
              </c:extLst>
            </c:dLbl>
            <c:dLbl>
              <c:idx val="2"/>
              <c:layout>
                <c:manualLayout>
                  <c:x val="9.4865409699987271E-3"/>
                  <c:y val="-7.6427228205669699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8DF-4A01-A138-1EBE1E69C20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2205048</c:v>
                </c:pt>
                <c:pt idx="1">
                  <c:v>2752777</c:v>
                </c:pt>
                <c:pt idx="2">
                  <c:v>2864964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8DF-4A01-A138-1EBE1E69C2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23424768"/>
        <c:axId val="123426304"/>
        <c:axId val="0"/>
      </c:bar3DChart>
      <c:catAx>
        <c:axId val="123424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3426304"/>
        <c:crosses val="autoZero"/>
        <c:auto val="1"/>
        <c:lblAlgn val="ctr"/>
        <c:lblOffset val="100"/>
        <c:noMultiLvlLbl val="0"/>
      </c:catAx>
      <c:valAx>
        <c:axId val="123426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34247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ize="5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1</b:Tag>
    <b:RefOrder>1</b:RefOrder>
  </b:Source>
</b:Sources>
</file>

<file path=customXml/itemProps1.xml><?xml version="1.0" encoding="utf-8"?>
<ds:datastoreItem xmlns:ds="http://schemas.openxmlformats.org/officeDocument/2006/customXml" ds:itemID="{0F889727-DC38-4AC8-BD19-71D7FC4F7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15</Pages>
  <Words>2991</Words>
  <Characters>17049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607-ignatova Игнатова</dc:creator>
  <cp:lastModifiedBy>Екатерина</cp:lastModifiedBy>
  <cp:revision>10</cp:revision>
  <cp:lastPrinted>2018-01-25T09:48:00Z</cp:lastPrinted>
  <dcterms:created xsi:type="dcterms:W3CDTF">2019-02-22T08:25:00Z</dcterms:created>
  <dcterms:modified xsi:type="dcterms:W3CDTF">2020-02-08T14:33:00Z</dcterms:modified>
</cp:coreProperties>
</file>