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240" w:lineRule="auto"/>
        <w:rPr>
          <w:rFonts w:hint="default" w:ascii="Times New Roman" w:hAnsi="Times New Roman" w:cs="Times New Roman"/>
          <w:sz w:val="28"/>
          <w:szCs w:val="28"/>
        </w:rPr>
      </w:pPr>
      <w:bookmarkStart w:id="0" w:name="_Toc1252833"/>
      <w:r>
        <w:rPr>
          <w:rFonts w:hint="default" w:ascii="Times New Roman" w:hAnsi="Times New Roman" w:cs="Times New Roman"/>
          <w:sz w:val="28"/>
          <w:szCs w:val="28"/>
        </w:rPr>
        <w:t>НАУЧНАЯ СТАТЬЯ: «</w:t>
      </w:r>
      <w:bookmarkEnd w:id="0"/>
      <w:bookmarkStart w:id="1" w:name="_Toc1252834"/>
      <w:r>
        <w:rPr>
          <w:rFonts w:eastAsia="SimSun" w:cs="Times New Roman"/>
          <w:color w:val="000000"/>
          <w:szCs w:val="28"/>
          <w:u w:val="single"/>
          <w:shd w:val="clear" w:color="auto" w:fill="FFFFFF"/>
        </w:rPr>
        <w:t>Принятие управленческих решений в системе экономической безопасности  СХ ООО «Швейцарское молоко»</w:t>
      </w:r>
      <w:r>
        <w:rPr>
          <w:rFonts w:hint="default" w:ascii="Times New Roman" w:hAnsi="Times New Roman" w:cs="Times New Roman"/>
          <w:sz w:val="28"/>
          <w:szCs w:val="28"/>
        </w:rPr>
        <w:t>»</w:t>
      </w:r>
      <w:bookmarkEnd w:id="1"/>
    </w:p>
    <w:p>
      <w:pPr>
        <w:tabs>
          <w:tab w:val="left" w:pos="2886"/>
          <w:tab w:val="left" w:leader="underscore" w:pos="5176"/>
          <w:tab w:val="left" w:pos="6486"/>
          <w:tab w:val="left" w:leader="underscore" w:pos="8603"/>
        </w:tabs>
        <w:spacing w:after="0" w:line="240" w:lineRule="auto"/>
        <w:ind w:right="-1"/>
        <w:jc w:val="center"/>
        <w:rPr>
          <w:rFonts w:hint="default" w:ascii="Times New Roman" w:hAnsi="Times New Roman" w:cs="Times New Roman"/>
          <w:sz w:val="28"/>
          <w:szCs w:val="28"/>
        </w:rPr>
      </w:pPr>
    </w:p>
    <w:p>
      <w:pPr>
        <w:tabs>
          <w:tab w:val="left" w:pos="2886"/>
          <w:tab w:val="left" w:leader="underscore" w:pos="5176"/>
          <w:tab w:val="left" w:pos="6486"/>
          <w:tab w:val="left" w:leader="underscore" w:pos="8603"/>
        </w:tabs>
        <w:spacing w:after="0" w:line="240" w:lineRule="auto"/>
        <w:ind w:right="-1"/>
        <w:jc w:val="center"/>
        <w:rPr>
          <w:rFonts w:hint="default" w:ascii="Times New Roman" w:hAnsi="Times New Roman" w:cs="Times New Roman"/>
          <w:sz w:val="28"/>
          <w:szCs w:val="28"/>
        </w:rPr>
      </w:pPr>
    </w:p>
    <w:p>
      <w:pPr>
        <w:spacing w:line="240" w:lineRule="auto"/>
        <w:rPr>
          <w:rFonts w:hint="default" w:ascii="Times New Roman" w:hAnsi="Times New Roman" w:eastAsia="Calibri" w:cs="Times New Roman"/>
          <w:sz w:val="28"/>
          <w:szCs w:val="28"/>
          <w:lang w:val="en-US" w:eastAsia="ru-RU"/>
        </w:rPr>
      </w:pPr>
      <w:r>
        <w:rPr>
          <w:rFonts w:hint="default" w:ascii="Times New Roman" w:hAnsi="Times New Roman" w:eastAsia="Calibri" w:cs="Times New Roman"/>
          <w:b/>
          <w:sz w:val="28"/>
          <w:szCs w:val="28"/>
          <w:lang w:eastAsia="ru-RU"/>
        </w:rPr>
        <w:t xml:space="preserve">Аннотация: </w:t>
      </w:r>
      <w:r>
        <w:rPr>
          <w:rFonts w:hint="default" w:ascii="Times New Roman" w:hAnsi="Times New Roman" w:eastAsia="Calibri" w:cs="Times New Roman"/>
          <w:sz w:val="28"/>
          <w:szCs w:val="28"/>
          <w:lang w:eastAsia="ru-RU"/>
        </w:rPr>
        <w:t>в</w:t>
      </w:r>
      <w:r>
        <w:rPr>
          <w:rFonts w:hint="default" w:ascii="Times New Roman" w:hAnsi="Times New Roman" w:eastAsia="Calibri" w:cs="Times New Roman"/>
          <w:sz w:val="28"/>
          <w:szCs w:val="28"/>
          <w:lang w:val="en-US" w:eastAsia="ru-RU"/>
        </w:rPr>
        <w:t xml:space="preserve"> статье рассматривается</w:t>
      </w:r>
      <w:r>
        <w:rPr>
          <w:rFonts w:hint="default" w:ascii="Times New Roman" w:hAnsi="Times New Roman" w:eastAsia="Calibri" w:cs="Times New Roman"/>
          <w:sz w:val="28"/>
          <w:szCs w:val="28"/>
          <w:lang w:eastAsia="ru-RU"/>
        </w:rPr>
        <w:t xml:space="preserve"> актуальность формирования и развития системного процесса принятия управленческих решений в</w:t>
      </w:r>
      <w:r>
        <w:rPr>
          <w:rFonts w:hint="default" w:ascii="Times New Roman" w:hAnsi="Times New Roman" w:eastAsia="Calibri" w:cs="Times New Roman"/>
          <w:sz w:val="28"/>
          <w:szCs w:val="28"/>
          <w:lang w:val="en-US" w:eastAsia="ru-RU"/>
        </w:rPr>
        <w:t xml:space="preserve"> СХ ООО «Швейцарское молоко» </w:t>
      </w:r>
      <w:r>
        <w:rPr>
          <w:rFonts w:hint="default" w:ascii="Times New Roman" w:hAnsi="Times New Roman" w:eastAsia="Calibri" w:cs="Times New Roman"/>
          <w:sz w:val="28"/>
          <w:szCs w:val="28"/>
          <w:lang w:eastAsia="ru-RU"/>
        </w:rPr>
        <w:t>для обеспечения экономической безопасности</w:t>
      </w:r>
      <w:r>
        <w:rPr>
          <w:rFonts w:hint="default" w:ascii="Times New Roman" w:hAnsi="Times New Roman" w:eastAsia="Calibri" w:cs="Times New Roman"/>
          <w:sz w:val="28"/>
          <w:szCs w:val="28"/>
          <w:lang w:val="en-US" w:eastAsia="ru-RU"/>
        </w:rPr>
        <w:t>.</w:t>
      </w:r>
    </w:p>
    <w:p>
      <w:pPr>
        <w:spacing w:line="240" w:lineRule="auto"/>
        <w:rPr>
          <w:rFonts w:hint="default" w:ascii="Times New Roman" w:hAnsi="Times New Roman" w:eastAsia="Calibri" w:cs="Times New Roman"/>
          <w:sz w:val="28"/>
          <w:szCs w:val="28"/>
          <w:lang w:eastAsia="ru-RU"/>
        </w:rPr>
      </w:pPr>
      <w:r>
        <w:rPr>
          <w:rFonts w:hint="default" w:ascii="Times New Roman" w:hAnsi="Times New Roman" w:eastAsia="Calibri" w:cs="Times New Roman"/>
          <w:b/>
          <w:sz w:val="28"/>
          <w:szCs w:val="28"/>
          <w:lang w:eastAsia="ru-RU"/>
        </w:rPr>
        <w:t>Ключевые слова:</w:t>
      </w:r>
      <w:r>
        <w:rPr>
          <w:rFonts w:hint="default" w:ascii="Times New Roman" w:hAnsi="Times New Roman" w:eastAsia="Calibri" w:cs="Times New Roman"/>
          <w:sz w:val="28"/>
          <w:szCs w:val="28"/>
          <w:lang w:eastAsia="ru-RU"/>
        </w:rPr>
        <w:t xml:space="preserve">  экономическая безопасность, управленческие</w:t>
      </w:r>
      <w:r>
        <w:rPr>
          <w:rFonts w:hint="default" w:ascii="Times New Roman" w:hAnsi="Times New Roman" w:eastAsia="Calibri" w:cs="Times New Roman"/>
          <w:sz w:val="28"/>
          <w:szCs w:val="28"/>
          <w:lang w:val="en-US" w:eastAsia="ru-RU"/>
        </w:rPr>
        <w:t xml:space="preserve"> решения</w:t>
      </w:r>
      <w:r>
        <w:rPr>
          <w:rFonts w:hint="default" w:ascii="Times New Roman" w:hAnsi="Times New Roman" w:eastAsia="Calibri" w:cs="Times New Roman"/>
          <w:sz w:val="28"/>
          <w:szCs w:val="28"/>
          <w:lang w:eastAsia="ru-RU"/>
        </w:rPr>
        <w:t>.</w:t>
      </w:r>
    </w:p>
    <w:p>
      <w:pPr>
        <w:spacing w:after="0" w:line="360" w:lineRule="auto"/>
        <w:ind w:firstLine="709"/>
        <w:jc w:val="both"/>
        <w:rPr>
          <w:rFonts w:hint="default" w:ascii="Times New Roman" w:hAnsi="Times New Roman" w:eastAsia="Calibri" w:cs="Times New Roman"/>
          <w:sz w:val="28"/>
          <w:lang w:eastAsia="ru-RU"/>
        </w:rPr>
      </w:pP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СХ ООО «Швейцарское молоко» является производителем молока торговой марки «Молоко из Горбёнок», юридический адрес: Российская Федерация, Калужская область, Дзержинский р-н, д. Горбёнки.</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Предприятие было основано в 1999 году при поддержке администрации Калужской области и швейцарского фонда поддержки экономических реформ «Калуга». В 2004 году предприятие приобрели в собственность швейцарские фермеры Михель Ханс Петер и Беннингер Якоб.</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С начала основания предприятия значительно увеличилось поголовье скота: если в начале 2000-х годов на предприятии было всего 90 коров, то на конец 2018 г. хозяйство имеет 1088 голов крупного рогатого скота, а дойное стадо выросло в пять раз и насчитывает 520 коров. Теперь они содержатся на трех фермах, а для молодняка оборудованы два телятника.</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lang w:val="ru-RU"/>
        </w:rPr>
        <w:t>О</w:t>
      </w:r>
      <w:r>
        <w:rPr>
          <w:rFonts w:ascii="Times New Roman" w:hAnsi="Times New Roman" w:eastAsia="Calibri" w:cs="Times New Roman"/>
          <w:sz w:val="28"/>
        </w:rPr>
        <w:t>рганизационная структура управления компании относится к типу линейно-функциональных. Это означает, что на предприятии четко распределены функции и задачи между структурными подразделениями, однако горизонтальные связи между отделами достаточно слабы. В связи с расширением деятельности увеличилось количество сотрудников СХ ООО «Швейцарское молоко». В 2018 г. на предприятии работали 49 сотрудников, общий фонд заработной платы в 2018 г. составил 31834 тыс. руб., средняя заработная плата на предприятии даже несколько выше, чем в среднем по отрасли в регионе.</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lang w:eastAsia="ru-RU"/>
        </w:rPr>
        <w:drawing>
          <wp:inline distT="0" distB="0" distL="0" distR="0">
            <wp:extent cx="5702300" cy="4204970"/>
            <wp:effectExtent l="6350" t="6350" r="6350" b="17780"/>
            <wp:docPr id="23" name="Схема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 xml:space="preserve">Рисунок </w:t>
      </w:r>
      <w:r>
        <w:rPr>
          <w:rFonts w:hint="default" w:ascii="Times New Roman" w:hAnsi="Times New Roman" w:eastAsia="Calibri" w:cs="Times New Roman"/>
          <w:sz w:val="28"/>
          <w:lang w:val="ru-RU"/>
        </w:rPr>
        <w:t>1</w:t>
      </w:r>
      <w:r>
        <w:rPr>
          <w:rFonts w:ascii="Times New Roman" w:hAnsi="Times New Roman" w:eastAsia="Calibri" w:cs="Times New Roman"/>
          <w:sz w:val="28"/>
        </w:rPr>
        <w:t xml:space="preserve"> – Организационная структура управления СХ ООО «Швейцарское молоко» </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Предприятие также получает государственную финансовую поддержку из бюджетных средств. Так, в 2018 г. получено бюджетных средств 5848 тыс. руб., а в 2017 г. – 3488 тыс. руб.</w:t>
      </w:r>
    </w:p>
    <w:p>
      <w:pPr>
        <w:spacing w:after="0" w:line="360" w:lineRule="auto"/>
        <w:ind w:firstLine="709"/>
        <w:jc w:val="both"/>
        <w:rPr>
          <w:rFonts w:ascii="Times New Roman" w:hAnsi="Times New Roman" w:eastAsia="Calibri" w:cs="Times New Roman"/>
          <w:sz w:val="28"/>
          <w:lang w:eastAsia="ru-RU"/>
        </w:rPr>
      </w:pPr>
      <w:r>
        <w:rPr>
          <w:rFonts w:ascii="Times New Roman" w:hAnsi="Times New Roman" w:eastAsia="Calibri" w:cs="Times New Roman"/>
          <w:sz w:val="28"/>
        </w:rPr>
        <w:t>В целом, можно сказать, что СХ ООО «Швейцарское молоко» является достаточно конкурентоспособным на рынке, о чем свидетельствует успешное развитие.</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Что касается непосредственно функционирования системы обеспечения экономической безопасности СХ ООО «Швейцарское молоко», то следует отметить, что на предприятии не сформировано структурное подразделение, которое бы выполняло функции управления экономической безопасностью предприятия. Так как предприятие является малым, то руководство компании не уделяет достаточного внимания вопросам обеспечения экономической безопасности ввиду нехватки организационных ресурсов.</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Если рассматривать внутренние нормативно-правовые акты, действующие в СХ ООО «Швейцарское молоко», то следует отметить, что положения и регламенты, касающиеся вопросов экономической безопасности, на предприятии отсутствуют. Частично отдельные функции, которые можно отнести к вопросам обеспечения экономической безопасности, закреплены в должностных инструкциях соответствующих руководителей и специалистов.</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В частности, Генеральный директор СХ ООО «Швейцарское молоко» в сфере обеспечения экономической безопасности:</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обеспечивает выполнение законодательных требований при ведении хозяйственно-экономической деятельности;</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обеспечивает сохранность имущества и материальных ценностей, принадлежащих Обществу; защиту имущественных интересов Общества в суде, арбитраже, органах государственной власти и управления;</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формирует кадровый состав предприятия, организует работу персонала;</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отвечает за обеспечение предприятия необходимой техникой, оборудованием, предметами труда, отвечает за их надлежащее техническое состояние;</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принимает решения относительно хозяйственной и финансово-экономической деятельности для обеспечения бесперебойного функционирования предприятия.</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Несмотря на то, что в обязанности Генерального директора предприятия входит принятие управленческих решений, однако их формирование и обоснование проводится не в соответствии установленными этапами процесса обеспечения экономической безопасности на основе подготовки и принятия управленческих решений, которые включают:</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Мониторинг угроз, их идентификация и ранжирование.</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Выбор форм, методов и инструментов их отражения (нейтрализации).</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Комплексная реализация защитных мер и мер по нейтрализации угроз (сведению к допустимому минимуму).</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Итерационный мониторинг угроз безопасности и диагностика кризисных экономических ситуаций.</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Принятие решений о корректировке механизма защиты организации.</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Оценка результатов защиты и состояния безопасности.</w:t>
      </w:r>
      <w:r>
        <w:rPr>
          <w:rFonts w:ascii="Times New Roman" w:hAnsi="Times New Roman" w:eastAsia="Calibri" w:cs="Times New Roman"/>
          <w:sz w:val="28"/>
        </w:rPr>
        <w:footnoteReference w:id="0"/>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Однако в СХ ООО «Швейцарское молоко» данный процесс не реализуется, Генеральный директор и сотрудники предприятия не проводят целенаправленную работу по выявлению угроз экономической безопасности., соответственно не проводится комплексная работа по определению механизмов и инструментов для их нейтрализации.</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Только в случае отрицательной динамики основных финансово-экономических показателей генеральный директор предприятия может посоветоваться с руководителями структурных подразделений относительно возможных мероприятий по устранению выявленных проблем. Управление экономической безопасностью и принятие управленческих решений в СХ ООО «Швейцарское молоко», таким образом, носит реактивный характер.</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Принятие управленческого решения осуществляется либо лично Генеральным директором на основе его компетенций и опыта, либо с привлечением руководителей структурных подразделений предприятия в качестве консультантов по отдельным функциональным вопросам.</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Принятые решения документируются в виде распоряжений Генерального директора и предоставляются тем сотрудникам. которым они адресованы. По результатам выполнения расположения Генерального директора сотрудник обязан составить докладную записку, в которой должен описать результат выполнения распоряжения.</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Частично вопросы, связанные с обеспечением экономической безопасности, рассматриваются специалистами экономического отдела СХ ООО «Швейцарское молоко». В частности, в должностных инструкциях специалистов экономического отдела закреплено следующее:</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проводят оценку финансово-экономических показателей деятельности предприятия каждый квартал на основе финансовой отчетности и осуществляют факторный анализ для определения факторов, повлиявших на динамику изменения показателей финансовой безопасности компании;</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отслеживают динамику цен на рынке молочной продукции для планирования объемов реализации и выручки предприятия, а также цен на корма, ветпрепараты, добавки, расходные материалы и т.д., необходимые для производственного процесса предприятия, с целью своевременного прогнозирования негативного влияния факторов внешней среды на экономическую безопасность.</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Бухгалтерия предприятия в сфере обеспечения экономической безопасности следит за соблюдением сроков погашения обязательств предприятия перед внешними контрагентами, перед федеральным, региональным и местным бюджетами, государственными внебюджетными социальными фондами, а также проводит работу по своевременному взысканию дебиторской задолженности компании.</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Также и отдел кадров, юридический отдел, служба безопасности СХ ООО «Швейцарское молоко» выполняют отдельные задачи по управлению соответствующими функциональными компонентами экономической безопасности предприятия.</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Однако полноценной, системной работы по управлению экономической безопасностью в компании не проводится.</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Таким образом, сегодня система управления экономической безопасностью СХ ООО «Швейцарское молоко» представляет собой набор разрозненных элементов, а процесс управления экономической безопасностью основывается на ретроспективных данных, что является недостаточным в современных условиях, так как управление экономической безопасностью должно не только включать механизмы реагирования на возникшие угрозы, но и иметь прогностический и предупредительный характер.</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lang w:val="ru-RU"/>
        </w:rPr>
        <w:t>Изучив</w:t>
      </w: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анализ функциональных компонентов экономической безопасности СХ ООО «Швейцарское молоко», было выявлено, что несмотря на позитивную динамику финансово-экономических показателей, у предприятия существует некоторые угрозы экон</w:t>
      </w:r>
      <w:r>
        <w:rPr>
          <w:rFonts w:ascii="Times New Roman" w:hAnsi="Times New Roman" w:eastAsia="Calibri" w:cs="Times New Roman"/>
          <w:sz w:val="28"/>
          <w:lang w:val="ru-RU"/>
        </w:rPr>
        <w:t>о</w:t>
      </w:r>
      <w:r>
        <w:rPr>
          <w:rFonts w:ascii="Times New Roman" w:hAnsi="Times New Roman" w:eastAsia="Calibri" w:cs="Times New Roman"/>
          <w:sz w:val="28"/>
        </w:rPr>
        <w:t>мической безопасности, связанные с высоким уровнем финансовой зависимости, неэффективным использованием оборотных активов предприятия, снижением чистой рентабельности деятельности, высоким уровнем физического износа основных средств предприятия.</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В связи с тем, что в ходе проведенного анализа было выявлено несколько значительных угроз экономической безопасности СХ ООО «Швейцарское молоко», а также по причине того, что не все аспекты экономической безопасности подвергаются контролю со стороны руководства предприятия, а полноценная система управления экономической безопасностью на предприятии не сформирована, рекомендуем создать на предприятии систему экономической безопасности на основе принятия управленческих решений, которая может быть создана на базе экономического отдела организации.</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В настоящий момент экономический отдел отслеживает динамику финансово-экономических показателей компании, а также частично состояние внешней среды, поэтому добавление функций по контролю за показателями, отражающими другие компоненты экономической безопасности (которые должны будут передавать соответствующие структурные подразделения) будет вполне целесообразным.</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Таким образом, экономический отдел будет аккумулировать всю информацию о состоянии функциональных компонентов экономической безопасности СХ ООО «Швейцарское молоко», что позволит не прибегать к радикальным преобразованиям организационной структуры предприятия, но в то же время обеспечить управление экономической безопасностью сельскохозяйственного предприятия.</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К основным элементам системы экономической безопасности на основе работ А.В. Веретёхина,</w:t>
      </w:r>
      <w:bookmarkStart w:id="4" w:name="_GoBack"/>
      <w:bookmarkEnd w:id="4"/>
      <w:r>
        <w:rPr>
          <w:rFonts w:ascii="Times New Roman" w:hAnsi="Times New Roman" w:eastAsia="Calibri" w:cs="Times New Roman"/>
          <w:sz w:val="28"/>
        </w:rPr>
        <w:t xml:space="preserve"> Е.А. Колесниченко и М.Т. Гильфанова, а также с учетом специфики сельскохозяйственного предприятия отнесём:</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подсистему сбора информации, основной задачей которой должен быть мониторинг внешней и внутренней среды предприятия, т.е. состояния не только выбранных показателей экономической безопасности во всех функциональных элементах на основе составленных форм отчетности для каждого структурного подразделения, но и тенденций на рынке молочной продукции (спроса и предложения, конкурентной среды, изменений в законодательном регулировании отрасли и т.п.) для отбора наиболее важных событий и выявления факторов воздействия;</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аналитическую подсистему, которая должна заниматься интерпретацией полученных фактов, выявлением причинно-следственных связей возникновения угроз экономической безопасности и разработкой управленческих решений по их снижению, что должно быть отнесено к обязанностям специалистов экономического отдела СХ ООО «Швейцарское молоко», которые должны будут результаты проведенного анализа передавать Генеральному директору;</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инструментальную подсистему воздействия на экономическую безопасность предприятия, которая должна объединять механизмы обеспечения экономической безопасности и реализации принятых управленческих решений, в данной подсистеме главную роль должен играть Генеральный директор предприятия, который на основе полученных аналитических данных с привлечением руководителей функциональных подразделений, формирует управленческие решения по устранению угроз экономической безопасности, а руководители структурных подразделений предприятия должны будут отвечать за их непосредственную реализацию (в рамках соответствующих функций);</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подсистему мониторинга и контроля, благодаря которой принятые решения должны осуществляться в соответствии с составленным планом, мониторингом и контролем мероприятий по обеспечению экономической безопасности должны заниматься специалисты экономического отдела. запрашивая информацию о выполнении распоряжений Генерального директора по обеспечению экономической безопасности у ответственных за исполнение решений лиц, однако в случае отклонений от разработанного плана мероприятий данная информация должна доводиться до сведения Генерального директора для выработки соответствующих корректировочных мероприятий;</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оценочную подсистему, в которой должен производиться расчет эффективности принятых управленческих решений и системы экономической безопасности предприятия в целом. Оценку достигнутого уровня экономической безопасности и эффективности функционировании системы экономической безопасности также будет проводить экономический отдел, сообщая результаты оценки генеральному директору. Для оценки всех функциональных элементов экономической безопасности предприятия можно использовать показатели, которые были приведены в таблице 10. Результат оценки эффективности управленческих решений в системе экономической безопасности предприятия, с одной стороны, должен подводить итог проведенным мероприятиям, а с другой – являться информацией для анализа и выявления новых угроз экономической безопасности.</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Таким образом, действие системы экономической безопасности СХ ООО «Швейцарское молоко» на основе принятия управленческих решений должно носить циклический характер.</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 xml:space="preserve">Взаимодействие между всеми рассмотренными подсистемами отражено на рисунке </w:t>
      </w:r>
      <w:r>
        <w:rPr>
          <w:rFonts w:hint="default" w:ascii="Times New Roman" w:hAnsi="Times New Roman" w:eastAsia="Calibri" w:cs="Times New Roman"/>
          <w:sz w:val="28"/>
          <w:lang w:val="ru-RU"/>
        </w:rPr>
        <w:t>2</w:t>
      </w:r>
      <w:r>
        <w:rPr>
          <w:rFonts w:ascii="Times New Roman" w:hAnsi="Times New Roman" w:eastAsia="Calibri" w:cs="Times New Roman"/>
          <w:sz w:val="28"/>
        </w:rPr>
        <w:t>.</w:t>
      </w:r>
    </w:p>
    <w:p>
      <w:pPr>
        <w:spacing w:after="0" w:line="360" w:lineRule="auto"/>
        <w:ind w:firstLine="709"/>
        <w:jc w:val="both"/>
        <w:rPr>
          <w:rFonts w:ascii="Times New Roman" w:hAnsi="Times New Roman" w:eastAsia="Calibri" w:cs="Times New Roman"/>
          <w:sz w:val="28"/>
        </w:rPr>
      </w:pPr>
    </w:p>
    <w:p>
      <w:pPr>
        <w:spacing w:after="0" w:line="360" w:lineRule="auto"/>
        <w:ind w:firstLine="709"/>
        <w:jc w:val="both"/>
        <w:rPr>
          <w:rFonts w:ascii="Times New Roman" w:hAnsi="Times New Roman" w:eastAsia="Calibri" w:cs="Times New Roman"/>
          <w:sz w:val="28"/>
        </w:rPr>
      </w:pP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lang w:eastAsia="ru-RU"/>
        </w:rPr>
        <mc:AlternateContent>
          <mc:Choice Requires="wps">
            <w:drawing>
              <wp:anchor distT="0" distB="0" distL="114300" distR="114300" simplePos="0" relativeHeight="251659264" behindDoc="0" locked="0" layoutInCell="1" allowOverlap="1">
                <wp:simplePos x="0" y="0"/>
                <wp:positionH relativeFrom="margin">
                  <wp:posOffset>47625</wp:posOffset>
                </wp:positionH>
                <wp:positionV relativeFrom="paragraph">
                  <wp:posOffset>165735</wp:posOffset>
                </wp:positionV>
                <wp:extent cx="2543175" cy="1594485"/>
                <wp:effectExtent l="6350" t="6350" r="22225" b="18415"/>
                <wp:wrapNone/>
                <wp:docPr id="8" name="Прямоугольник 8"/>
                <wp:cNvGraphicFramePr/>
                <a:graphic xmlns:a="http://schemas.openxmlformats.org/drawingml/2006/main">
                  <a:graphicData uri="http://schemas.microsoft.com/office/word/2010/wordprocessingShape">
                    <wps:wsp>
                      <wps:cNvSpPr/>
                      <wps:spPr>
                        <a:xfrm>
                          <a:off x="0" y="0"/>
                          <a:ext cx="2543175" cy="1594485"/>
                        </a:xfrm>
                        <a:prstGeom prst="rect">
                          <a:avLst/>
                        </a:prstGeom>
                        <a:solidFill>
                          <a:sysClr val="window" lastClr="FFFFFF"/>
                        </a:solidFill>
                        <a:ln w="12700" cap="flat" cmpd="sng" algn="ctr">
                          <a:solidFill>
                            <a:sysClr val="windowText" lastClr="000000"/>
                          </a:solidFill>
                          <a:prstDash val="solid"/>
                          <a:miter lim="800000"/>
                        </a:ln>
                        <a:effectLst/>
                      </wps:spPr>
                      <wps:txbx>
                        <w:txbxContent>
                          <w:p>
                            <w:pPr>
                              <w:spacing w:line="240" w:lineRule="auto"/>
                              <w:ind w:firstLine="0"/>
                              <w:jc w:val="center"/>
                              <w:rPr>
                                <w:b/>
                                <w:sz w:val="24"/>
                                <w:szCs w:val="24"/>
                              </w:rPr>
                            </w:pPr>
                            <w:r>
                              <w:rPr>
                                <w:b/>
                                <w:sz w:val="24"/>
                                <w:szCs w:val="24"/>
                              </w:rPr>
                              <w:t>Подсистема сбора информации</w:t>
                            </w:r>
                          </w:p>
                          <w:p>
                            <w:pPr>
                              <w:spacing w:line="240" w:lineRule="auto"/>
                              <w:ind w:firstLine="0"/>
                              <w:jc w:val="center"/>
                              <w:rPr>
                                <w:sz w:val="24"/>
                                <w:szCs w:val="24"/>
                              </w:rPr>
                            </w:pPr>
                            <w:r>
                              <w:rPr>
                                <w:sz w:val="24"/>
                                <w:szCs w:val="24"/>
                              </w:rPr>
                              <w:t>Сбор информации об объектах контроля:</w:t>
                            </w:r>
                          </w:p>
                          <w:p>
                            <w:pPr>
                              <w:spacing w:line="240" w:lineRule="auto"/>
                              <w:ind w:firstLine="0"/>
                              <w:jc w:val="center"/>
                              <w:rPr>
                                <w:sz w:val="24"/>
                                <w:szCs w:val="24"/>
                              </w:rPr>
                            </w:pPr>
                            <w:r>
                              <w:rPr>
                                <w:sz w:val="24"/>
                                <w:szCs w:val="24"/>
                              </w:rPr>
                              <w:t>финансовые средства, трудовые ресурсы, материальные ресурсы,</w:t>
                            </w:r>
                          </w:p>
                          <w:p>
                            <w:pPr>
                              <w:spacing w:line="240" w:lineRule="auto"/>
                              <w:ind w:firstLine="0"/>
                              <w:jc w:val="center"/>
                              <w:rPr>
                                <w:sz w:val="24"/>
                                <w:szCs w:val="24"/>
                              </w:rPr>
                            </w:pPr>
                            <w:r>
                              <w:rPr>
                                <w:sz w:val="24"/>
                                <w:szCs w:val="24"/>
                              </w:rPr>
                              <w:t>информационные потоки,</w:t>
                            </w:r>
                          </w:p>
                          <w:p>
                            <w:pPr>
                              <w:spacing w:line="240" w:lineRule="auto"/>
                              <w:ind w:firstLine="0"/>
                              <w:jc w:val="center"/>
                              <w:rPr>
                                <w:sz w:val="24"/>
                                <w:szCs w:val="24"/>
                              </w:rPr>
                            </w:pPr>
                            <w:r>
                              <w:rPr>
                                <w:sz w:val="24"/>
                                <w:szCs w:val="24"/>
                              </w:rPr>
                              <w:t>внешняя среда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rect id="_x0000_s1026" o:spid="_x0000_s1026" o:spt="1" style="position:absolute;left:0pt;margin-left:3.75pt;margin-top:13.05pt;height:125.55pt;width:200.25pt;mso-position-horizontal-relative:margin;z-index:251659264;mso-width-relative:page;mso-height-relative:page;" fillcolor="#FFFFFF" filled="t" stroked="t" coordsize="21600,21600" o:gfxdata="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4SUf9toAAAAI&#10;AQAADwAAAAAAAAABACAAAAAiAAAAZHJzL2Rvd25yZXYueG1sUEsBAhQAFAAAAAgAh07iQHU3BdGM&#10;AgAA9gQAAA4AAAAAAAAAAQAgAAAAKQEAAGRycy9lMm9Eb2MueG1sUEsFBgAAAAAGAAYAWQEAACcG&#10;AAAAAA==&#10;">
                <v:fill on="t" focussize="0,0"/>
                <v:stroke weight="1pt" color="#000000" miterlimit="8" joinstyle="miter"/>
                <v:imagedata o:title=""/>
                <o:lock v:ext="edit" aspectratio="f"/>
                <v:textbox>
                  <w:txbxContent>
                    <w:p>
                      <w:pPr>
                        <w:spacing w:line="240" w:lineRule="auto"/>
                        <w:ind w:firstLine="0"/>
                        <w:jc w:val="center"/>
                        <w:rPr>
                          <w:b/>
                          <w:sz w:val="24"/>
                          <w:szCs w:val="24"/>
                        </w:rPr>
                      </w:pPr>
                      <w:r>
                        <w:rPr>
                          <w:b/>
                          <w:sz w:val="24"/>
                          <w:szCs w:val="24"/>
                        </w:rPr>
                        <w:t>Подсистема сбора информации</w:t>
                      </w:r>
                    </w:p>
                    <w:p>
                      <w:pPr>
                        <w:spacing w:line="240" w:lineRule="auto"/>
                        <w:ind w:firstLine="0"/>
                        <w:jc w:val="center"/>
                        <w:rPr>
                          <w:sz w:val="24"/>
                          <w:szCs w:val="24"/>
                        </w:rPr>
                      </w:pPr>
                      <w:r>
                        <w:rPr>
                          <w:sz w:val="24"/>
                          <w:szCs w:val="24"/>
                        </w:rPr>
                        <w:t>Сбор информации об объектах контроля:</w:t>
                      </w:r>
                    </w:p>
                    <w:p>
                      <w:pPr>
                        <w:spacing w:line="240" w:lineRule="auto"/>
                        <w:ind w:firstLine="0"/>
                        <w:jc w:val="center"/>
                        <w:rPr>
                          <w:sz w:val="24"/>
                          <w:szCs w:val="24"/>
                        </w:rPr>
                      </w:pPr>
                      <w:r>
                        <w:rPr>
                          <w:sz w:val="24"/>
                          <w:szCs w:val="24"/>
                        </w:rPr>
                        <w:t>финансовые средства, трудовые ресурсы, материальные ресурсы,</w:t>
                      </w:r>
                    </w:p>
                    <w:p>
                      <w:pPr>
                        <w:spacing w:line="240" w:lineRule="auto"/>
                        <w:ind w:firstLine="0"/>
                        <w:jc w:val="center"/>
                        <w:rPr>
                          <w:sz w:val="24"/>
                          <w:szCs w:val="24"/>
                        </w:rPr>
                      </w:pPr>
                      <w:r>
                        <w:rPr>
                          <w:sz w:val="24"/>
                          <w:szCs w:val="24"/>
                        </w:rPr>
                        <w:t>информационные потоки,</w:t>
                      </w:r>
                    </w:p>
                    <w:p>
                      <w:pPr>
                        <w:spacing w:line="240" w:lineRule="auto"/>
                        <w:ind w:firstLine="0"/>
                        <w:jc w:val="center"/>
                        <w:rPr>
                          <w:sz w:val="24"/>
                          <w:szCs w:val="24"/>
                        </w:rPr>
                      </w:pPr>
                      <w:r>
                        <w:rPr>
                          <w:sz w:val="24"/>
                          <w:szCs w:val="24"/>
                        </w:rPr>
                        <w:t>внешняя среда</w:t>
                      </w:r>
                    </w:p>
                  </w:txbxContent>
                </v:textbox>
              </v:rect>
            </w:pict>
          </mc:Fallback>
        </mc:AlternateContent>
      </w:r>
      <w:r>
        <w:rPr>
          <w:rFonts w:ascii="Times New Roman" w:hAnsi="Times New Roman" w:eastAsia="Calibri" w:cs="Times New Roman"/>
          <w:sz w:val="28"/>
          <w:lang w:eastAsia="ru-RU"/>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194310</wp:posOffset>
                </wp:positionV>
                <wp:extent cx="2581275" cy="1727835"/>
                <wp:effectExtent l="6350" t="6350" r="22225" b="18415"/>
                <wp:wrapNone/>
                <wp:docPr id="9" name="Прямоугольник 9"/>
                <wp:cNvGraphicFramePr/>
                <a:graphic xmlns:a="http://schemas.openxmlformats.org/drawingml/2006/main">
                  <a:graphicData uri="http://schemas.microsoft.com/office/word/2010/wordprocessingShape">
                    <wps:wsp>
                      <wps:cNvSpPr/>
                      <wps:spPr>
                        <a:xfrm>
                          <a:off x="0" y="0"/>
                          <a:ext cx="2581275" cy="1728000"/>
                        </a:xfrm>
                        <a:prstGeom prst="rect">
                          <a:avLst/>
                        </a:prstGeom>
                        <a:solidFill>
                          <a:sysClr val="window" lastClr="FFFFFF"/>
                        </a:solidFill>
                        <a:ln w="12700" cap="flat" cmpd="sng" algn="ctr">
                          <a:solidFill>
                            <a:sysClr val="windowText" lastClr="000000"/>
                          </a:solidFill>
                          <a:prstDash val="solid"/>
                          <a:miter lim="800000"/>
                        </a:ln>
                        <a:effectLst/>
                      </wps:spPr>
                      <wps:txbx>
                        <w:txbxContent>
                          <w:p>
                            <w:pPr>
                              <w:spacing w:line="240" w:lineRule="auto"/>
                              <w:ind w:firstLine="0"/>
                              <w:jc w:val="center"/>
                              <w:rPr>
                                <w:b/>
                                <w:sz w:val="24"/>
                                <w:szCs w:val="24"/>
                              </w:rPr>
                            </w:pPr>
                            <w:r>
                              <w:rPr>
                                <w:b/>
                                <w:sz w:val="24"/>
                                <w:szCs w:val="24"/>
                              </w:rPr>
                              <w:t>Аналитическая подсистема</w:t>
                            </w:r>
                          </w:p>
                          <w:p>
                            <w:pPr>
                              <w:spacing w:line="240" w:lineRule="auto"/>
                              <w:ind w:firstLine="0"/>
                              <w:jc w:val="center"/>
                              <w:rPr>
                                <w:sz w:val="24"/>
                                <w:szCs w:val="24"/>
                              </w:rPr>
                            </w:pPr>
                            <w:r>
                              <w:rPr>
                                <w:sz w:val="24"/>
                                <w:szCs w:val="24"/>
                              </w:rPr>
                              <w:t>Система показателей оценки состояния объектов контроля</w:t>
                            </w:r>
                          </w:p>
                          <w:p>
                            <w:pPr>
                              <w:spacing w:line="240" w:lineRule="auto"/>
                              <w:ind w:firstLine="0"/>
                              <w:jc w:val="center"/>
                              <w:rPr>
                                <w:sz w:val="24"/>
                                <w:szCs w:val="24"/>
                              </w:rPr>
                            </w:pPr>
                            <w:r>
                              <w:rPr>
                                <w:sz w:val="24"/>
                                <w:szCs w:val="24"/>
                              </w:rPr>
                              <w:t>Аналитические процедуры относительно поступившей информации, идентификация и ранжирование угроз</w:t>
                            </w:r>
                          </w:p>
                          <w:p>
                            <w:pPr>
                              <w:spacing w:line="240" w:lineRule="auto"/>
                              <w:ind w:firstLine="0"/>
                              <w:jc w:val="center"/>
                              <w:rPr>
                                <w:sz w:val="24"/>
                                <w:szCs w:val="24"/>
                              </w:rPr>
                            </w:pPr>
                            <w:r>
                              <w:rPr>
                                <w:sz w:val="24"/>
                                <w:szCs w:val="24"/>
                              </w:rPr>
                              <w:t>Выработка альтернативных вариантов управленческих решений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rect id="_x0000_s1026" o:spid="_x0000_s1026" o:spt="1" style="position:absolute;left:0pt;margin-top:15.3pt;height:136.05pt;width:203.25pt;mso-position-horizontal:right;mso-position-horizontal-relative:margin;z-index:251660288;mso-width-relative:page;mso-height-relative:page;" fillcolor="#FFFFFF" filled="t" stroked="t" coordsize="21600,21600" o:gfxdata="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d/++6dkA&#10;AAAHAQAADwAAAAAAAAABACAAAAAiAAAAZHJzL2Rvd25yZXYueG1sUEsBAhQAFAAAAAgAh07iQDxV&#10;K3yQAgAA9gQAAA4AAAAAAAAAAQAgAAAAKAEAAGRycy9lMm9Eb2MueG1sUEsFBgAAAAAGAAYAWQEA&#10;ACoGAAAAAA==&#10;">
                <v:fill on="t" focussize="0,0"/>
                <v:stroke weight="1pt" color="#000000" miterlimit="8" joinstyle="miter"/>
                <v:imagedata o:title=""/>
                <o:lock v:ext="edit" aspectratio="f"/>
                <v:textbox>
                  <w:txbxContent>
                    <w:p>
                      <w:pPr>
                        <w:spacing w:line="240" w:lineRule="auto"/>
                        <w:ind w:firstLine="0"/>
                        <w:jc w:val="center"/>
                        <w:rPr>
                          <w:b/>
                          <w:sz w:val="24"/>
                          <w:szCs w:val="24"/>
                        </w:rPr>
                      </w:pPr>
                      <w:r>
                        <w:rPr>
                          <w:b/>
                          <w:sz w:val="24"/>
                          <w:szCs w:val="24"/>
                        </w:rPr>
                        <w:t>Аналитическая подсистема</w:t>
                      </w:r>
                    </w:p>
                    <w:p>
                      <w:pPr>
                        <w:spacing w:line="240" w:lineRule="auto"/>
                        <w:ind w:firstLine="0"/>
                        <w:jc w:val="center"/>
                        <w:rPr>
                          <w:sz w:val="24"/>
                          <w:szCs w:val="24"/>
                        </w:rPr>
                      </w:pPr>
                      <w:r>
                        <w:rPr>
                          <w:sz w:val="24"/>
                          <w:szCs w:val="24"/>
                        </w:rPr>
                        <w:t>Система показателей оценки состояния объектов контроля</w:t>
                      </w:r>
                    </w:p>
                    <w:p>
                      <w:pPr>
                        <w:spacing w:line="240" w:lineRule="auto"/>
                        <w:ind w:firstLine="0"/>
                        <w:jc w:val="center"/>
                        <w:rPr>
                          <w:sz w:val="24"/>
                          <w:szCs w:val="24"/>
                        </w:rPr>
                      </w:pPr>
                      <w:r>
                        <w:rPr>
                          <w:sz w:val="24"/>
                          <w:szCs w:val="24"/>
                        </w:rPr>
                        <w:t>Аналитические процедуры относительно поступившей информации, идентификация и ранжирование угроз</w:t>
                      </w:r>
                    </w:p>
                    <w:p>
                      <w:pPr>
                        <w:spacing w:line="240" w:lineRule="auto"/>
                        <w:ind w:firstLine="0"/>
                        <w:jc w:val="center"/>
                        <w:rPr>
                          <w:sz w:val="24"/>
                          <w:szCs w:val="24"/>
                        </w:rPr>
                      </w:pPr>
                      <w:r>
                        <w:rPr>
                          <w:sz w:val="24"/>
                          <w:szCs w:val="24"/>
                        </w:rPr>
                        <w:t>Выработка альтернативных вариантов управленческих решений</w:t>
                      </w:r>
                    </w:p>
                  </w:txbxContent>
                </v:textbox>
              </v:rect>
            </w:pict>
          </mc:Fallback>
        </mc:AlternateContent>
      </w:r>
    </w:p>
    <w:p>
      <w:pPr>
        <w:spacing w:after="0" w:line="360" w:lineRule="auto"/>
        <w:ind w:firstLine="709"/>
        <w:jc w:val="both"/>
        <w:rPr>
          <w:rFonts w:ascii="Times New Roman" w:hAnsi="Times New Roman" w:eastAsia="Calibri" w:cs="Times New Roman"/>
          <w:sz w:val="28"/>
        </w:rPr>
      </w:pPr>
    </w:p>
    <w:p>
      <w:pPr>
        <w:spacing w:after="0" w:line="360" w:lineRule="auto"/>
        <w:ind w:firstLine="709"/>
        <w:jc w:val="both"/>
        <w:rPr>
          <w:rFonts w:ascii="Times New Roman" w:hAnsi="Times New Roman" w:eastAsia="Calibri" w:cs="Times New Roman"/>
          <w:sz w:val="28"/>
        </w:rPr>
      </w:pP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lang w:eastAsia="ru-RU"/>
        </w:rPr>
        <mc:AlternateContent>
          <mc:Choice Requires="wps">
            <w:drawing>
              <wp:anchor distT="0" distB="0" distL="114300" distR="114300" simplePos="0" relativeHeight="251665408" behindDoc="0" locked="0" layoutInCell="1" allowOverlap="1">
                <wp:simplePos x="0" y="0"/>
                <wp:positionH relativeFrom="column">
                  <wp:posOffset>2634615</wp:posOffset>
                </wp:positionH>
                <wp:positionV relativeFrom="paragraph">
                  <wp:posOffset>48260</wp:posOffset>
                </wp:positionV>
                <wp:extent cx="709295" cy="6985"/>
                <wp:effectExtent l="0" t="37465" r="14605" b="31750"/>
                <wp:wrapNone/>
                <wp:docPr id="14" name="Прямая со стрелкой 14"/>
                <wp:cNvGraphicFramePr/>
                <a:graphic xmlns:a="http://schemas.openxmlformats.org/drawingml/2006/main">
                  <a:graphicData uri="http://schemas.microsoft.com/office/word/2010/wordprocessingShape">
                    <wps:wsp>
                      <wps:cNvCnPr/>
                      <wps:spPr>
                        <a:xfrm flipV="1">
                          <a:off x="0" y="0"/>
                          <a:ext cx="709295" cy="698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id="_x0000_s1026" o:spid="_x0000_s1026" o:spt="32" type="#_x0000_t32" style="position:absolute;left:0pt;flip:y;margin-left:207.45pt;margin-top:3.8pt;height:0.55pt;width:55.85pt;z-index:251665408;mso-width-relative:page;mso-height-relative:page;" filled="f" stroked="t" coordsize="21600,21600" o:gfxdata="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RWGETXAAAABwEAAA8AAAAAAAAA&#10;AQAgAAAAIgAAAGRycy9kb3ducmV2LnhtbFBLAQIUABQAAAAIAIdO4kDWZedFEgIAANADAAAOAAAA&#10;AAAAAAEAIAAAACYBAABkcnMvZTJvRG9jLnhtbFBLBQYAAAAABgAGAFkBAACqBQAAAAA=&#10;">
                <v:fill on="f" focussize="0,0"/>
                <v:stroke weight="0.5pt" color="#000000" miterlimit="8" joinstyle="miter" endarrow="block"/>
                <v:imagedata o:title=""/>
                <o:lock v:ext="edit" aspectratio="f"/>
              </v:shape>
            </w:pict>
          </mc:Fallback>
        </mc:AlternateContent>
      </w:r>
    </w:p>
    <w:p>
      <w:pPr>
        <w:spacing w:after="0" w:line="360" w:lineRule="auto"/>
        <w:ind w:firstLine="709"/>
        <w:jc w:val="both"/>
        <w:rPr>
          <w:rFonts w:ascii="Times New Roman" w:hAnsi="Times New Roman" w:eastAsia="Calibri" w:cs="Times New Roman"/>
          <w:sz w:val="28"/>
        </w:rPr>
      </w:pP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lang w:eastAsia="ru-RU"/>
        </w:rPr>
        <mc:AlternateContent>
          <mc:Choice Requires="wps">
            <w:drawing>
              <wp:anchor distT="0" distB="0" distL="114300" distR="114300" simplePos="0" relativeHeight="251669504" behindDoc="0" locked="0" layoutInCell="1" allowOverlap="1">
                <wp:simplePos x="0" y="0"/>
                <wp:positionH relativeFrom="column">
                  <wp:posOffset>371475</wp:posOffset>
                </wp:positionH>
                <wp:positionV relativeFrom="paragraph">
                  <wp:posOffset>217805</wp:posOffset>
                </wp:positionV>
                <wp:extent cx="635" cy="3501390"/>
                <wp:effectExtent l="38100" t="0" r="37465" b="3810"/>
                <wp:wrapNone/>
                <wp:docPr id="20" name="Прямая со стрелкой 20"/>
                <wp:cNvGraphicFramePr/>
                <a:graphic xmlns:a="http://schemas.openxmlformats.org/drawingml/2006/main">
                  <a:graphicData uri="http://schemas.microsoft.com/office/word/2010/wordprocessingShape">
                    <wps:wsp>
                      <wps:cNvCnPr/>
                      <wps:spPr>
                        <a:xfrm flipH="1">
                          <a:off x="0" y="0"/>
                          <a:ext cx="635" cy="35013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id="_x0000_s1026" o:spid="_x0000_s1026" o:spt="32" type="#_x0000_t32" style="position:absolute;left:0pt;flip:x;margin-left:29.25pt;margin-top:17.15pt;height:275.7pt;width:0.05pt;z-index:251669504;mso-width-relative:page;mso-height-relative:page;" filled="f" stroked="t" coordsize="21600,21600" o:gfxdata="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2dD9gAAAAIAQAADwAAAAAAAAAB&#10;ACAAAAAiAAAAZHJzL2Rvd25yZXYueG1sUEsBAhQAFAAAAAgAh07iQPWUwjsQAgAA0AMAAA4AAAAA&#10;AAAAAQAgAAAAJwEAAGRycy9lMm9Eb2MueG1sUEsFBgAAAAAGAAYAWQEAAKkFAAAAAA==&#10;">
                <v:fill on="f" focussize="0,0"/>
                <v:stroke weight="0.5pt" color="#000000" miterlimit="8" joinstyle="miter" endarrow="block"/>
                <v:imagedata o:title=""/>
                <o:lock v:ext="edit" aspectratio="f"/>
              </v:shape>
            </w:pict>
          </mc:Fallback>
        </mc:AlternateConten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lang w:eastAsia="ru-RU"/>
        </w:rPr>
        <mc:AlternateContent>
          <mc:Choice Requires="wps">
            <w:drawing>
              <wp:anchor distT="0" distB="0" distL="114300" distR="114300" simplePos="0" relativeHeight="251667456" behindDoc="0" locked="0" layoutInCell="1" allowOverlap="1">
                <wp:simplePos x="0" y="0"/>
                <wp:positionH relativeFrom="column">
                  <wp:posOffset>4768215</wp:posOffset>
                </wp:positionH>
                <wp:positionV relativeFrom="paragraph">
                  <wp:posOffset>81915</wp:posOffset>
                </wp:positionV>
                <wp:extent cx="0" cy="424815"/>
                <wp:effectExtent l="38100" t="0" r="38100" b="13335"/>
                <wp:wrapNone/>
                <wp:docPr id="17" name="Прямая со стрелкой 17"/>
                <wp:cNvGraphicFramePr/>
                <a:graphic xmlns:a="http://schemas.openxmlformats.org/drawingml/2006/main">
                  <a:graphicData uri="http://schemas.microsoft.com/office/word/2010/wordprocessingShape">
                    <wps:wsp>
                      <wps:cNvCnPr/>
                      <wps:spPr>
                        <a:xfrm>
                          <a:off x="0" y="0"/>
                          <a:ext cx="0" cy="42481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id="_x0000_s1026" o:spid="_x0000_s1026" o:spt="32" type="#_x0000_t32" style="position:absolute;left:0pt;margin-left:375.45pt;margin-top:6.45pt;height:33.45pt;width:0pt;z-index:251667456;mso-width-relative:page;mso-height-relative:page;" filled="f" stroked="t" coordsize="21600,21600" o:gfxdata="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EG50i1AAAAAkBAAAPAAAAAAAAAAEAIAAAACIAAABkcnMv&#10;ZG93bnJldi54bWxQSwECFAAUAAAACACHTuJAOzGgnAcCAADDAwAADgAAAAAAAAABACAAAAAjAQAA&#10;ZHJzL2Uyb0RvYy54bWxQSwUGAAAAAAYABgBZAQAAnAUAAAAA&#10;">
                <v:fill on="f" focussize="0,0"/>
                <v:stroke weight="0.5pt" color="#000000" miterlimit="8" joinstyle="miter" endarrow="block"/>
                <v:imagedata o:title=""/>
                <o:lock v:ext="edit" aspectratio="f"/>
              </v:shape>
            </w:pict>
          </mc:Fallback>
        </mc:AlternateConten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lang w:eastAsia="ru-RU"/>
        </w:rPr>
        <mc:AlternateContent>
          <mc:Choice Requires="wps">
            <w:drawing>
              <wp:anchor distT="0" distB="0" distL="114300" distR="114300" simplePos="0" relativeHeight="251664384" behindDoc="0" locked="0" layoutInCell="1" allowOverlap="1">
                <wp:simplePos x="0" y="0"/>
                <wp:positionH relativeFrom="column">
                  <wp:posOffset>3644265</wp:posOffset>
                </wp:positionH>
                <wp:positionV relativeFrom="paragraph">
                  <wp:posOffset>190500</wp:posOffset>
                </wp:positionV>
                <wp:extent cx="2295525" cy="1367790"/>
                <wp:effectExtent l="6350" t="6350" r="22225" b="16510"/>
                <wp:wrapNone/>
                <wp:docPr id="13" name="Прямоугольник 13"/>
                <wp:cNvGraphicFramePr/>
                <a:graphic xmlns:a="http://schemas.openxmlformats.org/drawingml/2006/main">
                  <a:graphicData uri="http://schemas.microsoft.com/office/word/2010/wordprocessingShape">
                    <wps:wsp>
                      <wps:cNvSpPr/>
                      <wps:spPr>
                        <a:xfrm>
                          <a:off x="0" y="0"/>
                          <a:ext cx="2295525" cy="1368000"/>
                        </a:xfrm>
                        <a:prstGeom prst="rect">
                          <a:avLst/>
                        </a:prstGeom>
                        <a:solidFill>
                          <a:sysClr val="window" lastClr="FFFFFF"/>
                        </a:solidFill>
                        <a:ln w="12700" cap="flat" cmpd="sng" algn="ctr">
                          <a:solidFill>
                            <a:sysClr val="windowText" lastClr="000000"/>
                          </a:solidFill>
                          <a:prstDash val="solid"/>
                          <a:miter lim="800000"/>
                        </a:ln>
                        <a:effectLst/>
                      </wps:spPr>
                      <wps:txbx>
                        <w:txbxContent>
                          <w:p>
                            <w:pPr>
                              <w:spacing w:line="240" w:lineRule="auto"/>
                              <w:ind w:firstLine="0"/>
                              <w:jc w:val="center"/>
                              <w:rPr>
                                <w:sz w:val="24"/>
                                <w:szCs w:val="24"/>
                              </w:rPr>
                            </w:pPr>
                            <w:r>
                              <w:rPr>
                                <w:b/>
                                <w:sz w:val="24"/>
                                <w:szCs w:val="24"/>
                              </w:rPr>
                              <w:t>Выбор управленческого решения по обеспечению экономической безопасности из разработанных альтернатив и его реализация</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86.95pt;margin-top:15pt;height:107.7pt;width:180.75pt;z-index:251664384;v-text-anchor:middle;mso-width-relative:page;mso-height-relative:page;" fillcolor="#FFFFFF" filled="t" stroked="t" coordsize="21600,21600" o:gfxdata="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C5sMNDXAAAA&#10;CgEAAA8AAAAAAAAAAQAgAAAAIgAAAGRycy9kb3ducmV2LnhtbFBLAQIUABQAAAAIAIdO4kBAjJAN&#10;kAIAAPoEAAAOAAAAAAAAAAEAIAAAACYBAABkcnMvZTJvRG9jLnhtbFBLBQYAAAAABgAGAFkBAAAo&#10;BgAAAAA=&#10;">
                <v:fill on="t" focussize="0,0"/>
                <v:stroke weight="1pt" color="#000000" miterlimit="8" joinstyle="miter"/>
                <v:imagedata o:title=""/>
                <o:lock v:ext="edit" aspectratio="f"/>
                <v:textbox>
                  <w:txbxContent>
                    <w:p>
                      <w:pPr>
                        <w:spacing w:line="240" w:lineRule="auto"/>
                        <w:ind w:firstLine="0"/>
                        <w:jc w:val="center"/>
                        <w:rPr>
                          <w:sz w:val="24"/>
                          <w:szCs w:val="24"/>
                        </w:rPr>
                      </w:pPr>
                      <w:r>
                        <w:rPr>
                          <w:b/>
                          <w:sz w:val="24"/>
                          <w:szCs w:val="24"/>
                        </w:rPr>
                        <w:t>Выбор управленческого решения по обеспечению экономической безопасности из разработанных альтернатив и его реализация</w:t>
                      </w:r>
                    </w:p>
                  </w:txbxContent>
                </v:textbox>
              </v:rect>
            </w:pict>
          </mc:Fallback>
        </mc:AlternateContent>
      </w:r>
      <w:r>
        <w:rPr>
          <w:rFonts w:ascii="Times New Roman" w:hAnsi="Times New Roman" w:eastAsia="Calibri" w:cs="Times New Roman"/>
          <w:sz w:val="28"/>
          <w:lang w:eastAsia="ru-RU"/>
        </w:rPr>
        <mc:AlternateContent>
          <mc:Choice Requires="wps">
            <w:drawing>
              <wp:anchor distT="0" distB="0" distL="114300" distR="114300" simplePos="0" relativeHeight="251661312" behindDoc="0" locked="0" layoutInCell="1" allowOverlap="1">
                <wp:simplePos x="0" y="0"/>
                <wp:positionH relativeFrom="column">
                  <wp:posOffset>729615</wp:posOffset>
                </wp:positionH>
                <wp:positionV relativeFrom="paragraph">
                  <wp:posOffset>180975</wp:posOffset>
                </wp:positionV>
                <wp:extent cx="2295525" cy="1367790"/>
                <wp:effectExtent l="6350" t="6350" r="22225" b="16510"/>
                <wp:wrapNone/>
                <wp:docPr id="10" name="Прямоугольник 10"/>
                <wp:cNvGraphicFramePr/>
                <a:graphic xmlns:a="http://schemas.openxmlformats.org/drawingml/2006/main">
                  <a:graphicData uri="http://schemas.microsoft.com/office/word/2010/wordprocessingShape">
                    <wps:wsp>
                      <wps:cNvSpPr/>
                      <wps:spPr>
                        <a:xfrm>
                          <a:off x="0" y="0"/>
                          <a:ext cx="2295525" cy="1368000"/>
                        </a:xfrm>
                        <a:prstGeom prst="rect">
                          <a:avLst/>
                        </a:prstGeom>
                        <a:solidFill>
                          <a:sysClr val="window" lastClr="FFFFFF"/>
                        </a:solidFill>
                        <a:ln w="12700" cap="flat" cmpd="sng" algn="ctr">
                          <a:solidFill>
                            <a:sysClr val="windowText" lastClr="000000"/>
                          </a:solidFill>
                          <a:prstDash val="solid"/>
                          <a:miter lim="800000"/>
                        </a:ln>
                        <a:effectLst/>
                      </wps:spPr>
                      <wps:txbx>
                        <w:txbxContent>
                          <w:p>
                            <w:pPr>
                              <w:spacing w:line="240" w:lineRule="auto"/>
                              <w:ind w:firstLine="0"/>
                              <w:jc w:val="center"/>
                              <w:rPr>
                                <w:b/>
                                <w:sz w:val="24"/>
                                <w:szCs w:val="24"/>
                              </w:rPr>
                            </w:pPr>
                            <w:r>
                              <w:rPr>
                                <w:b/>
                                <w:sz w:val="24"/>
                                <w:szCs w:val="24"/>
                              </w:rPr>
                              <w:t>Инструментальная подсистема</w:t>
                            </w:r>
                          </w:p>
                          <w:p>
                            <w:pPr>
                              <w:spacing w:line="240" w:lineRule="auto"/>
                              <w:ind w:firstLine="0"/>
                              <w:jc w:val="center"/>
                              <w:rPr>
                                <w:sz w:val="24"/>
                                <w:szCs w:val="24"/>
                              </w:rPr>
                            </w:pPr>
                            <w:r>
                              <w:rPr>
                                <w:sz w:val="24"/>
                                <w:szCs w:val="24"/>
                              </w:rPr>
                              <w:t>Механизм обеспечения экономической безопасности</w:t>
                            </w:r>
                          </w:p>
                          <w:p>
                            <w:pPr>
                              <w:spacing w:line="240" w:lineRule="auto"/>
                              <w:ind w:firstLine="0"/>
                              <w:jc w:val="center"/>
                              <w:rPr>
                                <w:sz w:val="24"/>
                                <w:szCs w:val="24"/>
                              </w:rPr>
                            </w:pPr>
                            <w:r>
                              <w:rPr>
                                <w:sz w:val="24"/>
                                <w:szCs w:val="24"/>
                              </w:rPr>
                              <w:t>Направления обеспечения</w:t>
                            </w:r>
                          </w:p>
                          <w:p>
                            <w:pPr>
                              <w:spacing w:line="240" w:lineRule="auto"/>
                              <w:ind w:firstLine="0"/>
                              <w:jc w:val="center"/>
                              <w:rPr>
                                <w:sz w:val="24"/>
                                <w:szCs w:val="24"/>
                              </w:rPr>
                            </w:pPr>
                            <w:r>
                              <w:rPr>
                                <w:sz w:val="24"/>
                                <w:szCs w:val="24"/>
                              </w:rPr>
                              <w:t>Инструменты обеспечения</w:t>
                            </w:r>
                          </w:p>
                          <w:p>
                            <w:pPr>
                              <w:spacing w:line="240" w:lineRule="auto"/>
                              <w:ind w:firstLine="0"/>
                              <w:jc w:val="center"/>
                              <w:rPr>
                                <w:sz w:val="24"/>
                                <w:szCs w:val="24"/>
                              </w:rPr>
                            </w:pPr>
                            <w:r>
                              <w:rPr>
                                <w:sz w:val="24"/>
                                <w:szCs w:val="24"/>
                              </w:rPr>
                              <w:t>Система мер и мероприятий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rect id="_x0000_s1026" o:spid="_x0000_s1026" o:spt="1" style="position:absolute;left:0pt;margin-left:57.45pt;margin-top:14.25pt;height:107.7pt;width:180.75pt;z-index:251661312;mso-width-relative:page;mso-height-relative:page;" fillcolor="#FFFFFF" filled="t" stroked="t" coordsize="21600,21600" o:gfxdata="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kFAG&#10;19wAAAAKAQAADwAAAAAAAAABACAAAAAiAAAAZHJzL2Rvd25yZXYueG1sUEsBAhQAFAAAAAgAh07i&#10;QL2hSGmQAgAA+AQAAA4AAAAAAAAAAQAgAAAAKwEAAGRycy9lMm9Eb2MueG1sUEsFBgAAAAAGAAYA&#10;WQEAAC0GAAAAAA==&#10;">
                <v:fill on="t" focussize="0,0"/>
                <v:stroke weight="1pt" color="#000000" miterlimit="8" joinstyle="miter"/>
                <v:imagedata o:title=""/>
                <o:lock v:ext="edit" aspectratio="f"/>
                <v:textbox>
                  <w:txbxContent>
                    <w:p>
                      <w:pPr>
                        <w:spacing w:line="240" w:lineRule="auto"/>
                        <w:ind w:firstLine="0"/>
                        <w:jc w:val="center"/>
                        <w:rPr>
                          <w:b/>
                          <w:sz w:val="24"/>
                          <w:szCs w:val="24"/>
                        </w:rPr>
                      </w:pPr>
                      <w:r>
                        <w:rPr>
                          <w:b/>
                          <w:sz w:val="24"/>
                          <w:szCs w:val="24"/>
                        </w:rPr>
                        <w:t>Инструментальная подсистема</w:t>
                      </w:r>
                    </w:p>
                    <w:p>
                      <w:pPr>
                        <w:spacing w:line="240" w:lineRule="auto"/>
                        <w:ind w:firstLine="0"/>
                        <w:jc w:val="center"/>
                        <w:rPr>
                          <w:sz w:val="24"/>
                          <w:szCs w:val="24"/>
                        </w:rPr>
                      </w:pPr>
                      <w:r>
                        <w:rPr>
                          <w:sz w:val="24"/>
                          <w:szCs w:val="24"/>
                        </w:rPr>
                        <w:t>Механизм обеспечения экономической безопасности</w:t>
                      </w:r>
                    </w:p>
                    <w:p>
                      <w:pPr>
                        <w:spacing w:line="240" w:lineRule="auto"/>
                        <w:ind w:firstLine="0"/>
                        <w:jc w:val="center"/>
                        <w:rPr>
                          <w:sz w:val="24"/>
                          <w:szCs w:val="24"/>
                        </w:rPr>
                      </w:pPr>
                      <w:r>
                        <w:rPr>
                          <w:sz w:val="24"/>
                          <w:szCs w:val="24"/>
                        </w:rPr>
                        <w:t>Направления обеспечения</w:t>
                      </w:r>
                    </w:p>
                    <w:p>
                      <w:pPr>
                        <w:spacing w:line="240" w:lineRule="auto"/>
                        <w:ind w:firstLine="0"/>
                        <w:jc w:val="center"/>
                        <w:rPr>
                          <w:sz w:val="24"/>
                          <w:szCs w:val="24"/>
                        </w:rPr>
                      </w:pPr>
                      <w:r>
                        <w:rPr>
                          <w:sz w:val="24"/>
                          <w:szCs w:val="24"/>
                        </w:rPr>
                        <w:t>Инструменты обеспечения</w:t>
                      </w:r>
                    </w:p>
                    <w:p>
                      <w:pPr>
                        <w:spacing w:line="240" w:lineRule="auto"/>
                        <w:ind w:firstLine="0"/>
                        <w:jc w:val="center"/>
                        <w:rPr>
                          <w:sz w:val="24"/>
                          <w:szCs w:val="24"/>
                        </w:rPr>
                      </w:pPr>
                      <w:r>
                        <w:rPr>
                          <w:sz w:val="24"/>
                          <w:szCs w:val="24"/>
                        </w:rPr>
                        <w:t>Система мер и мероприятий</w:t>
                      </w:r>
                    </w:p>
                  </w:txbxContent>
                </v:textbox>
              </v:rect>
            </w:pict>
          </mc:Fallback>
        </mc:AlternateContent>
      </w:r>
    </w:p>
    <w:p>
      <w:pPr>
        <w:spacing w:after="0" w:line="360" w:lineRule="auto"/>
        <w:ind w:firstLine="709"/>
        <w:jc w:val="both"/>
        <w:rPr>
          <w:rFonts w:ascii="Times New Roman" w:hAnsi="Times New Roman" w:eastAsia="Calibri" w:cs="Times New Roman"/>
          <w:sz w:val="28"/>
        </w:rPr>
      </w:pP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lang w:eastAsia="ru-RU"/>
        </w:rPr>
        <mc:AlternateContent>
          <mc:Choice Requires="wps">
            <w:drawing>
              <wp:anchor distT="0" distB="0" distL="114300" distR="114300" simplePos="0" relativeHeight="251666432" behindDoc="0" locked="0" layoutInCell="1" allowOverlap="1">
                <wp:simplePos x="0" y="0"/>
                <wp:positionH relativeFrom="column">
                  <wp:posOffset>3034665</wp:posOffset>
                </wp:positionH>
                <wp:positionV relativeFrom="paragraph">
                  <wp:posOffset>234315</wp:posOffset>
                </wp:positionV>
                <wp:extent cx="619125" cy="0"/>
                <wp:effectExtent l="0" t="38100" r="9525" b="38100"/>
                <wp:wrapNone/>
                <wp:docPr id="15" name="Прямая со стрелкой 15"/>
                <wp:cNvGraphicFramePr/>
                <a:graphic xmlns:a="http://schemas.openxmlformats.org/drawingml/2006/main">
                  <a:graphicData uri="http://schemas.microsoft.com/office/word/2010/wordprocessingShape">
                    <wps:wsp>
                      <wps:cNvCnPr/>
                      <wps:spPr>
                        <a:xfrm>
                          <a:off x="0" y="0"/>
                          <a:ext cx="61912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id="_x0000_s1026" o:spid="_x0000_s1026" o:spt="32" type="#_x0000_t32" style="position:absolute;left:0pt;margin-left:238.95pt;margin-top:18.45pt;height:0pt;width:48.75pt;z-index:251666432;mso-width-relative:page;mso-height-relative:page;" filled="f" stroked="t" coordsize="21600,21600" o:gfxdata="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xg0dnWAAAACQEAAA8AAAAAAAAAAQAgAAAAIgAAAGRy&#10;cy9kb3ducmV2LnhtbFBLAQIUABQAAAAIAIdO4kC+bKNfBwIAAMMDAAAOAAAAAAAAAAEAIAAAACUB&#10;AABkcnMvZTJvRG9jLnhtbFBLBQYAAAAABgAGAFkBAACeBQAAAAA=&#10;">
                <v:fill on="f" focussize="0,0"/>
                <v:stroke weight="0.5pt" color="#000000" miterlimit="8" joinstyle="miter" endarrow="block"/>
                <v:imagedata o:title=""/>
                <o:lock v:ext="edit" aspectratio="f"/>
              </v:shape>
            </w:pict>
          </mc:Fallback>
        </mc:AlternateContent>
      </w:r>
    </w:p>
    <w:p>
      <w:pPr>
        <w:spacing w:after="0" w:line="360" w:lineRule="auto"/>
        <w:ind w:firstLine="709"/>
        <w:jc w:val="both"/>
        <w:rPr>
          <w:rFonts w:ascii="Times New Roman" w:hAnsi="Times New Roman" w:eastAsia="Calibri" w:cs="Times New Roman"/>
          <w:sz w:val="28"/>
        </w:rPr>
      </w:pPr>
    </w:p>
    <w:p>
      <w:pPr>
        <w:spacing w:after="0" w:line="360" w:lineRule="auto"/>
        <w:ind w:firstLine="709"/>
        <w:jc w:val="both"/>
        <w:rPr>
          <w:rFonts w:ascii="Times New Roman" w:hAnsi="Times New Roman" w:eastAsia="Calibri" w:cs="Times New Roman"/>
          <w:sz w:val="28"/>
        </w:rPr>
      </w:pP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lang w:eastAsia="ru-RU"/>
        </w:rPr>
        <mc:AlternateContent>
          <mc:Choice Requires="wps">
            <w:drawing>
              <wp:anchor distT="0" distB="0" distL="114300" distR="114300" simplePos="0" relativeHeight="251668480" behindDoc="0" locked="0" layoutInCell="1" allowOverlap="1">
                <wp:simplePos x="0" y="0"/>
                <wp:positionH relativeFrom="column">
                  <wp:posOffset>2987040</wp:posOffset>
                </wp:positionH>
                <wp:positionV relativeFrom="paragraph">
                  <wp:posOffset>25400</wp:posOffset>
                </wp:positionV>
                <wp:extent cx="1790700" cy="346710"/>
                <wp:effectExtent l="0" t="4445" r="19050" b="29845"/>
                <wp:wrapNone/>
                <wp:docPr id="18" name="Прямая со стрелкой 18"/>
                <wp:cNvGraphicFramePr/>
                <a:graphic xmlns:a="http://schemas.openxmlformats.org/drawingml/2006/main">
                  <a:graphicData uri="http://schemas.microsoft.com/office/word/2010/wordprocessingShape">
                    <wps:wsp>
                      <wps:cNvCnPr/>
                      <wps:spPr>
                        <a:xfrm flipH="1">
                          <a:off x="0" y="0"/>
                          <a:ext cx="1790700" cy="34671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id="_x0000_s1026" o:spid="_x0000_s1026" o:spt="32" type="#_x0000_t32" style="position:absolute;left:0pt;flip:x;margin-left:235.2pt;margin-top:2pt;height:27.3pt;width:141pt;z-index:251668480;mso-width-relative:page;mso-height-relative:page;" filled="f" stroked="t" coordsize="21600,21600" o:gfxdata="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ik47DXAAAACAEAAA8AAAAA&#10;AAAAAQAgAAAAIgAAAGRycy9kb3ducmV2LnhtbFBLAQIUABQAAAAIAIdO4kD6iYrdFQIAANMDAAAO&#10;AAAAAAAAAAEAIAAAACYBAABkcnMvZTJvRG9jLnhtbFBLBQYAAAAABgAGAFkBAACtBQAAAAA=&#10;">
                <v:fill on="f" focussize="0,0"/>
                <v:stroke weight="0.5pt" color="#000000" miterlimit="8" joinstyle="miter" endarrow="block"/>
                <v:imagedata o:title=""/>
                <o:lock v:ext="edit" aspectratio="f"/>
              </v:shape>
            </w:pict>
          </mc:Fallback>
        </mc:AlternateConten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lang w:eastAsia="ru-RU"/>
        </w:rPr>
        <mc:AlternateContent>
          <mc:Choice Requires="wps">
            <w:drawing>
              <wp:anchor distT="0" distB="0" distL="114300" distR="114300" simplePos="0" relativeHeight="251662336" behindDoc="0" locked="0" layoutInCell="1" allowOverlap="1">
                <wp:simplePos x="0" y="0"/>
                <wp:positionH relativeFrom="column">
                  <wp:posOffset>1428750</wp:posOffset>
                </wp:positionH>
                <wp:positionV relativeFrom="paragraph">
                  <wp:posOffset>70485</wp:posOffset>
                </wp:positionV>
                <wp:extent cx="3077210" cy="952500"/>
                <wp:effectExtent l="6350" t="6350" r="21590" b="12700"/>
                <wp:wrapNone/>
                <wp:docPr id="11" name="Прямоугольник 11"/>
                <wp:cNvGraphicFramePr/>
                <a:graphic xmlns:a="http://schemas.openxmlformats.org/drawingml/2006/main">
                  <a:graphicData uri="http://schemas.microsoft.com/office/word/2010/wordprocessingShape">
                    <wps:wsp>
                      <wps:cNvSpPr/>
                      <wps:spPr>
                        <a:xfrm>
                          <a:off x="0" y="0"/>
                          <a:ext cx="3077210" cy="952500"/>
                        </a:xfrm>
                        <a:prstGeom prst="rect">
                          <a:avLst/>
                        </a:prstGeom>
                        <a:solidFill>
                          <a:sysClr val="window" lastClr="FFFFFF"/>
                        </a:solidFill>
                        <a:ln w="12700" cap="flat" cmpd="sng" algn="ctr">
                          <a:solidFill>
                            <a:sysClr val="windowText" lastClr="000000"/>
                          </a:solidFill>
                          <a:prstDash val="solid"/>
                          <a:miter lim="800000"/>
                        </a:ln>
                        <a:effectLst/>
                      </wps:spPr>
                      <wps:txbx>
                        <w:txbxContent>
                          <w:p>
                            <w:pPr>
                              <w:spacing w:line="240" w:lineRule="auto"/>
                              <w:ind w:firstLine="0"/>
                              <w:jc w:val="center"/>
                              <w:rPr>
                                <w:b/>
                                <w:sz w:val="24"/>
                                <w:szCs w:val="24"/>
                              </w:rPr>
                            </w:pPr>
                            <w:r>
                              <w:rPr>
                                <w:b/>
                                <w:sz w:val="24"/>
                                <w:szCs w:val="24"/>
                              </w:rPr>
                              <w:t>Подсистема мониторинга и контроля</w:t>
                            </w:r>
                          </w:p>
                          <w:p>
                            <w:pPr>
                              <w:spacing w:line="240" w:lineRule="auto"/>
                              <w:ind w:firstLine="0"/>
                              <w:jc w:val="center"/>
                              <w:rPr>
                                <w:sz w:val="24"/>
                                <w:szCs w:val="24"/>
                              </w:rPr>
                            </w:pPr>
                            <w:r>
                              <w:rPr>
                                <w:sz w:val="24"/>
                                <w:szCs w:val="24"/>
                              </w:rPr>
                              <w:t>Механизмы контроля мероприятий по обеспечению экономической безопасности</w:t>
                            </w:r>
                          </w:p>
                          <w:p>
                            <w:pPr>
                              <w:spacing w:line="240" w:lineRule="auto"/>
                              <w:ind w:firstLine="0"/>
                              <w:jc w:val="center"/>
                              <w:rPr>
                                <w:sz w:val="24"/>
                                <w:szCs w:val="24"/>
                              </w:rPr>
                            </w:pPr>
                            <w:r>
                              <w:rPr>
                                <w:sz w:val="24"/>
                                <w:szCs w:val="24"/>
                              </w:rPr>
                              <w:t>Проведение периодического мониторинга реализации управленческого решения</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rect id="_x0000_s1026" o:spid="_x0000_s1026" o:spt="1" style="position:absolute;left:0pt;margin-left:112.5pt;margin-top:5.55pt;height:75pt;width:242.3pt;z-index:251662336;mso-width-relative:page;mso-height-relative:page;" fillcolor="#FFFFFF" filled="t" stroked="t" coordsize="21600,21600" o:gfxdata="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SbbPitoAAAAK&#10;AQAADwAAAAAAAAABACAAAAAiAAAAZHJzL2Rvd25yZXYueG1sUEsBAhQAFAAAAAgAh07iQHIvSl+M&#10;AgAA9wQAAA4AAAAAAAAAAQAgAAAAKQEAAGRycy9lMm9Eb2MueG1sUEsFBgAAAAAGAAYAWQEAACcG&#10;AAAAAA==&#10;">
                <v:fill on="t" focussize="0,0"/>
                <v:stroke weight="1pt" color="#000000" miterlimit="8" joinstyle="miter"/>
                <v:imagedata o:title=""/>
                <o:lock v:ext="edit" aspectratio="f"/>
                <v:textbox>
                  <w:txbxContent>
                    <w:p>
                      <w:pPr>
                        <w:spacing w:line="240" w:lineRule="auto"/>
                        <w:ind w:firstLine="0"/>
                        <w:jc w:val="center"/>
                        <w:rPr>
                          <w:b/>
                          <w:sz w:val="24"/>
                          <w:szCs w:val="24"/>
                        </w:rPr>
                      </w:pPr>
                      <w:r>
                        <w:rPr>
                          <w:b/>
                          <w:sz w:val="24"/>
                          <w:szCs w:val="24"/>
                        </w:rPr>
                        <w:t>Подсистема мониторинга и контроля</w:t>
                      </w:r>
                    </w:p>
                    <w:p>
                      <w:pPr>
                        <w:spacing w:line="240" w:lineRule="auto"/>
                        <w:ind w:firstLine="0"/>
                        <w:jc w:val="center"/>
                        <w:rPr>
                          <w:sz w:val="24"/>
                          <w:szCs w:val="24"/>
                        </w:rPr>
                      </w:pPr>
                      <w:r>
                        <w:rPr>
                          <w:sz w:val="24"/>
                          <w:szCs w:val="24"/>
                        </w:rPr>
                        <w:t>Механизмы контроля мероприятий по обеспечению экономической безопасности</w:t>
                      </w:r>
                    </w:p>
                    <w:p>
                      <w:pPr>
                        <w:spacing w:line="240" w:lineRule="auto"/>
                        <w:ind w:firstLine="0"/>
                        <w:jc w:val="center"/>
                        <w:rPr>
                          <w:sz w:val="24"/>
                          <w:szCs w:val="24"/>
                        </w:rPr>
                      </w:pPr>
                      <w:r>
                        <w:rPr>
                          <w:sz w:val="24"/>
                          <w:szCs w:val="24"/>
                        </w:rPr>
                        <w:t>Проведение периодического мониторинга реализации управленческого решения</w:t>
                      </w:r>
                    </w:p>
                  </w:txbxContent>
                </v:textbox>
              </v:rect>
            </w:pict>
          </mc:Fallback>
        </mc:AlternateContent>
      </w:r>
    </w:p>
    <w:p>
      <w:pPr>
        <w:spacing w:after="0" w:line="360" w:lineRule="auto"/>
        <w:ind w:firstLine="709"/>
        <w:jc w:val="both"/>
        <w:rPr>
          <w:rFonts w:ascii="Times New Roman" w:hAnsi="Times New Roman" w:eastAsia="Calibri" w:cs="Times New Roman"/>
          <w:sz w:val="28"/>
        </w:rPr>
      </w:pPr>
    </w:p>
    <w:p>
      <w:pPr>
        <w:spacing w:after="0" w:line="360" w:lineRule="auto"/>
        <w:ind w:firstLine="709"/>
        <w:jc w:val="both"/>
        <w:rPr>
          <w:rFonts w:ascii="Times New Roman" w:hAnsi="Times New Roman" w:eastAsia="Calibri" w:cs="Times New Roman"/>
          <w:sz w:val="28"/>
        </w:rPr>
      </w:pP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lang w:eastAsia="ru-RU"/>
        </w:rPr>
        <mc:AlternateContent>
          <mc:Choice Requires="wps">
            <w:drawing>
              <wp:anchor distT="0" distB="0" distL="114300" distR="114300" simplePos="0" relativeHeight="251670528" behindDoc="0" locked="0" layoutInCell="1" allowOverlap="1">
                <wp:simplePos x="0" y="0"/>
                <wp:positionH relativeFrom="column">
                  <wp:posOffset>2096135</wp:posOffset>
                </wp:positionH>
                <wp:positionV relativeFrom="paragraph">
                  <wp:posOffset>73660</wp:posOffset>
                </wp:positionV>
                <wp:extent cx="0" cy="295275"/>
                <wp:effectExtent l="38100" t="0" r="38100" b="9525"/>
                <wp:wrapNone/>
                <wp:docPr id="21" name="Прямая со стрелкой 21"/>
                <wp:cNvGraphicFramePr/>
                <a:graphic xmlns:a="http://schemas.openxmlformats.org/drawingml/2006/main">
                  <a:graphicData uri="http://schemas.microsoft.com/office/word/2010/wordprocessingShape">
                    <wps:wsp>
                      <wps:cNvCnPr/>
                      <wps:spPr>
                        <a:xfrm>
                          <a:off x="0" y="0"/>
                          <a:ext cx="0" cy="29527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id="_x0000_s1026" o:spid="_x0000_s1026" o:spt="32" type="#_x0000_t32" style="position:absolute;left:0pt;margin-left:165.05pt;margin-top:5.8pt;height:23.25pt;width:0pt;z-index:251670528;mso-width-relative:page;mso-height-relative:page;" filled="f" stroked="t" coordsize="21600,21600" o:gfxdata="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ZKg2G1AAAAAkBAAAPAAAAAAAAAAEAIAAAACIAAABkcnMv&#10;ZG93bnJldi54bWxQSwECFAAUAAAACACHTuJAHIfS0AcCAADDAwAADgAAAAAAAAABACAAAAAjAQAA&#10;ZHJzL2Uyb0RvYy54bWxQSwUGAAAAAAYABgBZAQAAnAUAAAAA&#10;">
                <v:fill on="f" focussize="0,0"/>
                <v:stroke weight="0.5pt" color="#000000" miterlimit="8" joinstyle="miter" endarrow="block"/>
                <v:imagedata o:title=""/>
                <o:lock v:ext="edit" aspectratio="f"/>
              </v:shape>
            </w:pict>
          </mc:Fallback>
        </mc:AlternateConten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lang w:eastAsia="ru-RU"/>
        </w:rPr>
        <mc:AlternateContent>
          <mc:Choice Requires="wps">
            <w:drawing>
              <wp:anchor distT="0" distB="0" distL="114300" distR="114300" simplePos="0" relativeHeight="251663360" behindDoc="0" locked="0" layoutInCell="1" allowOverlap="1">
                <wp:simplePos x="0" y="0"/>
                <wp:positionH relativeFrom="column">
                  <wp:posOffset>205740</wp:posOffset>
                </wp:positionH>
                <wp:positionV relativeFrom="paragraph">
                  <wp:posOffset>66040</wp:posOffset>
                </wp:positionV>
                <wp:extent cx="3486150" cy="867410"/>
                <wp:effectExtent l="6350" t="6350" r="12700" b="21590"/>
                <wp:wrapNone/>
                <wp:docPr id="12" name="Прямоугольник 12"/>
                <wp:cNvGraphicFramePr/>
                <a:graphic xmlns:a="http://schemas.openxmlformats.org/drawingml/2006/main">
                  <a:graphicData uri="http://schemas.microsoft.com/office/word/2010/wordprocessingShape">
                    <wps:wsp>
                      <wps:cNvSpPr/>
                      <wps:spPr>
                        <a:xfrm>
                          <a:off x="0" y="0"/>
                          <a:ext cx="3486150" cy="867410"/>
                        </a:xfrm>
                        <a:prstGeom prst="rect">
                          <a:avLst/>
                        </a:prstGeom>
                        <a:solidFill>
                          <a:sysClr val="window" lastClr="FFFFFF"/>
                        </a:solidFill>
                        <a:ln w="12700" cap="flat" cmpd="sng" algn="ctr">
                          <a:solidFill>
                            <a:sysClr val="windowText" lastClr="000000"/>
                          </a:solidFill>
                          <a:prstDash val="solid"/>
                          <a:miter lim="800000"/>
                        </a:ln>
                        <a:effectLst/>
                      </wps:spPr>
                      <wps:txbx>
                        <w:txbxContent>
                          <w:p>
                            <w:pPr>
                              <w:spacing w:line="240" w:lineRule="auto"/>
                              <w:ind w:firstLine="0"/>
                              <w:jc w:val="center"/>
                              <w:rPr>
                                <w:b/>
                                <w:sz w:val="24"/>
                                <w:szCs w:val="24"/>
                              </w:rPr>
                            </w:pPr>
                            <w:r>
                              <w:rPr>
                                <w:b/>
                                <w:sz w:val="24"/>
                                <w:szCs w:val="24"/>
                              </w:rPr>
                              <w:t>Оценочная подсистема</w:t>
                            </w:r>
                          </w:p>
                          <w:p>
                            <w:pPr>
                              <w:spacing w:line="240" w:lineRule="auto"/>
                              <w:ind w:firstLine="0"/>
                              <w:jc w:val="center"/>
                              <w:rPr>
                                <w:sz w:val="24"/>
                                <w:szCs w:val="24"/>
                              </w:rPr>
                            </w:pPr>
                            <w:r>
                              <w:rPr>
                                <w:sz w:val="24"/>
                                <w:szCs w:val="24"/>
                              </w:rPr>
                              <w:t>Оценка уровня экономической безопасности</w:t>
                            </w:r>
                          </w:p>
                          <w:p>
                            <w:pPr>
                              <w:spacing w:line="240" w:lineRule="auto"/>
                              <w:ind w:firstLine="0"/>
                              <w:jc w:val="center"/>
                              <w:rPr>
                                <w:sz w:val="24"/>
                                <w:szCs w:val="24"/>
                              </w:rPr>
                            </w:pPr>
                            <w:r>
                              <w:rPr>
                                <w:sz w:val="24"/>
                                <w:szCs w:val="24"/>
                              </w:rPr>
                              <w:t>Оценка результативности системы управленческой безопасности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rect id="_x0000_s1026" o:spid="_x0000_s1026" o:spt="1" style="position:absolute;left:0pt;margin-left:16.2pt;margin-top:5.2pt;height:68.3pt;width:274.5pt;z-index:251663360;mso-width-relative:page;mso-height-relative:page;" fillcolor="#FFFFFF" filled="t" stroked="t" coordsize="21600,21600" o:gfxdata="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IDnzUfaAAAACQEA&#10;AA8AAAAAAAAAAQAgAAAAIgAAAGRycy9kb3ducmV2LnhtbFBLAQIUABQAAAAIAIdO4kAkSUfMigIA&#10;APcEAAAOAAAAAAAAAAEAIAAAACkBAABkcnMvZTJvRG9jLnhtbFBLBQYAAAAABgAGAFkBAAAlBgAA&#10;AAA=&#10;">
                <v:fill on="t" focussize="0,0"/>
                <v:stroke weight="1pt" color="#000000" miterlimit="8" joinstyle="miter"/>
                <v:imagedata o:title=""/>
                <o:lock v:ext="edit" aspectratio="f"/>
                <v:textbox>
                  <w:txbxContent>
                    <w:p>
                      <w:pPr>
                        <w:spacing w:line="240" w:lineRule="auto"/>
                        <w:ind w:firstLine="0"/>
                        <w:jc w:val="center"/>
                        <w:rPr>
                          <w:b/>
                          <w:sz w:val="24"/>
                          <w:szCs w:val="24"/>
                        </w:rPr>
                      </w:pPr>
                      <w:r>
                        <w:rPr>
                          <w:b/>
                          <w:sz w:val="24"/>
                          <w:szCs w:val="24"/>
                        </w:rPr>
                        <w:t>Оценочная подсистема</w:t>
                      </w:r>
                    </w:p>
                    <w:p>
                      <w:pPr>
                        <w:spacing w:line="240" w:lineRule="auto"/>
                        <w:ind w:firstLine="0"/>
                        <w:jc w:val="center"/>
                        <w:rPr>
                          <w:sz w:val="24"/>
                          <w:szCs w:val="24"/>
                        </w:rPr>
                      </w:pPr>
                      <w:r>
                        <w:rPr>
                          <w:sz w:val="24"/>
                          <w:szCs w:val="24"/>
                        </w:rPr>
                        <w:t>Оценка уровня экономической безопасности</w:t>
                      </w:r>
                    </w:p>
                    <w:p>
                      <w:pPr>
                        <w:spacing w:line="240" w:lineRule="auto"/>
                        <w:ind w:firstLine="0"/>
                        <w:jc w:val="center"/>
                        <w:rPr>
                          <w:sz w:val="24"/>
                          <w:szCs w:val="24"/>
                        </w:rPr>
                      </w:pPr>
                      <w:r>
                        <w:rPr>
                          <w:sz w:val="24"/>
                          <w:szCs w:val="24"/>
                        </w:rPr>
                        <w:t>Оценка результативности системы управленческой безопасности</w:t>
                      </w:r>
                    </w:p>
                  </w:txbxContent>
                </v:textbox>
              </v:rect>
            </w:pict>
          </mc:Fallback>
        </mc:AlternateContent>
      </w:r>
    </w:p>
    <w:p>
      <w:pPr>
        <w:spacing w:after="0" w:line="360" w:lineRule="auto"/>
        <w:ind w:firstLine="709"/>
        <w:jc w:val="both"/>
        <w:rPr>
          <w:rFonts w:ascii="Times New Roman" w:hAnsi="Times New Roman" w:eastAsia="Calibri" w:cs="Times New Roman"/>
          <w:sz w:val="28"/>
        </w:rPr>
      </w:pPr>
    </w:p>
    <w:p>
      <w:pPr>
        <w:spacing w:after="0" w:line="360" w:lineRule="auto"/>
        <w:ind w:firstLine="709"/>
        <w:jc w:val="both"/>
        <w:rPr>
          <w:rFonts w:ascii="Times New Roman" w:hAnsi="Times New Roman" w:eastAsia="Calibri" w:cs="Times New Roman"/>
          <w:sz w:val="28"/>
        </w:rPr>
      </w:pPr>
    </w:p>
    <w:p>
      <w:pPr>
        <w:spacing w:after="0" w:line="360" w:lineRule="auto"/>
        <w:ind w:firstLine="709"/>
        <w:jc w:val="both"/>
        <w:rPr>
          <w:rFonts w:ascii="Times New Roman" w:hAnsi="Times New Roman" w:eastAsia="Calibri" w:cs="Times New Roman"/>
          <w:sz w:val="28"/>
        </w:rPr>
      </w:pP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 xml:space="preserve">Рисунок </w:t>
      </w:r>
      <w:r>
        <w:rPr>
          <w:rFonts w:hint="default" w:ascii="Times New Roman" w:hAnsi="Times New Roman" w:eastAsia="Calibri" w:cs="Times New Roman"/>
          <w:sz w:val="28"/>
          <w:lang w:val="ru-RU"/>
        </w:rPr>
        <w:t>2</w:t>
      </w:r>
      <w:r>
        <w:rPr>
          <w:rFonts w:ascii="Times New Roman" w:hAnsi="Times New Roman" w:eastAsia="Calibri" w:cs="Times New Roman"/>
          <w:sz w:val="28"/>
        </w:rPr>
        <w:t xml:space="preserve"> – Предлагаемая система экономической безопасности СХ ООО «Швейцарское молоко» на основе принятия управленческих решений</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Итак, представленная система экономической безопасности охватывает все необходимые функции для принятия обоснованных управленческих решений, направленных на обеспечение экономической безопасности СХ ООО «Швейцарское молоко».</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Действие системы экономической безопасности СХ ООО «Швейцарское молоко» должно иметь периодический характер, комплексный анализ угроз внешней и внутренней среды предприятия необходимо проводить как минимум раз в полугодие, чтобы своевременно принимать необходимые управленческие решения по их устранению. Проведение же мониторинга и контроля за реализацией управленческих решений, направленных на обеспечение экономической безопасности предприятия, должно осуществляться не реже 1 раза в квартал.</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Также важно, чтобы сбор и анализ информации в системе вёлся по тем элементам экономической безопасности, которые ранее не исследовались руководством – угрозы экологической, информационной безопасности. Для этого специалистами экономического отдела предприятия должны быть сформированы небольшие формы отчетности, которые должны передаваться руководителям соответствующих структурных подразделений и заполняться ими, а анализ таких отчетов должен входить в должностные обязанности специалистов экономического отдела.</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Все указанные изменения должны быть зафиксированы в должностных инструкциях сотрудников предприятия, а также рекомендуется принять Положение об обеспечении экономической безопасности СХ ООО «Швейцарское молоко».</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Для специалистов экономического отдела предприятия рекомендуется ввести ежеквартальные премии за выполнение функций по анализу и мониторингу за состояние экономической безопасности предприятия, которые могут составлять 20% от месячного должностного оклада специалиста.</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Функционирование системы экономической безопасности СХ ООО «Швейцарское молоко» на основе принятия управленческих решений должно стать основой для стабильного развития предприятия в меняющихся условиях внешней среды.</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Ниже рассмотрим также варианты предотвращения выявленных угроз экономической безопасности сельхозпроизводителя. Для предотвращения угрозы высокого уровня финансовой зависимости СХ ООО «Швейцарское молоко» необходимо повысить удельный вес собственного капитала в структуре баланса.</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Для этого рекомендуется руководству предприятия, в первую очередь, обратить внимание на повышение объемов чистой прибыли, которую затем можно включить в состав нераспределенной прибыли предприятия.</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Для этого необходимы меры по нейтрализации ещё одной угрозы экономической безопасности – снижения рентабельности деятельности. Повышение рентабельности возможно как за счет наращивания объемов производства и реализации продукции (для получения эффекта масштаба), так и за счет снижения расходов предприятия.</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Для этого необходимо провести аудит прочих, не связанных с основной деятельностью расходов, определить, какие статьи расходов можно сократить или минимизировать, составить план мероприятий по сокращению расходов. Данная мера является крайне необходимой, так как в 2018 г. доля прочих расходов в составе расходов по обычным видам деятельности составляла 30,4%.</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Например, СХ ООО «Швейцарское молоко» может сократить такие статьи расходов:</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административные расходы, связанные с содержанием управленческого аппарата предприятия (сокращение бумажного документооборота, расходов на канцелярию и пр.), что возможно за счет пересмотра необходимости таких затрат, смены поставщиков, организации оптовой закупки канцелярских принадлежностей по сниженным ценам;</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 xml:space="preserve">сокращение затрат на содержание и использование административного автопарка за счет пересмотра перечня должностных лиц, которые могут пользоваться служебным автотранспортом, сокращения компенсации за проезд. </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Рост объемов производства молока может быть обеспечен за счет продолжения селекционно-племенной работы на предприятии для увеличения числа голов (ежегодно не менее, чем на 1 млн. руб.). Также должны проводиться работы по повышению качества кормовой базы дойного стада.</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Уровень продаж можно повысить не только за счет расширения числа оптовых покупателей и торговых точек, в которых реализуется продукция под торговой маркой «Молоко из Горбёнок», но и за счет расширения ассортиментной линейки производимой продукции.</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Так, с целью диверсификации деятельности СХ ООО «Швейцарское молоко» можно рекомендовать расширить линейку производимых молочных продуктов, например, приобретя производственную линию для переработки молока.</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Минизавод для переработки молока, включающий полный комплект оборудования производительностью 2000 л/сутки, стоит 5818 тыс. руб.</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Такой завод позволит получать как минимум 400 кг творога в сутки. Рассчитаем экономический эффект от реализации творога по сравнению с сырым молоком при оптовой цене на творог в 190 руб./кг:</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(400 кг ×190 руб./кг × 365 дн.) – (2000 л × 34,31 руб./л × 365 дн.) = 2693,7 тыс. руб.</w:t>
      </w:r>
    </w:p>
    <w:p>
      <w:pPr>
        <w:spacing w:after="0" w:line="360" w:lineRule="auto"/>
        <w:ind w:firstLine="709"/>
        <w:jc w:val="both"/>
        <w:rPr>
          <w:rFonts w:hint="default" w:ascii="Times New Roman" w:hAnsi="Times New Roman" w:eastAsia="Calibri" w:cs="Times New Roman"/>
          <w:sz w:val="28"/>
          <w:lang w:val="ru-RU"/>
        </w:rPr>
      </w:pPr>
      <w:r>
        <w:rPr>
          <w:rFonts w:ascii="Times New Roman" w:hAnsi="Times New Roman" w:eastAsia="Calibri" w:cs="Times New Roman"/>
          <w:sz w:val="28"/>
        </w:rPr>
        <w:t>С учётом дополнительных затрат, связанных с производством творога, которые могут быть выше в сравнении с производством сырого молока на 30%, общий экономический эффект от установки минизавода по производству творога составит около 1885,6 тыс. руб. в год.</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Таким образом, инвестиции в оборудование окупятся в течение 3-х лет, а предприятие сможет расширить ассортимент предлагаемой продукции, привлечь новых покупателей и увеличить рентабельность деятельности за счет добавленной стоимости.</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Расширение продуктовой линейки также может стать решением для проблемы снижения потребления цельного молока в РФ за счет охвата дополнительного сегмента рынка, что также повысит уровень конкурентоспособности предприятия. Покупка оборудования возможна за счет собственных средств предприятия (на балансе у СХ ООО «Швейцарское молоко» имеются денежные средства, достаточные для приобретения необходимого оборудования).</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Дополнительные доходы предприятие также может получить за счет краткосрочных денежных вложений. Данное мероприятие не принесёт значительной прибыли, однако благодаря получению процентных доходов позволит уберечь денежные средства от влияния инфляции, а также решит проблему, связанную с неэффективностью использования оборотных активов предприятия.</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Необходимо обратить внимание и на модернизацию имеющихся основных фондов предприятия, так как был выявлен значительный уровень износа. К тому же, в связи с расширением стада, могут понадобиться дополнительные здания и сооружения. Поэтому необходимо составить программу обновления основных средств предприятия:</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обследовать здания, машины и оборудование, транспортные средства на предмет износа и необходимости расширения;</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выявить те объекты основных фондов, которые нуждаются в замене, и которые можно просто отремонтировать;</w:t>
      </w:r>
    </w:p>
    <w:p>
      <w:pPr>
        <w:spacing w:after="0" w:line="360" w:lineRule="auto"/>
        <w:ind w:firstLine="709"/>
        <w:jc w:val="both"/>
        <w:rPr>
          <w:rFonts w:ascii="Times New Roman" w:hAnsi="Times New Roman" w:eastAsia="Calibri" w:cs="Times New Roman"/>
          <w:sz w:val="28"/>
        </w:rPr>
      </w:pPr>
      <w:r>
        <w:rPr>
          <w:rFonts w:hint="default" w:ascii="Times New Roman" w:hAnsi="Times New Roman" w:eastAsia="Calibri" w:cs="Times New Roman"/>
          <w:sz w:val="28"/>
          <w:lang w:val="ru-RU"/>
        </w:rPr>
        <w:t xml:space="preserve">- </w:t>
      </w:r>
      <w:r>
        <w:rPr>
          <w:rFonts w:ascii="Times New Roman" w:hAnsi="Times New Roman" w:eastAsia="Calibri" w:cs="Times New Roman"/>
          <w:sz w:val="28"/>
        </w:rPr>
        <w:t>определить временные рамки замены и ремонта оборудования, а также необходимый объем финансовых средств для реализации программы.</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Сегодня наибольший уровень физического износа у предприятия приходится на здания и сооружения, а также на машины и оборудование.</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Предлагается, чтобы программа модернизации основных фондов предприятия включала в себя плановые расходы на уровне 5 млн. руб. ежегодно (кроме 2020 г., когда запланирована покупка мини-завода по переработке молока).</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Проблему нехватки сезонных работников СХ ООО «Швейцарское молоко» предлагается решить за счет заключения договоров со средними и высшими учебными заведениями области на прохождение производственной практики студентами с возможностью последующего трудоустройства.</w:t>
      </w:r>
    </w:p>
    <w:p>
      <w:pPr>
        <w:spacing w:after="0" w:line="360" w:lineRule="auto"/>
        <w:ind w:firstLine="709"/>
        <w:jc w:val="both"/>
        <w:rPr>
          <w:rFonts w:hint="default" w:ascii="Times New Roman" w:hAnsi="Times New Roman" w:eastAsia="Calibri" w:cs="Times New Roman"/>
          <w:sz w:val="28"/>
          <w:lang w:val="ru-RU"/>
        </w:rPr>
      </w:pPr>
      <w:r>
        <w:rPr>
          <w:rFonts w:ascii="Times New Roman" w:hAnsi="Times New Roman" w:eastAsia="Calibri" w:cs="Times New Roman"/>
          <w:sz w:val="28"/>
        </w:rPr>
        <w:t>Также возможно создание базы сезонных сотрудников, которые ранее работали на предприятии и зарекомендовали себя как ответственных работников</w:t>
      </w:r>
      <w:r>
        <w:rPr>
          <w:rFonts w:hint="default" w:ascii="Times New Roman" w:hAnsi="Times New Roman" w:eastAsia="Calibri" w:cs="Times New Roman"/>
          <w:sz w:val="28"/>
          <w:lang w:val="ru-RU"/>
        </w:rPr>
        <w:t>.</w:t>
      </w:r>
    </w:p>
    <w:p>
      <w:pPr>
        <w:spacing w:after="0" w:line="360" w:lineRule="auto"/>
        <w:ind w:firstLine="709"/>
        <w:jc w:val="both"/>
        <w:rPr>
          <w:rFonts w:ascii="Times New Roman" w:hAnsi="Times New Roman" w:eastAsia="Calibri" w:cs="Times New Roman"/>
          <w:sz w:val="28"/>
        </w:rPr>
      </w:pPr>
      <w:r>
        <w:rPr>
          <w:rFonts w:ascii="Times New Roman" w:hAnsi="Times New Roman" w:eastAsia="Calibri" w:cs="Times New Roman"/>
          <w:sz w:val="28"/>
        </w:rPr>
        <w:t>Реализация предложенных мероприятий будет способствовать эффективной борьбе с выявленными угрозами экономической безопасности СХ ООО «Швейцарское молоко», позволит улучшить финансовые результаты деятельности и обеспечит рост конкурентоспособности в долгосрочной перспективе.</w:t>
      </w:r>
    </w:p>
    <w:p>
      <w:pPr>
        <w:spacing w:after="0" w:line="360" w:lineRule="auto"/>
        <w:ind w:firstLine="709"/>
        <w:jc w:val="both"/>
        <w:rPr>
          <w:rFonts w:hint="default" w:ascii="Times New Roman" w:hAnsi="Times New Roman" w:eastAsia="Calibri" w:cs="Times New Roman"/>
          <w:sz w:val="28"/>
          <w:lang w:val="ru-RU"/>
        </w:rPr>
        <w:sectPr>
          <w:pgSz w:w="11906" w:h="16838"/>
          <w:pgMar w:top="1134" w:right="850" w:bottom="1134" w:left="1701" w:header="708" w:footer="708" w:gutter="0"/>
          <w:pgNumType w:fmt="decimal"/>
          <w:cols w:space="708" w:num="1"/>
          <w:docGrid w:linePitch="360" w:charSpace="0"/>
        </w:sectPr>
      </w:pPr>
    </w:p>
    <w:p>
      <w:pPr>
        <w:spacing w:after="0" w:line="360" w:lineRule="auto"/>
        <w:ind w:firstLine="709"/>
        <w:jc w:val="both"/>
        <w:rPr>
          <w:rFonts w:ascii="Times New Roman" w:hAnsi="Times New Roman" w:eastAsia="Calibri" w:cs="Times New Roman"/>
          <w:sz w:val="28"/>
        </w:rPr>
      </w:pPr>
    </w:p>
    <w:p>
      <w:pPr>
        <w:pStyle w:val="2"/>
        <w:rPr>
          <w:rFonts w:hint="default" w:ascii="Times New Roman" w:hAnsi="Times New Roman" w:cs="Times New Roman"/>
          <w:sz w:val="28"/>
          <w:szCs w:val="28"/>
          <w:shd w:val="clear" w:color="auto" w:fill="FFFFFF"/>
        </w:rPr>
      </w:pPr>
      <w:bookmarkStart w:id="2" w:name="_Toc1252835"/>
      <w:bookmarkStart w:id="3" w:name="_Toc482292417"/>
      <w:r>
        <w:rPr>
          <w:rFonts w:hint="default" w:ascii="Times New Roman" w:hAnsi="Times New Roman" w:cs="Times New Roman"/>
          <w:sz w:val="28"/>
          <w:szCs w:val="28"/>
          <w:shd w:val="clear" w:color="auto" w:fill="FFFFFF"/>
        </w:rPr>
        <w:t>БИБЛИОГРАФИЧЕСКИЙ СПИСОК</w:t>
      </w:r>
      <w:bookmarkEnd w:id="2"/>
      <w:r>
        <w:rPr>
          <w:rFonts w:hint="default" w:ascii="Times New Roman" w:hAnsi="Times New Roman" w:cs="Times New Roman"/>
          <w:sz w:val="28"/>
          <w:szCs w:val="28"/>
          <w:shd w:val="clear" w:color="auto" w:fill="FFFFFF"/>
        </w:rPr>
        <w:t xml:space="preserve"> </w:t>
      </w:r>
      <w:bookmarkEnd w:id="3"/>
    </w:p>
    <w:p>
      <w:pPr>
        <w:rPr>
          <w:rFonts w:hint="default" w:ascii="Times New Roman" w:hAnsi="Times New Roman" w:cs="Times New Roman"/>
          <w:sz w:val="28"/>
          <w:szCs w:val="28"/>
        </w:rPr>
      </w:pP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 xml:space="preserve">Налоговый кодекс Российской Федерации (часть вторая) от 5 августа 2000 года N 117-ФЗ (ред. от </w:t>
      </w:r>
      <w:r>
        <w:rPr>
          <w:rFonts w:hint="default" w:ascii="Times New Roman" w:hAnsi="Times New Roman" w:cs="Times New Roman"/>
          <w:sz w:val="28"/>
          <w:szCs w:val="28"/>
          <w:lang w:val="ru-RU"/>
        </w:rPr>
        <w:t>29</w:t>
      </w:r>
      <w:r>
        <w:rPr>
          <w:rFonts w:hint="default" w:ascii="Times New Roman" w:hAnsi="Times New Roman" w:cs="Times New Roman"/>
          <w:sz w:val="28"/>
          <w:szCs w:val="28"/>
        </w:rPr>
        <w:t>.0</w:t>
      </w:r>
      <w:r>
        <w:rPr>
          <w:rFonts w:hint="default" w:ascii="Times New Roman" w:hAnsi="Times New Roman" w:cs="Times New Roman"/>
          <w:sz w:val="28"/>
          <w:szCs w:val="28"/>
          <w:lang w:val="ru-RU"/>
        </w:rPr>
        <w:t>9</w:t>
      </w:r>
      <w:r>
        <w:rPr>
          <w:rFonts w:hint="default" w:ascii="Times New Roman" w:hAnsi="Times New Roman" w:cs="Times New Roman"/>
          <w:sz w:val="28"/>
          <w:szCs w:val="28"/>
        </w:rPr>
        <w:t>.201</w:t>
      </w:r>
      <w:r>
        <w:rPr>
          <w:rFonts w:hint="default" w:ascii="Times New Roman" w:hAnsi="Times New Roman" w:cs="Times New Roman"/>
          <w:sz w:val="28"/>
          <w:szCs w:val="28"/>
          <w:lang w:val="ru-RU"/>
        </w:rPr>
        <w:t>9</w:t>
      </w:r>
      <w:r>
        <w:rPr>
          <w:rFonts w:hint="default" w:ascii="Times New Roman" w:hAnsi="Times New Roman" w:cs="Times New Roman"/>
          <w:sz w:val="28"/>
          <w:szCs w:val="28"/>
        </w:rPr>
        <w:t>.)</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 xml:space="preserve">Федеральный закон "О развитии малого и среднего предпринимательства в Российской Федерации" от 24 июля 2007 г. N 209-ФЗ (ред. от </w:t>
      </w:r>
      <w:r>
        <w:rPr>
          <w:rFonts w:hint="default" w:ascii="Times New Roman" w:hAnsi="Times New Roman" w:cs="Times New Roman"/>
          <w:sz w:val="28"/>
          <w:szCs w:val="28"/>
          <w:lang w:val="ru-RU"/>
        </w:rPr>
        <w:t>27</w:t>
      </w:r>
      <w:r>
        <w:rPr>
          <w:rFonts w:hint="default" w:ascii="Times New Roman" w:hAnsi="Times New Roman" w:cs="Times New Roman"/>
          <w:sz w:val="28"/>
          <w:szCs w:val="28"/>
        </w:rPr>
        <w:t>.</w:t>
      </w:r>
      <w:r>
        <w:rPr>
          <w:rFonts w:hint="default" w:ascii="Times New Roman" w:hAnsi="Times New Roman" w:cs="Times New Roman"/>
          <w:sz w:val="28"/>
          <w:szCs w:val="28"/>
          <w:lang w:val="ru-RU"/>
        </w:rPr>
        <w:t>12</w:t>
      </w:r>
      <w:r>
        <w:rPr>
          <w:rFonts w:hint="default" w:ascii="Times New Roman" w:hAnsi="Times New Roman" w:cs="Times New Roman"/>
          <w:sz w:val="28"/>
          <w:szCs w:val="28"/>
        </w:rPr>
        <w:t>.201</w:t>
      </w:r>
      <w:r>
        <w:rPr>
          <w:rFonts w:hint="default" w:ascii="Times New Roman" w:hAnsi="Times New Roman" w:cs="Times New Roman"/>
          <w:sz w:val="28"/>
          <w:szCs w:val="28"/>
          <w:lang w:val="ru-RU"/>
        </w:rPr>
        <w:t>9</w:t>
      </w:r>
      <w:r>
        <w:rPr>
          <w:rFonts w:hint="default" w:ascii="Times New Roman" w:hAnsi="Times New Roman" w:cs="Times New Roman"/>
          <w:sz w:val="28"/>
          <w:szCs w:val="28"/>
        </w:rPr>
        <w:t xml:space="preserve"> г.)</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Федеральный закон "О развитии малого и среднего предпринимательства в Российской Федерации" от 24 июля 2007 г. N 209-ФЗ (ре</w:t>
      </w:r>
      <w:r>
        <w:rPr>
          <w:rFonts w:hint="default" w:ascii="Times New Roman" w:hAnsi="Times New Roman" w:cs="Times New Roman"/>
          <w:sz w:val="28"/>
          <w:szCs w:val="28"/>
          <w:lang w:val="ru-RU"/>
        </w:rPr>
        <w:t xml:space="preserve">д. 24.07.2007г.) </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 xml:space="preserve">Федеральный закон "Об обществах с ограниченной ответственностью" от 8 февраля 1998 года N 14-ФЗ (ред. от </w:t>
      </w:r>
      <w:r>
        <w:rPr>
          <w:rFonts w:hint="default" w:ascii="Times New Roman" w:hAnsi="Times New Roman" w:cs="Times New Roman"/>
          <w:sz w:val="28"/>
          <w:szCs w:val="28"/>
          <w:lang w:val="ru-RU"/>
        </w:rPr>
        <w:t>04.11.2019г</w:t>
      </w:r>
      <w:r>
        <w:rPr>
          <w:rFonts w:hint="default" w:ascii="Times New Roman" w:hAnsi="Times New Roman" w:cs="Times New Roman"/>
          <w:sz w:val="28"/>
          <w:szCs w:val="28"/>
        </w:rPr>
        <w:t>.)</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Федеральный закон "О государственной регистрации юридических лиц и индивидуальных предпринимателей" от 8 августа 2001 года N 129-ФЗ</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Аварский Н.Д. Оценка влияния управленческих решений на экономическую безопасность сельскохозяйственной организации / Н.Д. Аварский, О.А. Федотенкова, Н.В. Парушина, Л.И. Проняева // Экономика сельского хозяйства России. – 2017. – №8. – с. 2-8.</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Алябьева М.В. Экономический и маркетинговый анализ как условие обеспечения экономической безопасности предприятия / М.В. Алябьева // Вестник Белгородского университета кооперации, экономики и права. – 2017. – № 5 (66). – с. 194-204.</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Бельская Е.В. Оценка экономической безопасности предприятия / Е.В. Бельская, Т.И. Калачева // Известия ТулГУ. Экономические и юридические науки. – 2017. – №4-1. – с. 187-191.</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Бердникова Л.Ф. Анализ предпринимательских рисков в системе экономической безопасности организации // Л.Ф. Бердникова // Карельский научный журнал. – 2017. – Т. 6, № 2 (19). – с. 47-50.</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Бобошко В.И. Оценка эффективности системы обеспечения экономической безопасности предприятий малого и среднего бизнеса / В.И. Бобошко // ТДР. – 2014. – №2. – с. 140-142.</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Бобошко Н.М. Экономическая безопасность предприятия в условиях кризисного развития / Н.М. Бобошко // Вестник Академии экономической безопасности МВД России. - 2014. - №3. – с. 17-21.</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Бредихина Я.М. Методика принятия управленческих решений при обеспечении экономической безопасности предприятия / Я.М. Бредихина, Е.В. Левицкая, А.Ю. Кузьмина // Теория и техника радиосвязи. – 2015. – №4. – с. 90-94.</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Быков В.А. Основные этапы подготовки управленческого решения в рамках антикризисного управления // В.А. Быков // Экономическая безопасность: проблемы, перспективы, тенденции развития: материалы V Междунар. науч.-практ. конф. (5 декабря 2018 г.) / Перм. гос. нац. исслед. ун-т. – Пермь, 2019. – с. 159-165.</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Веретёхин А.В. Принципиальные подходы к обеспечению и оценке экономической безопасности предприятия / А.В. Веретёхин // Вестник Поволжского государственного технологического университета. Серия: экономика и управление. – 2016. – №2(30). – с. 54-64.</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Винничек Л.Б. Взаимосвязь критериев эффективности и экономической безопасности сельскохозяйственных организаций / Л.Б. Винничек, В.Н. Батова // Московский экономический журнал. – 2017. – №3. – с. 124-133.</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Винничек Л.Б. Характеристика угроз экономической безопасности сельскохозяйственных организаций / Л.Б. Винничек, В.Н. Батова // МСХ. – 2017. – №5. – с. 20-23.</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Власенко М.Н. Методика принятия управленческих решений по финансированию экономической безопасности организации / М.Н. Власенко, Н.В. Унижаев // Вестник ГУУ. – 2017. – №1. – с. 93-98.</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Воротынская А.М. Особенности оценки уровня экономической безопасности на современном предприятии / А.М. Воротынская // Известия СПбГЭУ. – 2013. – №2 (80). – с. 99-102.</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Дышловой И.Н. Анализ и совершенствование моделей оценки экономической безопасности предприятия / И.Н. Дышловой, В.А. Лукьяненко // Сервис +. - 2018. - №2. – С. 90-98.</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Ермакова И.Н. Методические подходы к оценке уровня экономической безопасности сельскохозяйственного предприятия / И.Н, Ермакова, Н.Б. Михеева, Д.С. Хандогина // Социально-экономический и гуманитарный журнал Красноярского ГАУ. - 2018. - №4 (10). – с. 43-54.</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Живко З.Б. Комплексный подход к управлению безопасностью предприятия: взаимодействие подсистем и роль менеджера / З.Б. Живко // Научный диалог. – 2013. – №1(13). – с. 177-187.</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Земсков В.В. Роль внутреннего контроля в системе экономической безопасности / В.В. Земсков // Успехи современной науки и образования. – 2016. – Т. 3, № 11. – с. 57-59.</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Золотарев А.В. Экономическая безопасность как важнейший элемент системы управления современным предприятием / А.В. Золотарев // Новая наука: Опыт, традиции, инновации. – 2017. – Т. 1, № 4. – с. 100-104.</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Иванюта Т.Н. Основные подходы к формированию системы экономической безопасности на предприятиях / Т.Н. Иванюта // Молодой ученый. – 2013. – №4. – с. 215-223.</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Кильмашкина Т.Н. Управленческое решение: сущность, классификация, предъявляемые требования / Т.Н, Кильмашкина // Труды Академии управления МВД России. 2018. №2 (46). – с. 28-33</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Клокова М.И. Экономическая безопасность предприятия как необходимый элемент управления предприятием в современной рыночной экономике / М.И. Клокова // Системное управление. – 2014. – № 4 (25). – с. 53-58.</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Колесниченко Е.А. Методические аспекты оценки и обеспечения экономической безопасности предприятия / Е.А. Колесниченко, М.Т. Гильфанов // Вестник ТГУ. – 2013. – №11 (127). – с. 1-7.</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Королев М.И. Проблема безопасности в теории фирмы: развитие и противоречия / М.И. Королёв // Вестник ВолГУ. Серия 3: Экономика. Экология. - 2012. - №1. – с. 53-58.</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Кочьян Г.А. Основные элементы экономической безопасности предприятия / Г.А. Кочьян, Р.В. Митряева // Приоритетные модели общественного развития в эпоху модернизации: экономические, социальные, философские, политические, правовые аспекты. Материалы международной научно-практической конференции. В 5-ти частях. Ответственные редактора: Н.Н. Понарина, С.С. Чернов. – Энгельс, 2016. – с. 33-35.</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Кротенко Т.Ю. Методические подходы к разработке индикаторов экономической безопасности организации / Т.Ю. Кротенко // Вестник университета. – 2018. - №8. – с. 18-22.</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Крохичева Г.Е. Актуальные вопросы обеспечения экономической безопасности сельскохозяйственных организаций / Г.Е. Крохичева, Э.Л. Архипов, Н.А. Путинцев, Л.Г. Алексанян // Kant. – 2017. – №4 (25). – с. 201-203.</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Крохичева Г.Е. Стратегический анализ как инструмент обеспечения экономической безопасности предприятия / Г.Е. Крохичева, Е.А. Щекотихина, Т.А. Витязева // Научное обозрение. – 2016. – № 3. – с. 152-155.</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Крыцина А.М. Развитие внутреннего контроля как элемента экономической безопасности коммерческого предприятия / А.М. Крыцина // Крымский научный вестник. – 2017. – №2-3. – с. 46-56.</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Кузнецова М.С. Характеристика экономической безопасности предприятия / М.С. Кузнецова // Вестник науки и образования. – 2014. – №2 (2). – с. 40-42.</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Кучерова М.В. Содержательная характеристика экономической безопасности предприятия / М.В, Кучерова // Проблемы управления устойчивым развитием бизнес структур разных сфер деятельности. Сборник научных трудов Международного экономического форума. Под общей редакцией Н.А. Лытневой. – 2017. – с. 88-91.</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Мамателашвили О.В. Конфигурация антикризисных мер в механизме обеспечения экономической безопасности предприятия в современных условиях / О.В. Мамателашвили // Вестник УГНТУ. Наука, образование, экономика. Серия: экономика. – 2016. – №1(15). – с. 59-63.</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Мелехина В.С. Экономическая безопасность как важнейший элемент системы управления предприятием / В.С. Мелехина // Молодой ученый. – 2019. – № 20 (258). – с. 233-235.</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Михалева Е.П. Критерий обоснования управленческих решений при обеспечении экономической безопасности предприятия / Е.П. Михалева, А.В. Алампиев // Известия ТулГУ. Экономические и юридические науки. – 2013. – №2-1. – с. 197-202.</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Нестеренко И.Н. Кадровая безопасность как элемент экономической безопасности предприятия / И.Н. Нестеренко, А.И. Евсеева // Актуальные вопросы управления и экономики: тенденции и перспективы. Труды международной научно-практической конференции. Под редакцией В.В. Некрасовой, А.А. Горбачевой. – Ростов-н/Д., 2018. – с. 267-272.</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Основы управления: учебное пособие для бакалавров / отв. ред. А. А. Петров. – Москва: Проспект, 2013. – 232 с.</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Плотников Н.С. Принятие управленческих решений / Н.С. Плотников // Бизнес-образование в экономике знаний. 2015. №1 (1). – с. 41-43.</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Пшипий Р.К. Внешние и внутренние угрозы экономической безопасности предприятия / Р.К. Пшипий // Экономика и предпринимательство. - 2017. - №5-2 (82). – с. 980-984.</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Романова И.В. Показатели оценки экономической безопасности предприятия / И.В. Романова, А.Ф. Секаев // Инновации в образовательном процессе. Материалы научно-практической конференции. Редколлегия: Б.Ф. Кевбрин (отв. ред.) и [др.]. - 2017. - С. 342-345.</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Савин А.В. Угрозы экономической безопасности промышленных организаций при обеспечении оборудованием в условиях импортозамещения / В.А. Савин // Вестник университета. – 2017. - № 9. – с. 102-108.</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Серебрякова Н.А. Формирование системы обеспечения экономической безопасности предприятия / Н.А. Серебрякова, С.А. Волкова, Т.А. Волкова // Вестник ВГУИТ. – 2016. – №4. – с. 460-465.</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Тамбовцев В.Л. Экономическая безопасность хозяйственных систем: структура проблемы / В.Л. Тамбовцев // Эксперт. – 2015. – 33. – с. 6-8.</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Туранина Е.А. Содержательная характеристика экономической безопасности предприятия / Е.А, Туранина // Отраслевые особенности развития экономики регионов. Материалы I Всероссийской научно-практической конференции. – 2016. – с. 96-100.</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Хатунцев Д.А. Система экономической безопасности предприятия и ее элементы / Д.А. Хатунцев, С.А. Сычев // Научная дискуссия современной молодёжи: актуальные вопросы, достижения и инновации. Сборник статей III Международной научно-практической конференции: в 2 ч. – Пенза, 2018. – с. 15-17.</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Хорев А.И. Ресурсно-функциональный подход как метод обеспечения экономической безопасности предприятия / А.И. Хорев, А.Ю. Шереметова, И.И. Баркалова // Экономика. Инновации. Управление качеством. – 2016. - №4(17). – с. 76а-78.</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Щелканова М.А. Производственная безопасность предприятия как элемент экономической безопасности / М.А. Щелканова // Актуальные вопросы устойчивого развития России в исследованиях студентов: управленческий, правовой и социально-экономический аспекты. Материалы XVI Всероссийской студенческой научно-практической конференции. В 2-х частях. Ответственный редактор С.В. Нечаева. – Челябинск, 2018. – с. 159-160.</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 xml:space="preserve">Безверхая Е.Н. Экономическая безопасность предприятия: сущность и факторы / Е.Н. Безверхая, И.И. Губа, К.А. Ковалева // Научный журнал КубГАУ – Scientific Journal of KubSAU. – 2015. – №108. </w:t>
      </w:r>
      <w:r>
        <w:rPr>
          <w:rFonts w:hint="default" w:ascii="Times New Roman" w:hAnsi="Times New Roman" w:cs="Times New Roman"/>
          <w:sz w:val="28"/>
          <w:szCs w:val="28"/>
        </w:rPr>
        <w:t>[Электронный ресурс]. Режим доступа: http://ej.kubagro.ru/2015/04/pdf/16.pdf</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Дятловская Е. Минсельхоз: в 2018 году потребление молока снизилось на 2,5% / Е. Дятловская // Агроинвестор. 17.05.2019 [Электронный ресурс]. Режим доступа: https://www.agroinvestor.ru/analytics/news/31761-potreblenie-moloka-snizilos-na-2-5/</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Ильина Д.В. Оценка экономической безопасности предприятия / Д.В. Ильина // Научное сообщество студентов: МЕЖДИСЦИПЛИНАРНЫЕ ИССЛЕДОВАНИЯ: сб. ст. по мат. XI междунар. студ. науч.-практ. конф. № 8(11). [Электронный ресурс]. Режим доступа: https://sibac.info/archive/meghdis/8(11).pdf</w:t>
      </w:r>
    </w:p>
    <w:p>
      <w:pPr>
        <w:pStyle w:val="10"/>
        <w:numPr>
          <w:ilvl w:val="0"/>
          <w:numId w:val="1"/>
        </w:numPr>
        <w:ind w:left="0" w:firstLine="709"/>
        <w:rPr>
          <w:rFonts w:hint="default" w:ascii="Times New Roman" w:hAnsi="Times New Roman" w:cs="Times New Roman"/>
          <w:sz w:val="28"/>
          <w:szCs w:val="28"/>
        </w:rPr>
      </w:pPr>
      <w:r>
        <w:rPr>
          <w:rFonts w:hint="default" w:ascii="Times New Roman" w:hAnsi="Times New Roman" w:cs="Times New Roman"/>
          <w:sz w:val="28"/>
          <w:szCs w:val="28"/>
        </w:rPr>
        <w:t>Лесняк В.В. Управленческие решения в системе обеспечения экономической безопасности организации / В.В. Лесняк // Проблемы современной экономики. – 2018. – №1(65).</w:t>
      </w:r>
      <w:r>
        <w:rPr>
          <w:rFonts w:hint="default" w:ascii="Times New Roman" w:hAnsi="Times New Roman" w:cs="Times New Roman"/>
          <w:sz w:val="28"/>
          <w:szCs w:val="28"/>
        </w:rPr>
        <w:t xml:space="preserve"> [Электронный ресурс]. Режим доступа: </w:t>
      </w:r>
      <w:r>
        <w:rPr>
          <w:rFonts w:hint="default" w:ascii="Times New Roman" w:hAnsi="Times New Roman" w:cs="Times New Roman"/>
          <w:sz w:val="28"/>
          <w:szCs w:val="28"/>
        </w:rPr>
        <w:t>http://www.m-economy.ru/art.php?nArtId=6266</w:t>
      </w:r>
    </w:p>
    <w:p>
      <w:pPr>
        <w:pStyle w:val="10"/>
        <w:numPr>
          <w:ilvl w:val="0"/>
          <w:numId w:val="1"/>
        </w:numPr>
        <w:ind w:left="0" w:firstLine="709"/>
        <w:rPr>
          <w:rFonts w:hint="default" w:ascii="Times New Roman" w:hAnsi="Times New Roman" w:cs="Times New Roman"/>
          <w:sz w:val="28"/>
          <w:szCs w:val="28"/>
        </w:rPr>
        <w:sectPr>
          <w:pgSz w:w="11906" w:h="16838"/>
          <w:pgMar w:top="1134" w:right="850" w:bottom="1134" w:left="1701" w:header="708" w:footer="708" w:gutter="0"/>
          <w:pgNumType w:fmt="decimal"/>
          <w:cols w:space="708" w:num="1"/>
          <w:docGrid w:linePitch="360" w:charSpace="0"/>
        </w:sectPr>
      </w:pPr>
      <w:r>
        <w:rPr>
          <w:rFonts w:hint="default" w:ascii="Times New Roman" w:hAnsi="Times New Roman" w:cs="Times New Roman"/>
          <w:sz w:val="28"/>
          <w:szCs w:val="28"/>
        </w:rPr>
        <w:t>Фирсов И.В. Методологические основы принятия решений в системе обеспечения экономической безопасности в современных условиях, проблемы и пути их решения // Отрасли права. – 21.02.2017. [Электронный ресурс]. Режим доступа: http://xn----7sbbaj7auwnffhk.xn--p1ai/article/22</w:t>
      </w:r>
    </w:p>
    <w:p>
      <w:pPr>
        <w:rPr>
          <w:rFonts w:hint="default" w:ascii="Times New Roman" w:hAnsi="Times New Roman" w:cs="Times New Roman"/>
          <w:sz w:val="28"/>
          <w:szCs w:val="28"/>
        </w:rPr>
      </w:pPr>
    </w:p>
    <w:sectPr>
      <w:pgSz w:w="11906" w:h="16838"/>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CE6761"/>
    <w:multiLevelType w:val="multilevel"/>
    <w:tmpl w:val="7FCE6761"/>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3F5E62"/>
    <w:rsid w:val="097312C8"/>
    <w:rsid w:val="193F5E62"/>
    <w:rsid w:val="1B070B21"/>
    <w:rsid w:val="37D5337E"/>
    <w:rsid w:val="67AC7F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paragraph" w:styleId="2">
    <w:name w:val="heading 1"/>
    <w:basedOn w:val="1"/>
    <w:next w:val="1"/>
    <w:qFormat/>
    <w:uiPriority w:val="9"/>
    <w:pPr>
      <w:keepNext/>
      <w:spacing w:before="240" w:after="60" w:line="360" w:lineRule="auto"/>
      <w:jc w:val="center"/>
      <w:outlineLvl w:val="0"/>
    </w:pPr>
    <w:rPr>
      <w:rFonts w:ascii="Times New Roman" w:hAnsi="Times New Roman" w:eastAsia="Times New Roman" w:cs="Times New Roman"/>
      <w:b/>
      <w:bCs/>
      <w:kern w:val="32"/>
      <w:sz w:val="28"/>
      <w:szCs w:val="28"/>
      <w:lang w:eastAsia="ru-RU"/>
    </w:rPr>
  </w:style>
  <w:style w:type="paragraph" w:styleId="3">
    <w:name w:val="heading 2"/>
    <w:basedOn w:val="1"/>
    <w:next w:val="1"/>
    <w:unhideWhenUsed/>
    <w:qFormat/>
    <w:uiPriority w:val="9"/>
    <w:pPr>
      <w:keepNext/>
      <w:keepLines/>
      <w:outlineLvl w:val="1"/>
    </w:pPr>
    <w:rPr>
      <w:rFonts w:eastAsiaTheme="majorEastAsia" w:cstheme="majorBidi"/>
      <w:szCs w:val="26"/>
    </w:rPr>
  </w:style>
  <w:style w:type="character" w:default="1" w:styleId="5">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footnote text"/>
    <w:basedOn w:val="1"/>
    <w:semiHidden/>
    <w:unhideWhenUsed/>
    <w:qFormat/>
    <w:uiPriority w:val="99"/>
    <w:pPr>
      <w:spacing w:line="240" w:lineRule="auto"/>
    </w:pPr>
    <w:rPr>
      <w:sz w:val="20"/>
      <w:szCs w:val="20"/>
    </w:rPr>
  </w:style>
  <w:style w:type="character" w:styleId="6">
    <w:name w:val="footnote reference"/>
    <w:basedOn w:val="5"/>
    <w:semiHidden/>
    <w:unhideWhenUsed/>
    <w:qFormat/>
    <w:uiPriority w:val="99"/>
    <w:rPr>
      <w:vertAlign w:val="superscript"/>
    </w:rPr>
  </w:style>
  <w:style w:type="character" w:styleId="7">
    <w:name w:val="Hyperlink"/>
    <w:basedOn w:val="5"/>
    <w:unhideWhenUsed/>
    <w:qFormat/>
    <w:uiPriority w:val="99"/>
    <w:rPr>
      <w:color w:val="0000FF"/>
      <w:u w:val="single"/>
    </w:rPr>
  </w:style>
  <w:style w:type="table" w:customStyle="1" w:styleId="9">
    <w:name w:val="Сетка таблицы1"/>
    <w:basedOn w:val="8"/>
    <w:qFormat/>
    <w:uiPriority w:val="59"/>
    <w:pPr>
      <w:spacing w:after="0" w:line="240" w:lineRule="auto"/>
    </w:pPr>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left="720"/>
      <w:contextualSpacing/>
    </w:pPr>
  </w:style>
  <w:style w:type="character" w:customStyle="1" w:styleId="11">
    <w:name w:val="apple-converted-space"/>
    <w:basedOn w:val="5"/>
    <w:qFormat/>
    <w:uiPriority w:val="0"/>
  </w:style>
  <w:style w:type="table" w:customStyle="1" w:styleId="12">
    <w:name w:val="Сетка таблицы11"/>
    <w:basedOn w:val="8"/>
    <w:qFormat/>
    <w:uiPriority w:val="59"/>
    <w:pPr>
      <w:spacing w:after="0" w:line="240" w:lineRule="auto"/>
      <w:ind w:firstLine="360"/>
    </w:pPr>
    <w:rPr>
      <w:rFonts w:ascii="Calibri" w:hAnsi="Calibri"/>
      <w:lang w:val="en-US" w:bidi="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3">
    <w:name w:val="Сетка таблицы2"/>
    <w:basedOn w:val="8"/>
    <w:qFormat/>
    <w:uiPriority w:val="59"/>
    <w:pPr>
      <w:spacing w:after="0" w:line="240" w:lineRule="auto"/>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
    <w:name w:val="Сетка таблицы21"/>
    <w:basedOn w:val="8"/>
    <w:qFormat/>
    <w:uiPriority w:val="59"/>
    <w:pPr>
      <w:spacing w:after="0" w:line="240" w:lineRule="auto"/>
      <w:ind w:firstLine="360"/>
    </w:pPr>
    <w:rPr>
      <w:lang w:val="en-US" w:bidi="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5">
    <w:name w:val="Сетка таблицы3"/>
    <w:basedOn w:val="8"/>
    <w:qFormat/>
    <w:uiPriority w:val="59"/>
    <w:pPr>
      <w:spacing w:after="0" w:line="240" w:lineRule="auto"/>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diagramColors" Target="diagrams/colors1.xml"/><Relationship Id="rId7" Type="http://schemas.openxmlformats.org/officeDocument/2006/relationships/diagramQuickStyle" Target="diagrams/quickStyle1.xml"/><Relationship Id="rId6" Type="http://schemas.openxmlformats.org/officeDocument/2006/relationships/diagramLayout" Target="diagrams/layout1.xml"/><Relationship Id="rId5" Type="http://schemas.openxmlformats.org/officeDocument/2006/relationships/diagramData" Target="diagrams/data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10D47AA0-516D-4CAC-980D-7121C92FC1E0}" type="doc">
      <dgm:prSet loTypeId="hierarchy" loCatId="hierarchy" qsTypeId="urn:microsoft.com/office/officeart/2005/8/quickstyle/simple1#2" qsCatId="simple" csTypeId="urn:microsoft.com/office/officeart/2005/8/colors/accent0_1#1" csCatId="mainScheme" phldr="1"/>
      <dgm:spPr/>
      <dgm:t>
        <a:bodyPr/>
        <a:p>
          <a:endParaRPr lang="ru-RU"/>
        </a:p>
      </dgm:t>
    </dgm:pt>
    <dgm:pt modelId="{69BA8728-A20A-4BD4-9CEF-E598FC2153BC}">
      <dgm:prSet phldrT="[Текст]" phldr="0" custT="1"/>
      <dgm:spPr/>
      <dgm:t>
        <a:bodyPr vert="horz" wrap="square"/>
        <a:p>
          <a:pPr>
            <a:lnSpc>
              <a:spcPct val="100000"/>
            </a:lnSpc>
            <a:spcBef>
              <a:spcPct val="0"/>
            </a:spcBef>
            <a:spcAft>
              <a:spcPct val="35000"/>
            </a:spcAft>
          </a:pPr>
          <a:r>
            <a:rPr lang="ru-RU" sz="1400">
              <a:latin typeface="Times New Roman" panose="02020603050405020304" charset="0"/>
              <a:cs typeface="Times New Roman" panose="02020603050405020304" charset="0"/>
            </a:rPr>
            <a:t>Генеральный директор</a:t>
          </a:r>
          <a:r>
            <a:rPr sz="1400"/>
            <a:t/>
          </a:r>
          <a:endParaRPr sz="1400"/>
        </a:p>
      </dgm:t>
    </dgm:pt>
    <dgm:pt modelId="{34E90520-E9AE-4262-920D-439583EB1411}" cxnId="{A5C3BBA0-88E4-46D5-89A1-28B9B60457EE}" type="parTrans">
      <dgm:prSet/>
      <dgm:spPr/>
      <dgm:t>
        <a:bodyPr/>
        <a:p>
          <a:endParaRPr lang="ru-RU">
            <a:latin typeface="Times New Roman" panose="02020603050405020304" charset="0"/>
            <a:cs typeface="Times New Roman" panose="02020603050405020304" charset="0"/>
          </a:endParaRPr>
        </a:p>
      </dgm:t>
    </dgm:pt>
    <dgm:pt modelId="{9C590FF9-438B-46A1-A001-2DCF74FF4A5B}" cxnId="{A5C3BBA0-88E4-46D5-89A1-28B9B60457EE}" type="sibTrans">
      <dgm:prSet/>
      <dgm:spPr/>
      <dgm:t>
        <a:bodyPr/>
        <a:p>
          <a:endParaRPr lang="ru-RU">
            <a:latin typeface="Times New Roman" panose="02020603050405020304" charset="0"/>
            <a:cs typeface="Times New Roman" panose="02020603050405020304" charset="0"/>
          </a:endParaRPr>
        </a:p>
      </dgm:t>
    </dgm:pt>
    <dgm:pt modelId="{AB5A91D5-6866-4849-956A-A3DA25140DFA}">
      <dgm:prSet phldr="0" custT="1"/>
      <dgm:spPr/>
      <dgm:t>
        <a:bodyPr vert="horz" wrap="square"/>
        <a:p>
          <a:pPr>
            <a:lnSpc>
              <a:spcPct val="100000"/>
            </a:lnSpc>
            <a:spcBef>
              <a:spcPct val="0"/>
            </a:spcBef>
            <a:spcAft>
              <a:spcPct val="35000"/>
            </a:spcAft>
          </a:pPr>
          <a:r>
            <a:rPr lang="ru-RU" sz="1400">
              <a:latin typeface="Times New Roman" panose="02020603050405020304" charset="0"/>
              <a:cs typeface="Times New Roman" panose="02020603050405020304" charset="0"/>
            </a:rPr>
            <a:t>Исполнительный директор</a:t>
          </a:r>
          <a:r>
            <a:rPr sz="1400"/>
            <a:t/>
          </a:r>
          <a:endParaRPr sz="1400"/>
        </a:p>
      </dgm:t>
    </dgm:pt>
    <dgm:pt modelId="{F21D20DB-DEDD-4558-B4E1-15B008EB29F0}" cxnId="{A2ED14AC-3E41-48B1-A4E1-4E7496C6664B}" type="parTrans">
      <dgm:prSet/>
      <dgm:spPr/>
      <dgm:t>
        <a:bodyPr/>
        <a:p>
          <a:endParaRPr lang="ru-RU">
            <a:latin typeface="Times New Roman" panose="02020603050405020304" charset="0"/>
            <a:cs typeface="Times New Roman" panose="02020603050405020304" charset="0"/>
          </a:endParaRPr>
        </a:p>
      </dgm:t>
    </dgm:pt>
    <dgm:pt modelId="{54993EB4-A034-474D-BC6E-6F1F60D39F11}" cxnId="{A2ED14AC-3E41-48B1-A4E1-4E7496C6664B}" type="sibTrans">
      <dgm:prSet/>
      <dgm:spPr/>
      <dgm:t>
        <a:bodyPr/>
        <a:p>
          <a:endParaRPr lang="ru-RU">
            <a:latin typeface="Times New Roman" panose="02020603050405020304" charset="0"/>
            <a:cs typeface="Times New Roman" panose="02020603050405020304" charset="0"/>
          </a:endParaRPr>
        </a:p>
      </dgm:t>
    </dgm:pt>
    <dgm:pt modelId="{036DA0D5-C4F5-4037-828F-3A667AB602B8}">
      <dgm:prSet phldr="0" custT="1"/>
      <dgm:spPr/>
      <dgm:t>
        <a:bodyPr vert="horz" wrap="square"/>
        <a:p>
          <a:pPr>
            <a:lnSpc>
              <a:spcPct val="100000"/>
            </a:lnSpc>
            <a:spcBef>
              <a:spcPct val="0"/>
            </a:spcBef>
            <a:spcAft>
              <a:spcPct val="35000"/>
            </a:spcAft>
          </a:pPr>
          <a:r>
            <a:rPr lang="ru-RU" sz="1400">
              <a:latin typeface="Times New Roman" panose="02020603050405020304" charset="0"/>
              <a:cs typeface="Times New Roman" panose="02020603050405020304" charset="0"/>
            </a:rPr>
            <a:t>Производственный </a:t>
          </a:r>
          <a:r>
            <a:rPr lang="ru-RU" sz="1400">
              <a:latin typeface="Times New Roman" panose="02020603050405020304" charset="0"/>
              <a:cs typeface="Times New Roman" panose="02020603050405020304" charset="0"/>
            </a:rPr>
            <a:t>отдел</a:t>
          </a:r>
          <a:r>
            <a:rPr sz="1400"/>
            <a:t/>
          </a:r>
          <a:endParaRPr sz="1400"/>
        </a:p>
      </dgm:t>
    </dgm:pt>
    <dgm:pt modelId="{C7965A7B-0CB9-433F-A618-DDAEE7F5F7E6}" cxnId="{21BF51E1-94CE-43E7-8C77-DD15B0999EF1}" type="parTrans">
      <dgm:prSet/>
      <dgm:spPr/>
      <dgm:t>
        <a:bodyPr/>
        <a:p>
          <a:endParaRPr lang="ru-RU">
            <a:latin typeface="Times New Roman" panose="02020603050405020304" charset="0"/>
            <a:cs typeface="Times New Roman" panose="02020603050405020304" charset="0"/>
          </a:endParaRPr>
        </a:p>
      </dgm:t>
    </dgm:pt>
    <dgm:pt modelId="{688DD8A2-AA35-4176-9794-705EC9D1EE34}" cxnId="{21BF51E1-94CE-43E7-8C77-DD15B0999EF1}" type="sibTrans">
      <dgm:prSet/>
      <dgm:spPr/>
      <dgm:t>
        <a:bodyPr/>
        <a:p>
          <a:endParaRPr lang="ru-RU">
            <a:latin typeface="Times New Roman" panose="02020603050405020304" charset="0"/>
            <a:cs typeface="Times New Roman" panose="02020603050405020304" charset="0"/>
          </a:endParaRPr>
        </a:p>
      </dgm:t>
    </dgm:pt>
    <dgm:pt modelId="{5B444C07-3626-47E1-952B-46078B1D38C0}">
      <dgm:prSet phldr="0" custT="1"/>
      <dgm:spPr/>
      <dgm:t>
        <a:bodyPr vert="horz" wrap="square"/>
        <a:p>
          <a:pPr>
            <a:lnSpc>
              <a:spcPct val="100000"/>
            </a:lnSpc>
            <a:spcBef>
              <a:spcPct val="0"/>
            </a:spcBef>
            <a:spcAft>
              <a:spcPct val="35000"/>
            </a:spcAft>
          </a:pPr>
          <a:r>
            <a:rPr lang="ru-RU" sz="1400">
              <a:latin typeface="Times New Roman" panose="02020603050405020304" charset="0"/>
              <a:cs typeface="Times New Roman" panose="02020603050405020304" charset="0"/>
            </a:rPr>
            <a:t>Главный механик</a:t>
          </a:r>
          <a:r>
            <a:rPr sz="1400"/>
            <a:t/>
          </a:r>
          <a:endParaRPr sz="1400"/>
        </a:p>
      </dgm:t>
    </dgm:pt>
    <dgm:pt modelId="{1386B6B1-9801-4A99-9AF0-782B539A4AC3}" cxnId="{4056DFDC-1714-42CD-87E8-681BBEF45415}" type="parTrans">
      <dgm:prSet/>
      <dgm:spPr/>
      <dgm:t>
        <a:bodyPr/>
        <a:p>
          <a:endParaRPr lang="ru-RU">
            <a:latin typeface="Times New Roman" panose="02020603050405020304" charset="0"/>
            <a:cs typeface="Times New Roman" panose="02020603050405020304" charset="0"/>
          </a:endParaRPr>
        </a:p>
      </dgm:t>
    </dgm:pt>
    <dgm:pt modelId="{03A712AE-0FCE-49D4-9732-887E9844DA55}" cxnId="{4056DFDC-1714-42CD-87E8-681BBEF45415}" type="sibTrans">
      <dgm:prSet/>
      <dgm:spPr/>
      <dgm:t>
        <a:bodyPr/>
        <a:p>
          <a:endParaRPr lang="ru-RU">
            <a:latin typeface="Times New Roman" panose="02020603050405020304" charset="0"/>
            <a:cs typeface="Times New Roman" panose="02020603050405020304" charset="0"/>
          </a:endParaRPr>
        </a:p>
      </dgm:t>
    </dgm:pt>
    <dgm:pt modelId="{47E2C698-8312-4D5B-BFEA-49019777703E}">
      <dgm:prSet phldr="0" custT="1"/>
      <dgm:spPr/>
      <dgm:t>
        <a:bodyPr vert="horz" wrap="square"/>
        <a:p>
          <a:pPr>
            <a:lnSpc>
              <a:spcPct val="100000"/>
            </a:lnSpc>
            <a:spcBef>
              <a:spcPct val="0"/>
            </a:spcBef>
            <a:spcAft>
              <a:spcPct val="35000"/>
            </a:spcAft>
          </a:pPr>
          <a:r>
            <a:rPr lang="ru-RU" sz="1400">
              <a:latin typeface="Times New Roman" panose="02020603050405020304" charset="0"/>
              <a:cs typeface="Times New Roman" panose="02020603050405020304" charset="0"/>
            </a:rPr>
            <a:t>Главный энергетик</a:t>
          </a:r>
          <a:r>
            <a:rPr sz="1400"/>
            <a:t/>
          </a:r>
          <a:endParaRPr sz="1400"/>
        </a:p>
      </dgm:t>
    </dgm:pt>
    <dgm:pt modelId="{63C59760-EB99-4D9B-B782-CB306C44E1F6}" cxnId="{5FF047BD-B8FE-48AA-84E9-9AE16DF6BF33}" type="parTrans">
      <dgm:prSet/>
      <dgm:spPr/>
      <dgm:t>
        <a:bodyPr/>
        <a:p>
          <a:endParaRPr lang="ru-RU">
            <a:latin typeface="Times New Roman" panose="02020603050405020304" charset="0"/>
            <a:cs typeface="Times New Roman" panose="02020603050405020304" charset="0"/>
          </a:endParaRPr>
        </a:p>
      </dgm:t>
    </dgm:pt>
    <dgm:pt modelId="{D2861101-F1EF-41CA-B7DF-56143CEF8105}" cxnId="{5FF047BD-B8FE-48AA-84E9-9AE16DF6BF33}" type="sibTrans">
      <dgm:prSet/>
      <dgm:spPr/>
      <dgm:t>
        <a:bodyPr/>
        <a:p>
          <a:endParaRPr lang="ru-RU">
            <a:latin typeface="Times New Roman" panose="02020603050405020304" charset="0"/>
            <a:cs typeface="Times New Roman" panose="02020603050405020304" charset="0"/>
          </a:endParaRPr>
        </a:p>
      </dgm:t>
    </dgm:pt>
    <dgm:pt modelId="{2C98DCF5-DB08-4F16-A88D-B4DC113E7704}">
      <dgm:prSet phldr="0" custT="1"/>
      <dgm:spPr/>
      <dgm:t>
        <a:bodyPr vert="horz" wrap="square"/>
        <a:p>
          <a:pPr>
            <a:lnSpc>
              <a:spcPct val="100000"/>
            </a:lnSpc>
            <a:spcBef>
              <a:spcPct val="0"/>
            </a:spcBef>
            <a:spcAft>
              <a:spcPct val="35000"/>
            </a:spcAft>
          </a:pPr>
          <a:r>
            <a:rPr lang="ru-RU" sz="1400">
              <a:latin typeface="Times New Roman" panose="02020603050405020304" charset="0"/>
              <a:cs typeface="Times New Roman" panose="02020603050405020304" charset="0"/>
            </a:rPr>
            <a:t>Отдел технического контроля</a:t>
          </a:r>
          <a:r>
            <a:rPr lang="ru-RU" sz="1400">
              <a:latin typeface="Times New Roman" panose="02020603050405020304" charset="0"/>
              <a:cs typeface="Times New Roman" panose="02020603050405020304" charset="0"/>
            </a:rPr>
            <a:t/>
          </a:r>
          <a:endParaRPr lang="ru-RU" sz="1400">
            <a:latin typeface="Times New Roman" panose="02020603050405020304" charset="0"/>
            <a:cs typeface="Times New Roman" panose="02020603050405020304" charset="0"/>
          </a:endParaRPr>
        </a:p>
      </dgm:t>
    </dgm:pt>
    <dgm:pt modelId="{E00B126F-4DCE-45C6-823C-3D2A0817308C}" cxnId="{279DA54E-1C32-4639-8AD3-21DFC06523D5}" type="parTrans">
      <dgm:prSet/>
      <dgm:spPr/>
      <dgm:t>
        <a:bodyPr/>
        <a:p>
          <a:endParaRPr lang="ru-RU">
            <a:latin typeface="Times New Roman" panose="02020603050405020304" charset="0"/>
            <a:cs typeface="Times New Roman" panose="02020603050405020304" charset="0"/>
          </a:endParaRPr>
        </a:p>
      </dgm:t>
    </dgm:pt>
    <dgm:pt modelId="{073B8CA8-3267-440A-B3A0-B9F3850F23F6}" cxnId="{279DA54E-1C32-4639-8AD3-21DFC06523D5}" type="sibTrans">
      <dgm:prSet/>
      <dgm:spPr/>
      <dgm:t>
        <a:bodyPr/>
        <a:p>
          <a:endParaRPr lang="ru-RU">
            <a:latin typeface="Times New Roman" panose="02020603050405020304" charset="0"/>
            <a:cs typeface="Times New Roman" panose="02020603050405020304" charset="0"/>
          </a:endParaRPr>
        </a:p>
      </dgm:t>
    </dgm:pt>
    <dgm:pt modelId="{9B783AB4-F2F2-401B-AF60-7B6C3AF0C697}">
      <dgm:prSet phldr="0" custT="1"/>
      <dgm:spPr/>
      <dgm:t>
        <a:bodyPr vert="horz" wrap="square"/>
        <a:p>
          <a:pPr>
            <a:lnSpc>
              <a:spcPct val="100000"/>
            </a:lnSpc>
            <a:spcBef>
              <a:spcPct val="0"/>
            </a:spcBef>
            <a:spcAft>
              <a:spcPct val="35000"/>
            </a:spcAft>
          </a:pPr>
          <a:r>
            <a:rPr lang="ru-RU" sz="1400">
              <a:latin typeface="Times New Roman" panose="02020603050405020304" charset="0"/>
              <a:cs typeface="Times New Roman" panose="02020603050405020304" charset="0"/>
            </a:rPr>
            <a:t>Коммерческий директор</a:t>
          </a:r>
          <a:r>
            <a:rPr sz="1400"/>
            <a:t/>
          </a:r>
          <a:endParaRPr sz="1400"/>
        </a:p>
      </dgm:t>
    </dgm:pt>
    <dgm:pt modelId="{AA86EDC9-E251-4E5C-B578-94CC8EF64B4A}" cxnId="{555BE41A-E869-467A-8DBA-6D9C1BD42F28}" type="parTrans">
      <dgm:prSet/>
      <dgm:spPr/>
      <dgm:t>
        <a:bodyPr/>
        <a:p>
          <a:endParaRPr lang="ru-RU">
            <a:latin typeface="Times New Roman" panose="02020603050405020304" charset="0"/>
            <a:cs typeface="Times New Roman" panose="02020603050405020304" charset="0"/>
          </a:endParaRPr>
        </a:p>
      </dgm:t>
    </dgm:pt>
    <dgm:pt modelId="{6AE7F050-E131-4787-8080-EA17D5E630F6}" cxnId="{555BE41A-E869-467A-8DBA-6D9C1BD42F28}" type="sibTrans">
      <dgm:prSet/>
      <dgm:spPr/>
      <dgm:t>
        <a:bodyPr/>
        <a:p>
          <a:endParaRPr lang="ru-RU">
            <a:latin typeface="Times New Roman" panose="02020603050405020304" charset="0"/>
            <a:cs typeface="Times New Roman" panose="02020603050405020304" charset="0"/>
          </a:endParaRPr>
        </a:p>
      </dgm:t>
    </dgm:pt>
    <dgm:pt modelId="{1F1FA7FD-9B82-49CC-AD8D-BF080D097DFA}">
      <dgm:prSet phldr="0" custT="1"/>
      <dgm:spPr/>
      <dgm:t>
        <a:bodyPr vert="horz" wrap="square"/>
        <a:p>
          <a:pPr>
            <a:lnSpc>
              <a:spcPct val="100000"/>
            </a:lnSpc>
            <a:spcBef>
              <a:spcPct val="0"/>
            </a:spcBef>
            <a:spcAft>
              <a:spcPct val="35000"/>
            </a:spcAft>
          </a:pPr>
          <a:r>
            <a:rPr lang="ru-RU" sz="1400">
              <a:latin typeface="Times New Roman" panose="02020603050405020304" charset="0"/>
              <a:cs typeface="Times New Roman" panose="02020603050405020304" charset="0"/>
            </a:rPr>
            <a:t>Отдел реализации</a:t>
          </a:r>
          <a:r>
            <a:rPr sz="1400"/>
            <a:t/>
          </a:r>
          <a:endParaRPr sz="1400"/>
        </a:p>
      </dgm:t>
    </dgm:pt>
    <dgm:pt modelId="{084D1C6C-0B6F-4A44-934C-67EDA2B8BDF5}" cxnId="{233CC7CD-E562-439B-BD3F-9C9A32920BF0}" type="parTrans">
      <dgm:prSet/>
      <dgm:spPr/>
      <dgm:t>
        <a:bodyPr/>
        <a:p>
          <a:endParaRPr lang="ru-RU">
            <a:latin typeface="Times New Roman" panose="02020603050405020304" charset="0"/>
            <a:cs typeface="Times New Roman" panose="02020603050405020304" charset="0"/>
          </a:endParaRPr>
        </a:p>
      </dgm:t>
    </dgm:pt>
    <dgm:pt modelId="{CD924C40-BBB3-4DD9-BE6C-439C67FEB0B6}" cxnId="{233CC7CD-E562-439B-BD3F-9C9A32920BF0}" type="sibTrans">
      <dgm:prSet/>
      <dgm:spPr/>
      <dgm:t>
        <a:bodyPr/>
        <a:p>
          <a:endParaRPr lang="ru-RU">
            <a:latin typeface="Times New Roman" panose="02020603050405020304" charset="0"/>
            <a:cs typeface="Times New Roman" panose="02020603050405020304" charset="0"/>
          </a:endParaRPr>
        </a:p>
      </dgm:t>
    </dgm:pt>
    <dgm:pt modelId="{90097FF3-F890-45C7-8DAC-38941F5C4112}">
      <dgm:prSet phldr="0" custT="1"/>
      <dgm:spPr/>
      <dgm:t>
        <a:bodyPr vert="horz" wrap="square"/>
        <a:p>
          <a:pPr>
            <a:lnSpc>
              <a:spcPct val="100000"/>
            </a:lnSpc>
            <a:spcBef>
              <a:spcPct val="0"/>
            </a:spcBef>
            <a:spcAft>
              <a:spcPct val="35000"/>
            </a:spcAft>
          </a:pPr>
          <a:r>
            <a:rPr lang="ru-RU" sz="1400">
              <a:latin typeface="Times New Roman" panose="02020603050405020304" charset="0"/>
              <a:cs typeface="Times New Roman" panose="02020603050405020304" charset="0"/>
            </a:rPr>
            <a:t>Отдел логистики и снабжения</a:t>
          </a:r>
          <a:r>
            <a:rPr sz="1400"/>
            <a:t/>
          </a:r>
          <a:endParaRPr sz="1400"/>
        </a:p>
      </dgm:t>
    </dgm:pt>
    <dgm:pt modelId="{C0385371-F216-459C-8F34-22C123D817EE}" cxnId="{E0992F36-05F1-49A7-84FC-21E6F5CE41E8}" type="parTrans">
      <dgm:prSet/>
      <dgm:spPr/>
      <dgm:t>
        <a:bodyPr/>
        <a:p>
          <a:endParaRPr lang="ru-RU">
            <a:latin typeface="Times New Roman" panose="02020603050405020304" charset="0"/>
            <a:cs typeface="Times New Roman" panose="02020603050405020304" charset="0"/>
          </a:endParaRPr>
        </a:p>
      </dgm:t>
    </dgm:pt>
    <dgm:pt modelId="{B56E9643-40C7-4D96-AA65-0B5354C59B1E}" cxnId="{E0992F36-05F1-49A7-84FC-21E6F5CE41E8}" type="sibTrans">
      <dgm:prSet/>
      <dgm:spPr/>
      <dgm:t>
        <a:bodyPr/>
        <a:p>
          <a:endParaRPr lang="ru-RU">
            <a:latin typeface="Times New Roman" panose="02020603050405020304" charset="0"/>
            <a:cs typeface="Times New Roman" panose="02020603050405020304" charset="0"/>
          </a:endParaRPr>
        </a:p>
      </dgm:t>
    </dgm:pt>
    <dgm:pt modelId="{327CE198-7CA3-4F9D-A9ED-DCA721858FF8}">
      <dgm:prSet phldr="0" custT="1"/>
      <dgm:spPr/>
      <dgm:t>
        <a:bodyPr vert="horz" wrap="square"/>
        <a:p>
          <a:pPr>
            <a:lnSpc>
              <a:spcPct val="100000"/>
            </a:lnSpc>
            <a:spcBef>
              <a:spcPct val="0"/>
            </a:spcBef>
            <a:spcAft>
              <a:spcPct val="35000"/>
            </a:spcAft>
          </a:pPr>
          <a:r>
            <a:rPr lang="ru-RU" sz="1400">
              <a:latin typeface="Times New Roman" panose="02020603050405020304" charset="0"/>
              <a:cs typeface="Times New Roman" panose="02020603050405020304" charset="0"/>
            </a:rPr>
            <a:t>Юридический отдел</a:t>
          </a:r>
          <a:r>
            <a:rPr sz="1400"/>
            <a:t/>
          </a:r>
          <a:endParaRPr sz="1400"/>
        </a:p>
      </dgm:t>
    </dgm:pt>
    <dgm:pt modelId="{761AE639-265C-4BDF-A139-7029FE0DB2D3}" cxnId="{E1EA70CF-25F9-45A9-B72E-AB0AAA96D3BE}" type="parTrans">
      <dgm:prSet/>
      <dgm:spPr/>
      <dgm:t>
        <a:bodyPr/>
        <a:p>
          <a:endParaRPr lang="ru-RU">
            <a:latin typeface="Times New Roman" panose="02020603050405020304" charset="0"/>
            <a:cs typeface="Times New Roman" panose="02020603050405020304" charset="0"/>
          </a:endParaRPr>
        </a:p>
      </dgm:t>
    </dgm:pt>
    <dgm:pt modelId="{87F38448-DC3E-4165-B384-49231007C132}" cxnId="{E1EA70CF-25F9-45A9-B72E-AB0AAA96D3BE}" type="sibTrans">
      <dgm:prSet/>
      <dgm:spPr/>
      <dgm:t>
        <a:bodyPr/>
        <a:p>
          <a:endParaRPr lang="ru-RU">
            <a:latin typeface="Times New Roman" panose="02020603050405020304" charset="0"/>
            <a:cs typeface="Times New Roman" panose="02020603050405020304" charset="0"/>
          </a:endParaRPr>
        </a:p>
      </dgm:t>
    </dgm:pt>
    <dgm:pt modelId="{774B6EB0-872E-41B0-8077-C7B44C3FD845}">
      <dgm:prSet phldr="0" custT="1"/>
      <dgm:spPr/>
      <dgm:t>
        <a:bodyPr vert="horz" wrap="square"/>
        <a:p>
          <a:pPr>
            <a:lnSpc>
              <a:spcPct val="100000"/>
            </a:lnSpc>
            <a:spcBef>
              <a:spcPct val="0"/>
            </a:spcBef>
            <a:spcAft>
              <a:spcPct val="35000"/>
            </a:spcAft>
          </a:pPr>
          <a:r>
            <a:rPr lang="ru-RU" sz="1400">
              <a:latin typeface="Times New Roman" panose="02020603050405020304" charset="0"/>
              <a:cs typeface="Times New Roman" panose="02020603050405020304" charset="0"/>
            </a:rPr>
            <a:t>Отдел кадров</a:t>
          </a:r>
          <a:r>
            <a:rPr sz="1400"/>
            <a:t/>
          </a:r>
          <a:endParaRPr sz="1400"/>
        </a:p>
      </dgm:t>
    </dgm:pt>
    <dgm:pt modelId="{7DEEDF33-27B6-4B1B-A5B6-A9C2E16302C9}" cxnId="{197372CD-4FDC-4AE6-8BD5-0CD32E6D8E02}" type="parTrans">
      <dgm:prSet/>
      <dgm:spPr/>
      <dgm:t>
        <a:bodyPr/>
        <a:p>
          <a:endParaRPr lang="ru-RU">
            <a:latin typeface="Times New Roman" panose="02020603050405020304" charset="0"/>
            <a:cs typeface="Times New Roman" panose="02020603050405020304" charset="0"/>
          </a:endParaRPr>
        </a:p>
      </dgm:t>
    </dgm:pt>
    <dgm:pt modelId="{BFDB8089-3FC6-4367-AE46-364F7516826F}" cxnId="{197372CD-4FDC-4AE6-8BD5-0CD32E6D8E02}" type="sibTrans">
      <dgm:prSet/>
      <dgm:spPr/>
      <dgm:t>
        <a:bodyPr/>
        <a:p>
          <a:endParaRPr lang="ru-RU">
            <a:latin typeface="Times New Roman" panose="02020603050405020304" charset="0"/>
            <a:cs typeface="Times New Roman" panose="02020603050405020304" charset="0"/>
          </a:endParaRPr>
        </a:p>
      </dgm:t>
    </dgm:pt>
    <dgm:pt modelId="{32878D9E-21EA-4357-9528-63440A7676AE}">
      <dgm:prSet phldr="0" custT="1"/>
      <dgm:spPr/>
      <dgm:t>
        <a:bodyPr vert="horz" wrap="square"/>
        <a:p>
          <a:pPr>
            <a:lnSpc>
              <a:spcPct val="100000"/>
            </a:lnSpc>
            <a:spcBef>
              <a:spcPct val="0"/>
            </a:spcBef>
            <a:spcAft>
              <a:spcPct val="35000"/>
            </a:spcAft>
          </a:pPr>
          <a:r>
            <a:rPr lang="ru-RU" sz="1400">
              <a:latin typeface="Times New Roman" panose="02020603050405020304" charset="0"/>
              <a:cs typeface="Times New Roman" panose="02020603050405020304" charset="0"/>
            </a:rPr>
            <a:t>Экономический отдел</a:t>
          </a:r>
          <a:r>
            <a:rPr sz="1400"/>
            <a:t/>
          </a:r>
          <a:endParaRPr sz="1400"/>
        </a:p>
      </dgm:t>
    </dgm:pt>
    <dgm:pt modelId="{14CA1619-C3D0-4B9C-A7FD-39DE1039A657}" cxnId="{832C46DB-82B3-44D3-A396-7F6CD29EC66D}" type="parTrans">
      <dgm:prSet/>
      <dgm:spPr/>
      <dgm:t>
        <a:bodyPr/>
        <a:p>
          <a:endParaRPr lang="ru-RU">
            <a:latin typeface="Times New Roman" panose="02020603050405020304" charset="0"/>
            <a:cs typeface="Times New Roman" panose="02020603050405020304" charset="0"/>
          </a:endParaRPr>
        </a:p>
      </dgm:t>
    </dgm:pt>
    <dgm:pt modelId="{3B610B41-1AD8-4AFC-96F4-9D8EC9A99AD6}" cxnId="{832C46DB-82B3-44D3-A396-7F6CD29EC66D}" type="sibTrans">
      <dgm:prSet/>
      <dgm:spPr/>
      <dgm:t>
        <a:bodyPr/>
        <a:p>
          <a:endParaRPr lang="ru-RU">
            <a:latin typeface="Times New Roman" panose="02020603050405020304" charset="0"/>
            <a:cs typeface="Times New Roman" panose="02020603050405020304" charset="0"/>
          </a:endParaRPr>
        </a:p>
      </dgm:t>
    </dgm:pt>
    <dgm:pt modelId="{5C32B023-EC67-4E0C-9757-130A638F392C}">
      <dgm:prSet phldr="0" custT="1"/>
      <dgm:spPr/>
      <dgm:t>
        <a:bodyPr vert="horz" wrap="square"/>
        <a:p>
          <a:pPr>
            <a:lnSpc>
              <a:spcPct val="100000"/>
            </a:lnSpc>
            <a:spcBef>
              <a:spcPct val="0"/>
            </a:spcBef>
            <a:spcAft>
              <a:spcPct val="35000"/>
            </a:spcAft>
          </a:pPr>
          <a:r>
            <a:rPr lang="ru-RU" sz="1400">
              <a:latin typeface="Times New Roman" panose="02020603050405020304" charset="0"/>
              <a:cs typeface="Times New Roman" panose="02020603050405020304" charset="0"/>
            </a:rPr>
            <a:t>Бухгалтерия</a:t>
          </a:r>
          <a:r>
            <a:rPr sz="1400"/>
            <a:t/>
          </a:r>
          <a:endParaRPr sz="1400"/>
        </a:p>
      </dgm:t>
    </dgm:pt>
    <dgm:pt modelId="{7496450A-812B-4027-8D03-8E7FD233DD3E}" cxnId="{06981620-5CB9-4F36-9BB4-1BBFC75B4FC3}" type="parTrans">
      <dgm:prSet/>
      <dgm:spPr/>
      <dgm:t>
        <a:bodyPr/>
        <a:p>
          <a:endParaRPr lang="ru-RU">
            <a:latin typeface="Times New Roman" panose="02020603050405020304" charset="0"/>
            <a:cs typeface="Times New Roman" panose="02020603050405020304" charset="0"/>
          </a:endParaRPr>
        </a:p>
      </dgm:t>
    </dgm:pt>
    <dgm:pt modelId="{E620DB17-F7B7-48F1-8ED9-19B9A1BA3D70}" cxnId="{06981620-5CB9-4F36-9BB4-1BBFC75B4FC3}" type="sibTrans">
      <dgm:prSet/>
      <dgm:spPr/>
      <dgm:t>
        <a:bodyPr/>
        <a:p>
          <a:endParaRPr lang="ru-RU">
            <a:latin typeface="Times New Roman" panose="02020603050405020304" charset="0"/>
            <a:cs typeface="Times New Roman" panose="02020603050405020304" charset="0"/>
          </a:endParaRPr>
        </a:p>
      </dgm:t>
    </dgm:pt>
    <dgm:pt modelId="{623D18D6-E846-415B-A99D-F7169C824EEA}">
      <dgm:prSet phldr="0" custT="1"/>
      <dgm:spPr/>
      <dgm:t>
        <a:bodyPr vert="horz" wrap="square"/>
        <a:p>
          <a:pPr>
            <a:lnSpc>
              <a:spcPct val="100000"/>
            </a:lnSpc>
            <a:spcBef>
              <a:spcPct val="0"/>
            </a:spcBef>
            <a:spcAft>
              <a:spcPct val="35000"/>
            </a:spcAft>
          </a:pPr>
          <a:r>
            <a:rPr lang="ru-RU" sz="1400">
              <a:latin typeface="Times New Roman" panose="02020603050405020304" charset="0"/>
              <a:cs typeface="Times New Roman" panose="02020603050405020304" charset="0"/>
            </a:rPr>
            <a:t>Служба безопасности</a:t>
          </a:r>
          <a:r>
            <a:rPr sz="1400"/>
            <a:t/>
          </a:r>
          <a:endParaRPr sz="1400"/>
        </a:p>
      </dgm:t>
    </dgm:pt>
    <dgm:pt modelId="{1660E56E-42AF-4C8C-89EB-6D0B0D60FE50}" cxnId="{5E7F9057-7B4A-427A-A0B7-F61160874531}" type="parTrans">
      <dgm:prSet/>
      <dgm:spPr/>
      <dgm:t>
        <a:bodyPr/>
        <a:p>
          <a:endParaRPr lang="ru-RU">
            <a:latin typeface="Times New Roman" panose="02020603050405020304" charset="0"/>
            <a:cs typeface="Times New Roman" panose="02020603050405020304" charset="0"/>
          </a:endParaRPr>
        </a:p>
      </dgm:t>
    </dgm:pt>
    <dgm:pt modelId="{01920473-7749-45F6-87C3-56BC0F0E176C}" cxnId="{5E7F9057-7B4A-427A-A0B7-F61160874531}" type="sibTrans">
      <dgm:prSet/>
      <dgm:spPr/>
      <dgm:t>
        <a:bodyPr/>
        <a:p>
          <a:endParaRPr lang="ru-RU">
            <a:latin typeface="Times New Roman" panose="02020603050405020304" charset="0"/>
            <a:cs typeface="Times New Roman" panose="02020603050405020304" charset="0"/>
          </a:endParaRPr>
        </a:p>
      </dgm:t>
    </dgm:pt>
    <dgm:pt modelId="{4B7A8491-426B-4D65-AAF2-F175C3968F09}" type="pres">
      <dgm:prSet presAssocID="{10D47AA0-516D-4CAC-980D-7121C92FC1E0}" presName="hierChild1" presStyleCnt="0">
        <dgm:presLayoutVars>
          <dgm:orgChart val="1"/>
          <dgm:chPref val="1"/>
          <dgm:dir/>
          <dgm:animOne val="branch"/>
          <dgm:animLvl val="lvl"/>
          <dgm:resizeHandles/>
        </dgm:presLayoutVars>
      </dgm:prSet>
      <dgm:spPr/>
      <dgm:t>
        <a:bodyPr/>
        <a:p>
          <a:endParaRPr lang="ru-RU"/>
        </a:p>
      </dgm:t>
    </dgm:pt>
    <dgm:pt modelId="{0B573F45-E1DD-45A4-B023-DF135FCFAB5F}" type="pres">
      <dgm:prSet presAssocID="{69BA8728-A20A-4BD4-9CEF-E598FC2153BC}" presName="hierRoot1" presStyleCnt="0">
        <dgm:presLayoutVars>
          <dgm:hierBranch val="init"/>
        </dgm:presLayoutVars>
      </dgm:prSet>
      <dgm:spPr/>
    </dgm:pt>
    <dgm:pt modelId="{7DF54315-A203-458F-80DC-94C6D312D3E6}" type="pres">
      <dgm:prSet presAssocID="{69BA8728-A20A-4BD4-9CEF-E598FC2153BC}" presName="rootComposite1" presStyleCnt="0"/>
      <dgm:spPr/>
    </dgm:pt>
    <dgm:pt modelId="{6400FF32-1B9B-4A0E-861A-E8EB051C6B26}" type="pres">
      <dgm:prSet presAssocID="{69BA8728-A20A-4BD4-9CEF-E598FC2153BC}" presName="rootText1" presStyleLbl="node0" presStyleIdx="0" presStyleCnt="1" custScaleX="154926">
        <dgm:presLayoutVars>
          <dgm:chPref val="3"/>
        </dgm:presLayoutVars>
      </dgm:prSet>
      <dgm:spPr/>
      <dgm:t>
        <a:bodyPr/>
        <a:p>
          <a:endParaRPr lang="ru-RU"/>
        </a:p>
      </dgm:t>
    </dgm:pt>
    <dgm:pt modelId="{F72F77A5-7CDA-4919-A1C4-87AF96B1ECF2}" type="pres">
      <dgm:prSet presAssocID="{69BA8728-A20A-4BD4-9CEF-E598FC2153BC}" presName="rootConnector1" presStyleCnt="0"/>
      <dgm:spPr/>
      <dgm:t>
        <a:bodyPr/>
        <a:p>
          <a:endParaRPr lang="ru-RU"/>
        </a:p>
      </dgm:t>
    </dgm:pt>
    <dgm:pt modelId="{4DEA7C6B-6182-4C5A-821D-4A509553FBB2}" type="pres">
      <dgm:prSet presAssocID="{69BA8728-A20A-4BD4-9CEF-E598FC2153BC}" presName="hierChild2" presStyleCnt="0"/>
      <dgm:spPr/>
    </dgm:pt>
    <dgm:pt modelId="{17EFFF15-6E52-4161-971B-9FB2165CA843}" type="pres">
      <dgm:prSet presAssocID="{F21D20DB-DEDD-4558-B4E1-15B008EB29F0}" presName="Name37" presStyleLbl="parChTrans1D2" presStyleIdx="0" presStyleCnt="3"/>
      <dgm:spPr/>
      <dgm:t>
        <a:bodyPr/>
        <a:p>
          <a:endParaRPr lang="ru-RU"/>
        </a:p>
      </dgm:t>
    </dgm:pt>
    <dgm:pt modelId="{48A207D0-CD9F-4539-BA59-6523886AD45E}" type="pres">
      <dgm:prSet presAssocID="{AB5A91D5-6866-4849-956A-A3DA25140DFA}" presName="hierRoot2" presStyleCnt="0">
        <dgm:presLayoutVars>
          <dgm:hierBranch val="init"/>
        </dgm:presLayoutVars>
      </dgm:prSet>
      <dgm:spPr/>
    </dgm:pt>
    <dgm:pt modelId="{0F64A0BA-1387-4F02-AAF6-8FB42C8C506E}" type="pres">
      <dgm:prSet presAssocID="{AB5A91D5-6866-4849-956A-A3DA25140DFA}" presName="rootComposite" presStyleCnt="0"/>
      <dgm:spPr/>
    </dgm:pt>
    <dgm:pt modelId="{FFABBA8E-2F37-48E8-9C8E-527CC7C60ADC}" type="pres">
      <dgm:prSet presAssocID="{AB5A91D5-6866-4849-956A-A3DA25140DFA}" presName="rootText" presStyleLbl="node2" presStyleIdx="0" presStyleCnt="3" custScaleX="154926" custLinFactNeighborX="-27259" custLinFactNeighborY="334">
        <dgm:presLayoutVars>
          <dgm:chPref val="3"/>
        </dgm:presLayoutVars>
      </dgm:prSet>
      <dgm:spPr/>
      <dgm:t>
        <a:bodyPr/>
        <a:p>
          <a:endParaRPr lang="ru-RU"/>
        </a:p>
      </dgm:t>
    </dgm:pt>
    <dgm:pt modelId="{0FAA7857-51FB-4AE7-B8D5-BE6B75D5F32D}" type="pres">
      <dgm:prSet presAssocID="{AB5A91D5-6866-4849-956A-A3DA25140DFA}" presName="rootConnector" presStyleCnt="0"/>
      <dgm:spPr/>
      <dgm:t>
        <a:bodyPr/>
        <a:p>
          <a:endParaRPr lang="ru-RU"/>
        </a:p>
      </dgm:t>
    </dgm:pt>
    <dgm:pt modelId="{8F69DC69-CB98-4BAE-9B39-393E71CC30EC}" type="pres">
      <dgm:prSet presAssocID="{AB5A91D5-6866-4849-956A-A3DA25140DFA}" presName="hierChild4" presStyleCnt="0"/>
      <dgm:spPr/>
    </dgm:pt>
    <dgm:pt modelId="{855D7281-B591-44C7-A500-B29E773C2F8F}" type="pres">
      <dgm:prSet presAssocID="{C7965A7B-0CB9-433F-A618-DDAEE7F5F7E6}" presName="Name37" presStyleLbl="parChTrans1D3" presStyleIdx="0" presStyleCnt="7"/>
      <dgm:spPr/>
      <dgm:t>
        <a:bodyPr/>
        <a:p>
          <a:endParaRPr lang="ru-RU"/>
        </a:p>
      </dgm:t>
    </dgm:pt>
    <dgm:pt modelId="{40C080E8-E25F-4EBE-8A06-6D3E0FFCB3A3}" type="pres">
      <dgm:prSet presAssocID="{036DA0D5-C4F5-4037-828F-3A667AB602B8}" presName="hierRoot2" presStyleCnt="0">
        <dgm:presLayoutVars>
          <dgm:hierBranch val="init"/>
        </dgm:presLayoutVars>
      </dgm:prSet>
      <dgm:spPr/>
    </dgm:pt>
    <dgm:pt modelId="{4AA83994-13CA-4E72-937A-F2F7390E9C7E}" type="pres">
      <dgm:prSet presAssocID="{036DA0D5-C4F5-4037-828F-3A667AB602B8}" presName="rootComposite" presStyleCnt="0"/>
      <dgm:spPr/>
    </dgm:pt>
    <dgm:pt modelId="{056E5AEF-217C-4230-8AE5-6288018780AA}" type="pres">
      <dgm:prSet presAssocID="{036DA0D5-C4F5-4037-828F-3A667AB602B8}" presName="rootText" presStyleLbl="node3" presStyleIdx="0" presStyleCnt="7" custScaleX="154926" custLinFactNeighborX="-27259" custLinFactNeighborY="334">
        <dgm:presLayoutVars>
          <dgm:chPref val="3"/>
        </dgm:presLayoutVars>
      </dgm:prSet>
      <dgm:spPr/>
      <dgm:t>
        <a:bodyPr/>
        <a:p>
          <a:endParaRPr lang="ru-RU"/>
        </a:p>
      </dgm:t>
    </dgm:pt>
    <dgm:pt modelId="{108B46E4-B555-4C64-87BD-51264CB3CC38}" type="pres">
      <dgm:prSet presAssocID="{036DA0D5-C4F5-4037-828F-3A667AB602B8}" presName="rootConnector" presStyleCnt="0"/>
      <dgm:spPr/>
      <dgm:t>
        <a:bodyPr/>
        <a:p>
          <a:endParaRPr lang="ru-RU"/>
        </a:p>
      </dgm:t>
    </dgm:pt>
    <dgm:pt modelId="{75570674-31C6-4A5D-9086-2EDE6193455E}" type="pres">
      <dgm:prSet presAssocID="{036DA0D5-C4F5-4037-828F-3A667AB602B8}" presName="hierChild4" presStyleCnt="0"/>
      <dgm:spPr/>
    </dgm:pt>
    <dgm:pt modelId="{B4CAE252-86F7-48F4-B1F7-1A061D22A471}" type="pres">
      <dgm:prSet presAssocID="{036DA0D5-C4F5-4037-828F-3A667AB602B8}" presName="hierChild5" presStyleCnt="0"/>
      <dgm:spPr/>
    </dgm:pt>
    <dgm:pt modelId="{8A18E733-86FF-45B3-A3E5-644A39066A02}" type="pres">
      <dgm:prSet presAssocID="{1386B6B1-9801-4A99-9AF0-782B539A4AC3}" presName="Name37" presStyleLbl="parChTrans1D3" presStyleIdx="1" presStyleCnt="7"/>
      <dgm:spPr/>
      <dgm:t>
        <a:bodyPr/>
        <a:p>
          <a:endParaRPr lang="ru-RU"/>
        </a:p>
      </dgm:t>
    </dgm:pt>
    <dgm:pt modelId="{724314D4-49BC-4FDA-9E9F-2AB47D2C530E}" type="pres">
      <dgm:prSet presAssocID="{5B444C07-3626-47E1-952B-46078B1D38C0}" presName="hierRoot2" presStyleCnt="0">
        <dgm:presLayoutVars>
          <dgm:hierBranch val="init"/>
        </dgm:presLayoutVars>
      </dgm:prSet>
      <dgm:spPr/>
    </dgm:pt>
    <dgm:pt modelId="{27E75AD2-B568-430D-A9BC-EBB7F7026FD1}" type="pres">
      <dgm:prSet presAssocID="{5B444C07-3626-47E1-952B-46078B1D38C0}" presName="rootComposite" presStyleCnt="0"/>
      <dgm:spPr/>
    </dgm:pt>
    <dgm:pt modelId="{BB81DA25-8873-403C-A7B7-749297E73B8A}" type="pres">
      <dgm:prSet presAssocID="{5B444C07-3626-47E1-952B-46078B1D38C0}" presName="rootText" presStyleLbl="node3" presStyleIdx="1" presStyleCnt="7" custScaleX="154926" custLinFactNeighborX="-27259" custLinFactNeighborY="334">
        <dgm:presLayoutVars>
          <dgm:chPref val="3"/>
        </dgm:presLayoutVars>
      </dgm:prSet>
      <dgm:spPr/>
      <dgm:t>
        <a:bodyPr/>
        <a:p>
          <a:endParaRPr lang="ru-RU"/>
        </a:p>
      </dgm:t>
    </dgm:pt>
    <dgm:pt modelId="{46C50689-2465-44AE-B1C5-1F1AE1E25486}" type="pres">
      <dgm:prSet presAssocID="{5B444C07-3626-47E1-952B-46078B1D38C0}" presName="rootConnector" presStyleCnt="0"/>
      <dgm:spPr/>
      <dgm:t>
        <a:bodyPr/>
        <a:p>
          <a:endParaRPr lang="ru-RU"/>
        </a:p>
      </dgm:t>
    </dgm:pt>
    <dgm:pt modelId="{9D14C8DF-F73F-4713-966A-8A0731D3197A}" type="pres">
      <dgm:prSet presAssocID="{5B444C07-3626-47E1-952B-46078B1D38C0}" presName="hierChild4" presStyleCnt="0"/>
      <dgm:spPr/>
    </dgm:pt>
    <dgm:pt modelId="{A314D2FC-95B9-4844-9288-D2A1435A4AC5}" type="pres">
      <dgm:prSet presAssocID="{5B444C07-3626-47E1-952B-46078B1D38C0}" presName="hierChild5" presStyleCnt="0"/>
      <dgm:spPr/>
    </dgm:pt>
    <dgm:pt modelId="{37688739-D1C6-4B1F-B9FC-2BF798A02A35}" type="pres">
      <dgm:prSet presAssocID="{63C59760-EB99-4D9B-B782-CB306C44E1F6}" presName="Name37" presStyleLbl="parChTrans1D3" presStyleIdx="2" presStyleCnt="7"/>
      <dgm:spPr/>
      <dgm:t>
        <a:bodyPr/>
        <a:p>
          <a:endParaRPr lang="ru-RU"/>
        </a:p>
      </dgm:t>
    </dgm:pt>
    <dgm:pt modelId="{4FA3807F-C915-4E27-B3AD-591AF68D2F64}" type="pres">
      <dgm:prSet presAssocID="{47E2C698-8312-4D5B-BFEA-49019777703E}" presName="hierRoot2" presStyleCnt="0">
        <dgm:presLayoutVars>
          <dgm:hierBranch val="init"/>
        </dgm:presLayoutVars>
      </dgm:prSet>
      <dgm:spPr/>
    </dgm:pt>
    <dgm:pt modelId="{02C16D24-D30E-449B-A825-CCE4420B5E61}" type="pres">
      <dgm:prSet presAssocID="{47E2C698-8312-4D5B-BFEA-49019777703E}" presName="rootComposite" presStyleCnt="0"/>
      <dgm:spPr/>
    </dgm:pt>
    <dgm:pt modelId="{10F2B7FE-1C5E-449F-9987-2491EFB10CBB}" type="pres">
      <dgm:prSet presAssocID="{47E2C698-8312-4D5B-BFEA-49019777703E}" presName="rootText" presStyleLbl="node3" presStyleIdx="2" presStyleCnt="7" custScaleX="154926" custLinFactNeighborX="-27259" custLinFactNeighborY="334">
        <dgm:presLayoutVars>
          <dgm:chPref val="3"/>
        </dgm:presLayoutVars>
      </dgm:prSet>
      <dgm:spPr/>
      <dgm:t>
        <a:bodyPr/>
        <a:p>
          <a:endParaRPr lang="ru-RU"/>
        </a:p>
      </dgm:t>
    </dgm:pt>
    <dgm:pt modelId="{428A21F5-B7BB-4DD0-9CE7-D8340A5AC9CD}" type="pres">
      <dgm:prSet presAssocID="{47E2C698-8312-4D5B-BFEA-49019777703E}" presName="rootConnector" presStyleCnt="0"/>
      <dgm:spPr/>
      <dgm:t>
        <a:bodyPr/>
        <a:p>
          <a:endParaRPr lang="ru-RU"/>
        </a:p>
      </dgm:t>
    </dgm:pt>
    <dgm:pt modelId="{087C1659-1536-49A2-B966-92DB48707456}" type="pres">
      <dgm:prSet presAssocID="{47E2C698-8312-4D5B-BFEA-49019777703E}" presName="hierChild4" presStyleCnt="0"/>
      <dgm:spPr/>
    </dgm:pt>
    <dgm:pt modelId="{A476154A-EDE6-4151-8A8D-48F065BAD141}" type="pres">
      <dgm:prSet presAssocID="{47E2C698-8312-4D5B-BFEA-49019777703E}" presName="hierChild5" presStyleCnt="0"/>
      <dgm:spPr/>
    </dgm:pt>
    <dgm:pt modelId="{74477E64-8829-4991-9C90-34E3490BAE14}" type="pres">
      <dgm:prSet presAssocID="{E00B126F-4DCE-45C6-823C-3D2A0817308C}" presName="Name37" presStyleLbl="parChTrans1D3" presStyleIdx="3" presStyleCnt="7"/>
      <dgm:spPr/>
      <dgm:t>
        <a:bodyPr/>
        <a:p>
          <a:endParaRPr lang="ru-RU"/>
        </a:p>
      </dgm:t>
    </dgm:pt>
    <dgm:pt modelId="{DBC07D54-701E-403A-AA4E-450DE59AE6EC}" type="pres">
      <dgm:prSet presAssocID="{2C98DCF5-DB08-4F16-A88D-B4DC113E7704}" presName="hierRoot2" presStyleCnt="0">
        <dgm:presLayoutVars>
          <dgm:hierBranch val="init"/>
        </dgm:presLayoutVars>
      </dgm:prSet>
      <dgm:spPr/>
    </dgm:pt>
    <dgm:pt modelId="{E20D2F78-81B6-44E8-A366-DBBF92274886}" type="pres">
      <dgm:prSet presAssocID="{2C98DCF5-DB08-4F16-A88D-B4DC113E7704}" presName="rootComposite" presStyleCnt="0"/>
      <dgm:spPr/>
    </dgm:pt>
    <dgm:pt modelId="{674F11FC-7095-407F-A466-7D4A160294FC}" type="pres">
      <dgm:prSet presAssocID="{2C98DCF5-DB08-4F16-A88D-B4DC113E7704}" presName="rootText" presStyleLbl="node3" presStyleIdx="3" presStyleCnt="7" custScaleX="154926" custLinFactNeighborX="-27259" custLinFactNeighborY="334">
        <dgm:presLayoutVars>
          <dgm:chPref val="3"/>
        </dgm:presLayoutVars>
      </dgm:prSet>
      <dgm:spPr/>
      <dgm:t>
        <a:bodyPr/>
        <a:p>
          <a:endParaRPr lang="ru-RU"/>
        </a:p>
      </dgm:t>
    </dgm:pt>
    <dgm:pt modelId="{DE326813-CB1A-465E-BBEE-C8C197EEF8A5}" type="pres">
      <dgm:prSet presAssocID="{2C98DCF5-DB08-4F16-A88D-B4DC113E7704}" presName="rootConnector" presStyleCnt="0"/>
      <dgm:spPr/>
      <dgm:t>
        <a:bodyPr/>
        <a:p>
          <a:endParaRPr lang="ru-RU"/>
        </a:p>
      </dgm:t>
    </dgm:pt>
    <dgm:pt modelId="{70B7B597-38E9-4531-9E4B-E735C789C5AE}" type="pres">
      <dgm:prSet presAssocID="{2C98DCF5-DB08-4F16-A88D-B4DC113E7704}" presName="hierChild4" presStyleCnt="0"/>
      <dgm:spPr/>
    </dgm:pt>
    <dgm:pt modelId="{33323407-1E8D-4558-8D42-238C185EA1A3}" type="pres">
      <dgm:prSet presAssocID="{2C98DCF5-DB08-4F16-A88D-B4DC113E7704}" presName="hierChild5" presStyleCnt="0"/>
      <dgm:spPr/>
    </dgm:pt>
    <dgm:pt modelId="{7D649237-1ED6-481D-99D0-F829254F984E}" type="pres">
      <dgm:prSet presAssocID="{AB5A91D5-6866-4849-956A-A3DA25140DFA}" presName="hierChild5" presStyleCnt="0"/>
      <dgm:spPr/>
    </dgm:pt>
    <dgm:pt modelId="{58EAF7F0-787A-40BF-93A3-A26A1F30E6E8}" type="pres">
      <dgm:prSet presAssocID="{AA86EDC9-E251-4E5C-B578-94CC8EF64B4A}" presName="Name37" presStyleLbl="parChTrans1D2" presStyleIdx="1" presStyleCnt="3"/>
      <dgm:spPr/>
      <dgm:t>
        <a:bodyPr/>
        <a:p>
          <a:endParaRPr lang="ru-RU"/>
        </a:p>
      </dgm:t>
    </dgm:pt>
    <dgm:pt modelId="{F0274AB0-C789-4F99-8315-C82D5DD3E2B7}" type="pres">
      <dgm:prSet presAssocID="{9B783AB4-F2F2-401B-AF60-7B6C3AF0C697}" presName="hierRoot2" presStyleCnt="0">
        <dgm:presLayoutVars>
          <dgm:hierBranch val="init"/>
        </dgm:presLayoutVars>
      </dgm:prSet>
      <dgm:spPr/>
    </dgm:pt>
    <dgm:pt modelId="{5BB7C5F8-3CD9-41BB-9DD0-7FC6E61A575E}" type="pres">
      <dgm:prSet presAssocID="{9B783AB4-F2F2-401B-AF60-7B6C3AF0C697}" presName="rootComposite" presStyleCnt="0"/>
      <dgm:spPr/>
    </dgm:pt>
    <dgm:pt modelId="{9F516359-A5FE-43D4-9CDC-64ACBCA2E2B3}" type="pres">
      <dgm:prSet presAssocID="{9B783AB4-F2F2-401B-AF60-7B6C3AF0C697}" presName="rootText" presStyleLbl="node2" presStyleIdx="1" presStyleCnt="3" custScaleX="154926">
        <dgm:presLayoutVars>
          <dgm:chPref val="3"/>
        </dgm:presLayoutVars>
      </dgm:prSet>
      <dgm:spPr/>
      <dgm:t>
        <a:bodyPr/>
        <a:p>
          <a:endParaRPr lang="ru-RU"/>
        </a:p>
      </dgm:t>
    </dgm:pt>
    <dgm:pt modelId="{70651652-77E6-44B4-8FD5-D7099554A197}" type="pres">
      <dgm:prSet presAssocID="{9B783AB4-F2F2-401B-AF60-7B6C3AF0C697}" presName="rootConnector" presStyleCnt="0"/>
      <dgm:spPr/>
      <dgm:t>
        <a:bodyPr/>
        <a:p>
          <a:endParaRPr lang="ru-RU"/>
        </a:p>
      </dgm:t>
    </dgm:pt>
    <dgm:pt modelId="{00DCE32B-A69E-41B9-95AC-FCF357AC8FBF}" type="pres">
      <dgm:prSet presAssocID="{9B783AB4-F2F2-401B-AF60-7B6C3AF0C697}" presName="hierChild4" presStyleCnt="0"/>
      <dgm:spPr/>
    </dgm:pt>
    <dgm:pt modelId="{9E7BFE82-9929-4F88-8FFF-68FE798BD156}" type="pres">
      <dgm:prSet presAssocID="{084D1C6C-0B6F-4A44-934C-67EDA2B8BDF5}" presName="Name37" presStyleLbl="parChTrans1D3" presStyleIdx="4" presStyleCnt="7"/>
      <dgm:spPr/>
      <dgm:t>
        <a:bodyPr/>
        <a:p>
          <a:endParaRPr lang="ru-RU"/>
        </a:p>
      </dgm:t>
    </dgm:pt>
    <dgm:pt modelId="{8021C8EB-16E3-4E29-83F8-49D93940C52D}" type="pres">
      <dgm:prSet presAssocID="{1F1FA7FD-9B82-49CC-AD8D-BF080D097DFA}" presName="hierRoot2" presStyleCnt="0">
        <dgm:presLayoutVars>
          <dgm:hierBranch val="init"/>
        </dgm:presLayoutVars>
      </dgm:prSet>
      <dgm:spPr/>
    </dgm:pt>
    <dgm:pt modelId="{1C827869-2BA9-4D00-AF21-1761FE9BAF8A}" type="pres">
      <dgm:prSet presAssocID="{1F1FA7FD-9B82-49CC-AD8D-BF080D097DFA}" presName="rootComposite" presStyleCnt="0"/>
      <dgm:spPr/>
    </dgm:pt>
    <dgm:pt modelId="{E5E522C4-9BDF-41B9-A7A6-9771DCBBC408}" type="pres">
      <dgm:prSet presAssocID="{1F1FA7FD-9B82-49CC-AD8D-BF080D097DFA}" presName="rootText" presStyleLbl="node3" presStyleIdx="4" presStyleCnt="7" custScaleX="154926">
        <dgm:presLayoutVars>
          <dgm:chPref val="3"/>
        </dgm:presLayoutVars>
      </dgm:prSet>
      <dgm:spPr/>
      <dgm:t>
        <a:bodyPr/>
        <a:p>
          <a:endParaRPr lang="ru-RU"/>
        </a:p>
      </dgm:t>
    </dgm:pt>
    <dgm:pt modelId="{85F4A319-56EF-4B6F-8756-51522C01116A}" type="pres">
      <dgm:prSet presAssocID="{1F1FA7FD-9B82-49CC-AD8D-BF080D097DFA}" presName="rootConnector" presStyleCnt="0"/>
      <dgm:spPr/>
      <dgm:t>
        <a:bodyPr/>
        <a:p>
          <a:endParaRPr lang="ru-RU"/>
        </a:p>
      </dgm:t>
    </dgm:pt>
    <dgm:pt modelId="{A91C341B-F6E6-4D31-9263-080EEE6380C2}" type="pres">
      <dgm:prSet presAssocID="{1F1FA7FD-9B82-49CC-AD8D-BF080D097DFA}" presName="hierChild4" presStyleCnt="0"/>
      <dgm:spPr/>
    </dgm:pt>
    <dgm:pt modelId="{A6B5E90E-78E4-4D80-96CF-9BC1F2104086}" type="pres">
      <dgm:prSet presAssocID="{1F1FA7FD-9B82-49CC-AD8D-BF080D097DFA}" presName="hierChild5" presStyleCnt="0"/>
      <dgm:spPr/>
    </dgm:pt>
    <dgm:pt modelId="{8224C4DD-3948-472C-AED5-A03C4DC0D720}" type="pres">
      <dgm:prSet presAssocID="{C0385371-F216-459C-8F34-22C123D817EE}" presName="Name37" presStyleLbl="parChTrans1D3" presStyleIdx="5" presStyleCnt="7"/>
      <dgm:spPr/>
      <dgm:t>
        <a:bodyPr/>
        <a:p>
          <a:endParaRPr lang="ru-RU"/>
        </a:p>
      </dgm:t>
    </dgm:pt>
    <dgm:pt modelId="{046768EE-DD14-45B8-AC9E-6948F0A52B20}" type="pres">
      <dgm:prSet presAssocID="{90097FF3-F890-45C7-8DAC-38941F5C4112}" presName="hierRoot2" presStyleCnt="0">
        <dgm:presLayoutVars>
          <dgm:hierBranch val="init"/>
        </dgm:presLayoutVars>
      </dgm:prSet>
      <dgm:spPr/>
    </dgm:pt>
    <dgm:pt modelId="{940F8EE5-BE04-4D2A-A0DE-894B1AAC0CCA}" type="pres">
      <dgm:prSet presAssocID="{90097FF3-F890-45C7-8DAC-38941F5C4112}" presName="rootComposite" presStyleCnt="0"/>
      <dgm:spPr/>
    </dgm:pt>
    <dgm:pt modelId="{EC26A430-78E4-4AE5-AB8E-DA1B07A3B46F}" type="pres">
      <dgm:prSet presAssocID="{90097FF3-F890-45C7-8DAC-38941F5C4112}" presName="rootText" presStyleLbl="node3" presStyleIdx="5" presStyleCnt="7" custScaleX="154926">
        <dgm:presLayoutVars>
          <dgm:chPref val="3"/>
        </dgm:presLayoutVars>
      </dgm:prSet>
      <dgm:spPr/>
      <dgm:t>
        <a:bodyPr/>
        <a:p>
          <a:endParaRPr lang="ru-RU"/>
        </a:p>
      </dgm:t>
    </dgm:pt>
    <dgm:pt modelId="{0AC04963-CCFE-4531-BB72-40654B769A9A}" type="pres">
      <dgm:prSet presAssocID="{90097FF3-F890-45C7-8DAC-38941F5C4112}" presName="rootConnector" presStyleCnt="0"/>
      <dgm:spPr/>
      <dgm:t>
        <a:bodyPr/>
        <a:p>
          <a:endParaRPr lang="ru-RU"/>
        </a:p>
      </dgm:t>
    </dgm:pt>
    <dgm:pt modelId="{C4DA31BA-DEF2-4CF9-AD63-8220F20F3162}" type="pres">
      <dgm:prSet presAssocID="{90097FF3-F890-45C7-8DAC-38941F5C4112}" presName="hierChild4" presStyleCnt="0"/>
      <dgm:spPr/>
    </dgm:pt>
    <dgm:pt modelId="{731287ED-3949-4641-87CB-D8BB53FB4529}" type="pres">
      <dgm:prSet presAssocID="{90097FF3-F890-45C7-8DAC-38941F5C4112}" presName="hierChild5" presStyleCnt="0"/>
      <dgm:spPr/>
    </dgm:pt>
    <dgm:pt modelId="{F85F4A7C-F462-4AED-85FB-BE0CBA72BC34}" type="pres">
      <dgm:prSet presAssocID="{9B783AB4-F2F2-401B-AF60-7B6C3AF0C697}" presName="hierChild5" presStyleCnt="0"/>
      <dgm:spPr/>
    </dgm:pt>
    <dgm:pt modelId="{FD1C4D27-B948-453B-9345-11EBFF31FC42}" type="pres">
      <dgm:prSet presAssocID="{761AE639-265C-4BDF-A139-7029FE0DB2D3}" presName="Name37" presStyleLbl="parChTrans1D2" presStyleIdx="2" presStyleCnt="3"/>
      <dgm:spPr/>
      <dgm:t>
        <a:bodyPr/>
        <a:p>
          <a:endParaRPr lang="ru-RU"/>
        </a:p>
      </dgm:t>
    </dgm:pt>
    <dgm:pt modelId="{5B811D7F-C55A-4D8B-9DB7-28D9EC5B7D2E}" type="pres">
      <dgm:prSet presAssocID="{327CE198-7CA3-4F9D-A9ED-DCA721858FF8}" presName="hierRoot2" presStyleCnt="0">
        <dgm:presLayoutVars>
          <dgm:hierBranch val="init"/>
        </dgm:presLayoutVars>
      </dgm:prSet>
      <dgm:spPr/>
    </dgm:pt>
    <dgm:pt modelId="{6972C1C0-A92B-4965-9239-B7EF7AFF2C93}" type="pres">
      <dgm:prSet presAssocID="{327CE198-7CA3-4F9D-A9ED-DCA721858FF8}" presName="rootComposite" presStyleCnt="0"/>
      <dgm:spPr/>
    </dgm:pt>
    <dgm:pt modelId="{717B80C5-64A4-4A1E-9832-5F75427CC754}" type="pres">
      <dgm:prSet presAssocID="{327CE198-7CA3-4F9D-A9ED-DCA721858FF8}" presName="rootText" presStyleLbl="node2" presStyleIdx="2" presStyleCnt="3" custScaleX="154926">
        <dgm:presLayoutVars>
          <dgm:chPref val="3"/>
        </dgm:presLayoutVars>
      </dgm:prSet>
      <dgm:spPr/>
      <dgm:t>
        <a:bodyPr/>
        <a:p>
          <a:endParaRPr lang="ru-RU"/>
        </a:p>
      </dgm:t>
    </dgm:pt>
    <dgm:pt modelId="{065F68EA-DCFB-4074-86AD-E1ED956039AB}" type="pres">
      <dgm:prSet presAssocID="{327CE198-7CA3-4F9D-A9ED-DCA721858FF8}" presName="rootConnector" presStyleCnt="0"/>
      <dgm:spPr/>
      <dgm:t>
        <a:bodyPr/>
        <a:p>
          <a:endParaRPr lang="ru-RU"/>
        </a:p>
      </dgm:t>
    </dgm:pt>
    <dgm:pt modelId="{0E4D3D36-A094-4F17-8B6C-D86A3067E84F}" type="pres">
      <dgm:prSet presAssocID="{327CE198-7CA3-4F9D-A9ED-DCA721858FF8}" presName="hierChild4" presStyleCnt="0"/>
      <dgm:spPr/>
    </dgm:pt>
    <dgm:pt modelId="{89D96412-DADE-46DB-95A0-0FB9D3A6D2A4}" type="pres">
      <dgm:prSet presAssocID="{7DEEDF33-27B6-4B1B-A5B6-A9C2E16302C9}" presName="Name37" presStyleLbl="parChTrans1D3" presStyleIdx="6" presStyleCnt="7"/>
      <dgm:spPr/>
      <dgm:t>
        <a:bodyPr/>
        <a:p>
          <a:endParaRPr lang="ru-RU"/>
        </a:p>
      </dgm:t>
    </dgm:pt>
    <dgm:pt modelId="{CF91A9D9-D7EE-4AB7-B2ED-AD2EEBB7A9F7}" type="pres">
      <dgm:prSet presAssocID="{774B6EB0-872E-41B0-8077-C7B44C3FD845}" presName="hierRoot2" presStyleCnt="0">
        <dgm:presLayoutVars>
          <dgm:hierBranch val="init"/>
        </dgm:presLayoutVars>
      </dgm:prSet>
      <dgm:spPr/>
    </dgm:pt>
    <dgm:pt modelId="{C8711473-FFBD-4101-B220-C522FAF80489}" type="pres">
      <dgm:prSet presAssocID="{774B6EB0-872E-41B0-8077-C7B44C3FD845}" presName="rootComposite" presStyleCnt="0"/>
      <dgm:spPr/>
    </dgm:pt>
    <dgm:pt modelId="{0708D18E-E0D4-40C6-94BA-E1FFD5EF8B16}" type="pres">
      <dgm:prSet presAssocID="{774B6EB0-872E-41B0-8077-C7B44C3FD845}" presName="rootText" presStyleLbl="node3" presStyleIdx="6" presStyleCnt="7" custScaleX="154926">
        <dgm:presLayoutVars>
          <dgm:chPref val="3"/>
        </dgm:presLayoutVars>
      </dgm:prSet>
      <dgm:spPr/>
      <dgm:t>
        <a:bodyPr/>
        <a:p>
          <a:endParaRPr lang="ru-RU"/>
        </a:p>
      </dgm:t>
    </dgm:pt>
    <dgm:pt modelId="{02D251EA-BB93-44BC-813C-A41BE361521C}" type="pres">
      <dgm:prSet presAssocID="{774B6EB0-872E-41B0-8077-C7B44C3FD845}" presName="rootConnector" presStyleCnt="0"/>
      <dgm:spPr/>
      <dgm:t>
        <a:bodyPr/>
        <a:p>
          <a:endParaRPr lang="ru-RU"/>
        </a:p>
      </dgm:t>
    </dgm:pt>
    <dgm:pt modelId="{F5E9A7ED-C2CC-4DB0-B35E-F8FC18B713BD}" type="pres">
      <dgm:prSet presAssocID="{774B6EB0-872E-41B0-8077-C7B44C3FD845}" presName="hierChild4" presStyleCnt="0"/>
      <dgm:spPr/>
    </dgm:pt>
    <dgm:pt modelId="{848A4925-AD99-47F5-8681-89F1C531E485}" type="pres">
      <dgm:prSet presAssocID="{14CA1619-C3D0-4B9C-A7FD-39DE1039A657}" presName="Name37" presStyleLbl="parChTrans1D4" presStyleIdx="0" presStyleCnt="3"/>
      <dgm:spPr/>
      <dgm:t>
        <a:bodyPr/>
        <a:p>
          <a:endParaRPr lang="ru-RU"/>
        </a:p>
      </dgm:t>
    </dgm:pt>
    <dgm:pt modelId="{800AC756-E9C3-402F-A6AF-3FFC1E7B2F82}" type="pres">
      <dgm:prSet presAssocID="{32878D9E-21EA-4357-9528-63440A7676AE}" presName="hierRoot2" presStyleCnt="0">
        <dgm:presLayoutVars>
          <dgm:hierBranch val="init"/>
        </dgm:presLayoutVars>
      </dgm:prSet>
      <dgm:spPr/>
    </dgm:pt>
    <dgm:pt modelId="{6F7D3BB4-A21C-4EA4-A727-CF3998A3F9CB}" type="pres">
      <dgm:prSet presAssocID="{32878D9E-21EA-4357-9528-63440A7676AE}" presName="rootComposite" presStyleCnt="0"/>
      <dgm:spPr/>
    </dgm:pt>
    <dgm:pt modelId="{25C43B8A-2669-4769-875C-69982E143FFF}" type="pres">
      <dgm:prSet presAssocID="{32878D9E-21EA-4357-9528-63440A7676AE}" presName="rootText" presStyleLbl="node4" presStyleIdx="0" presStyleCnt="3" custScaleX="154926">
        <dgm:presLayoutVars>
          <dgm:chPref val="3"/>
        </dgm:presLayoutVars>
      </dgm:prSet>
      <dgm:spPr/>
      <dgm:t>
        <a:bodyPr/>
        <a:p>
          <a:endParaRPr lang="ru-RU"/>
        </a:p>
      </dgm:t>
    </dgm:pt>
    <dgm:pt modelId="{AC5AE1AF-68DD-4252-B36E-8F5E53D6E757}" type="pres">
      <dgm:prSet presAssocID="{32878D9E-21EA-4357-9528-63440A7676AE}" presName="rootConnector" presStyleCnt="0"/>
      <dgm:spPr/>
      <dgm:t>
        <a:bodyPr/>
        <a:p>
          <a:endParaRPr lang="ru-RU"/>
        </a:p>
      </dgm:t>
    </dgm:pt>
    <dgm:pt modelId="{E3A2FEF9-E871-4C34-929B-2CD29CC56A6F}" type="pres">
      <dgm:prSet presAssocID="{32878D9E-21EA-4357-9528-63440A7676AE}" presName="hierChild4" presStyleCnt="0"/>
      <dgm:spPr/>
    </dgm:pt>
    <dgm:pt modelId="{0B944870-DF9D-4F35-BA48-AFC38E6BC559}" type="pres">
      <dgm:prSet presAssocID="{7496450A-812B-4027-8D03-8E7FD233DD3E}" presName="Name37" presStyleLbl="parChTrans1D4" presStyleIdx="1" presStyleCnt="3"/>
      <dgm:spPr/>
      <dgm:t>
        <a:bodyPr/>
        <a:p>
          <a:endParaRPr lang="ru-RU"/>
        </a:p>
      </dgm:t>
    </dgm:pt>
    <dgm:pt modelId="{849959C7-2D9F-4932-B4AA-7AC6E17763A9}" type="pres">
      <dgm:prSet presAssocID="{5C32B023-EC67-4E0C-9757-130A638F392C}" presName="hierRoot2" presStyleCnt="0">
        <dgm:presLayoutVars>
          <dgm:hierBranch/>
        </dgm:presLayoutVars>
      </dgm:prSet>
      <dgm:spPr/>
    </dgm:pt>
    <dgm:pt modelId="{2CC774B4-BF80-408B-969B-9910000DBEB2}" type="pres">
      <dgm:prSet presAssocID="{5C32B023-EC67-4E0C-9757-130A638F392C}" presName="rootComposite" presStyleCnt="0"/>
      <dgm:spPr/>
    </dgm:pt>
    <dgm:pt modelId="{54B7CC9E-09E0-4395-B3B1-0D3C8A51965F}" type="pres">
      <dgm:prSet presAssocID="{5C32B023-EC67-4E0C-9757-130A638F392C}" presName="rootText" presStyleLbl="node4" presStyleIdx="1" presStyleCnt="3" custScaleX="154926">
        <dgm:presLayoutVars>
          <dgm:chPref val="3"/>
        </dgm:presLayoutVars>
      </dgm:prSet>
      <dgm:spPr/>
      <dgm:t>
        <a:bodyPr/>
        <a:p>
          <a:endParaRPr lang="ru-RU"/>
        </a:p>
      </dgm:t>
    </dgm:pt>
    <dgm:pt modelId="{108BCE2F-CB3E-48AF-A1A0-6AFA94EC2519}" type="pres">
      <dgm:prSet presAssocID="{5C32B023-EC67-4E0C-9757-130A638F392C}" presName="rootConnector" presStyleCnt="0"/>
      <dgm:spPr/>
      <dgm:t>
        <a:bodyPr/>
        <a:p>
          <a:endParaRPr lang="ru-RU"/>
        </a:p>
      </dgm:t>
    </dgm:pt>
    <dgm:pt modelId="{90F3A92F-D8C9-4DB4-B556-A107210BB999}" type="pres">
      <dgm:prSet presAssocID="{5C32B023-EC67-4E0C-9757-130A638F392C}" presName="hierChild4" presStyleCnt="0"/>
      <dgm:spPr/>
    </dgm:pt>
    <dgm:pt modelId="{8E27AC08-B15F-49D3-BD6D-DDCF68CCEE89}" type="pres">
      <dgm:prSet presAssocID="{1660E56E-42AF-4C8C-89EB-6D0B0D60FE50}" presName="Name35" presStyleLbl="parChTrans1D4" presStyleIdx="2" presStyleCnt="3"/>
      <dgm:spPr/>
      <dgm:t>
        <a:bodyPr/>
        <a:p>
          <a:endParaRPr lang="ru-RU"/>
        </a:p>
      </dgm:t>
    </dgm:pt>
    <dgm:pt modelId="{D4CDA406-DEB6-4E08-B251-F3BF9CC48AA8}" type="pres">
      <dgm:prSet presAssocID="{623D18D6-E846-415B-A99D-F7169C824EEA}" presName="hierRoot2" presStyleCnt="0">
        <dgm:presLayoutVars>
          <dgm:hierBranch val="init"/>
        </dgm:presLayoutVars>
      </dgm:prSet>
      <dgm:spPr/>
    </dgm:pt>
    <dgm:pt modelId="{440BCF3A-457A-4470-ACC5-2CB7B97CCF35}" type="pres">
      <dgm:prSet presAssocID="{623D18D6-E846-415B-A99D-F7169C824EEA}" presName="rootComposite" presStyleCnt="0"/>
      <dgm:spPr/>
    </dgm:pt>
    <dgm:pt modelId="{D4D813A4-B147-4872-9C78-E577D9681E97}" type="pres">
      <dgm:prSet presAssocID="{623D18D6-E846-415B-A99D-F7169C824EEA}" presName="rootText" presStyleLbl="node4" presStyleIdx="2" presStyleCnt="3" custScaleX="154926">
        <dgm:presLayoutVars>
          <dgm:chPref val="3"/>
        </dgm:presLayoutVars>
      </dgm:prSet>
      <dgm:spPr/>
      <dgm:t>
        <a:bodyPr/>
        <a:p>
          <a:endParaRPr lang="ru-RU"/>
        </a:p>
      </dgm:t>
    </dgm:pt>
    <dgm:pt modelId="{731CFE36-BE85-4636-ADE3-08F37E0F3E76}" type="pres">
      <dgm:prSet presAssocID="{623D18D6-E846-415B-A99D-F7169C824EEA}" presName="rootConnector" presStyleCnt="0"/>
      <dgm:spPr/>
      <dgm:t>
        <a:bodyPr/>
        <a:p>
          <a:endParaRPr lang="ru-RU"/>
        </a:p>
      </dgm:t>
    </dgm:pt>
    <dgm:pt modelId="{06116709-2EA8-441B-8892-254B3CC97179}" type="pres">
      <dgm:prSet presAssocID="{623D18D6-E846-415B-A99D-F7169C824EEA}" presName="hierChild4" presStyleCnt="0"/>
      <dgm:spPr/>
    </dgm:pt>
    <dgm:pt modelId="{44AF63E9-44B8-459F-B8C5-6FD2D5216970}" type="pres">
      <dgm:prSet presAssocID="{623D18D6-E846-415B-A99D-F7169C824EEA}" presName="hierChild5" presStyleCnt="0"/>
      <dgm:spPr/>
    </dgm:pt>
    <dgm:pt modelId="{ADD433DC-62D1-420B-BEEC-3E288FBBF371}" type="pres">
      <dgm:prSet presAssocID="{5C32B023-EC67-4E0C-9757-130A638F392C}" presName="hierChild5" presStyleCnt="0"/>
      <dgm:spPr/>
    </dgm:pt>
    <dgm:pt modelId="{9A4417FF-B8A7-4B76-BD7F-EE83EB000F11}" type="pres">
      <dgm:prSet presAssocID="{32878D9E-21EA-4357-9528-63440A7676AE}" presName="hierChild5" presStyleCnt="0"/>
      <dgm:spPr/>
    </dgm:pt>
    <dgm:pt modelId="{508D70AD-A823-49B5-951A-7EB842455075}" type="pres">
      <dgm:prSet presAssocID="{774B6EB0-872E-41B0-8077-C7B44C3FD845}" presName="hierChild5" presStyleCnt="0"/>
      <dgm:spPr/>
    </dgm:pt>
    <dgm:pt modelId="{1C371473-E48B-4704-914D-678F6209AAF5}" type="pres">
      <dgm:prSet presAssocID="{327CE198-7CA3-4F9D-A9ED-DCA721858FF8}" presName="hierChild5" presStyleCnt="0"/>
      <dgm:spPr/>
    </dgm:pt>
    <dgm:pt modelId="{B49AC448-4D30-429C-ACF1-FF6C8D0B86C8}" type="pres">
      <dgm:prSet presAssocID="{69BA8728-A20A-4BD4-9CEF-E598FC2153BC}" presName="hierChild3" presStyleCnt="0"/>
      <dgm:spPr/>
    </dgm:pt>
  </dgm:ptLst>
  <dgm:cxnLst>
    <dgm:cxn modelId="{A5C3BBA0-88E4-46D5-89A1-28B9B60457EE}" srcId="{10D47AA0-516D-4CAC-980D-7121C92FC1E0}" destId="{69BA8728-A20A-4BD4-9CEF-E598FC2153BC}" srcOrd="0" destOrd="0" parTransId="{34E90520-E9AE-4262-920D-439583EB1411}" sibTransId="{9C590FF9-438B-46A1-A001-2DCF74FF4A5B}"/>
    <dgm:cxn modelId="{A2ED14AC-3E41-48B1-A4E1-4E7496C6664B}" srcId="{69BA8728-A20A-4BD4-9CEF-E598FC2153BC}" destId="{AB5A91D5-6866-4849-956A-A3DA25140DFA}" srcOrd="0" destOrd="0" parTransId="{F21D20DB-DEDD-4558-B4E1-15B008EB29F0}" sibTransId="{54993EB4-A034-474D-BC6E-6F1F60D39F11}"/>
    <dgm:cxn modelId="{21BF51E1-94CE-43E7-8C77-DD15B0999EF1}" srcId="{AB5A91D5-6866-4849-956A-A3DA25140DFA}" destId="{036DA0D5-C4F5-4037-828F-3A667AB602B8}" srcOrd="0" destOrd="0" parTransId="{C7965A7B-0CB9-433F-A618-DDAEE7F5F7E6}" sibTransId="{688DD8A2-AA35-4176-9794-705EC9D1EE34}"/>
    <dgm:cxn modelId="{4056DFDC-1714-42CD-87E8-681BBEF45415}" srcId="{AB5A91D5-6866-4849-956A-A3DA25140DFA}" destId="{5B444C07-3626-47E1-952B-46078B1D38C0}" srcOrd="1" destOrd="0" parTransId="{1386B6B1-9801-4A99-9AF0-782B539A4AC3}" sibTransId="{03A712AE-0FCE-49D4-9732-887E9844DA55}"/>
    <dgm:cxn modelId="{5FF047BD-B8FE-48AA-84E9-9AE16DF6BF33}" srcId="{AB5A91D5-6866-4849-956A-A3DA25140DFA}" destId="{47E2C698-8312-4D5B-BFEA-49019777703E}" srcOrd="2" destOrd="0" parTransId="{63C59760-EB99-4D9B-B782-CB306C44E1F6}" sibTransId="{D2861101-F1EF-41CA-B7DF-56143CEF8105}"/>
    <dgm:cxn modelId="{279DA54E-1C32-4639-8AD3-21DFC06523D5}" srcId="{AB5A91D5-6866-4849-956A-A3DA25140DFA}" destId="{2C98DCF5-DB08-4F16-A88D-B4DC113E7704}" srcOrd="3" destOrd="0" parTransId="{E00B126F-4DCE-45C6-823C-3D2A0817308C}" sibTransId="{073B8CA8-3267-440A-B3A0-B9F3850F23F6}"/>
    <dgm:cxn modelId="{555BE41A-E869-467A-8DBA-6D9C1BD42F28}" srcId="{69BA8728-A20A-4BD4-9CEF-E598FC2153BC}" destId="{9B783AB4-F2F2-401B-AF60-7B6C3AF0C697}" srcOrd="1" destOrd="0" parTransId="{AA86EDC9-E251-4E5C-B578-94CC8EF64B4A}" sibTransId="{6AE7F050-E131-4787-8080-EA17D5E630F6}"/>
    <dgm:cxn modelId="{233CC7CD-E562-439B-BD3F-9C9A32920BF0}" srcId="{9B783AB4-F2F2-401B-AF60-7B6C3AF0C697}" destId="{1F1FA7FD-9B82-49CC-AD8D-BF080D097DFA}" srcOrd="0" destOrd="1" parTransId="{084D1C6C-0B6F-4A44-934C-67EDA2B8BDF5}" sibTransId="{CD924C40-BBB3-4DD9-BE6C-439C67FEB0B6}"/>
    <dgm:cxn modelId="{E0992F36-05F1-49A7-84FC-21E6F5CE41E8}" srcId="{9B783AB4-F2F2-401B-AF60-7B6C3AF0C697}" destId="{90097FF3-F890-45C7-8DAC-38941F5C4112}" srcOrd="1" destOrd="1" parTransId="{C0385371-F216-459C-8F34-22C123D817EE}" sibTransId="{B56E9643-40C7-4D96-AA65-0B5354C59B1E}"/>
    <dgm:cxn modelId="{E1EA70CF-25F9-45A9-B72E-AB0AAA96D3BE}" srcId="{69BA8728-A20A-4BD4-9CEF-E598FC2153BC}" destId="{327CE198-7CA3-4F9D-A9ED-DCA721858FF8}" srcOrd="2" destOrd="0" parTransId="{761AE639-265C-4BDF-A139-7029FE0DB2D3}" sibTransId="{87F38448-DC3E-4165-B384-49231007C132}"/>
    <dgm:cxn modelId="{197372CD-4FDC-4AE6-8BD5-0CD32E6D8E02}" srcId="{327CE198-7CA3-4F9D-A9ED-DCA721858FF8}" destId="{774B6EB0-872E-41B0-8077-C7B44C3FD845}" srcOrd="0" destOrd="2" parTransId="{7DEEDF33-27B6-4B1B-A5B6-A9C2E16302C9}" sibTransId="{BFDB8089-3FC6-4367-AE46-364F7516826F}"/>
    <dgm:cxn modelId="{832C46DB-82B3-44D3-A396-7F6CD29EC66D}" srcId="{774B6EB0-872E-41B0-8077-C7B44C3FD845}" destId="{32878D9E-21EA-4357-9528-63440A7676AE}" srcOrd="0" destOrd="0" parTransId="{14CA1619-C3D0-4B9C-A7FD-39DE1039A657}" sibTransId="{3B610B41-1AD8-4AFC-96F4-9D8EC9A99AD6}"/>
    <dgm:cxn modelId="{06981620-5CB9-4F36-9BB4-1BBFC75B4FC3}" srcId="{32878D9E-21EA-4357-9528-63440A7676AE}" destId="{5C32B023-EC67-4E0C-9757-130A638F392C}" srcOrd="0" destOrd="0" parTransId="{7496450A-812B-4027-8D03-8E7FD233DD3E}" sibTransId="{E620DB17-F7B7-48F1-8ED9-19B9A1BA3D70}"/>
    <dgm:cxn modelId="{5E7F9057-7B4A-427A-A0B7-F61160874531}" srcId="{5C32B023-EC67-4E0C-9757-130A638F392C}" destId="{623D18D6-E846-415B-A99D-F7169C824EEA}" srcOrd="0" destOrd="0" parTransId="{1660E56E-42AF-4C8C-89EB-6D0B0D60FE50}" sibTransId="{01920473-7749-45F6-87C3-56BC0F0E176C}"/>
    <dgm:cxn modelId="{FA608E10-89CB-4C85-B851-AE94A609B66A}" type="presOf" srcId="{10D47AA0-516D-4CAC-980D-7121C92FC1E0}" destId="{4B7A8491-426B-4D65-AAF2-F175C3968F09}" srcOrd="0" destOrd="0" presId="urn:microsoft.com/office/officeart/2005/8/layout/orgChart1#1"/>
    <dgm:cxn modelId="{C1C625BD-8ACF-4350-84F4-3F90344B46C2}" type="presParOf" srcId="{4B7A8491-426B-4D65-AAF2-F175C3968F09}" destId="{0B573F45-E1DD-45A4-B023-DF135FCFAB5F}" srcOrd="0" destOrd="0" presId="urn:microsoft.com/office/officeart/2005/8/layout/orgChart1#1"/>
    <dgm:cxn modelId="{B760D001-E0C3-4E1F-B77C-6C869EDE61C6}" type="presParOf" srcId="{0B573F45-E1DD-45A4-B023-DF135FCFAB5F}" destId="{7DF54315-A203-458F-80DC-94C6D312D3E6}" srcOrd="0" destOrd="0" presId="urn:microsoft.com/office/officeart/2005/8/layout/orgChart1#1"/>
    <dgm:cxn modelId="{4F2D1DA1-5E26-429D-8B5D-504AD49BF40C}" type="presOf" srcId="{69BA8728-A20A-4BD4-9CEF-E598FC2153BC}" destId="{7DF54315-A203-458F-80DC-94C6D312D3E6}" srcOrd="0" destOrd="0" presId="urn:microsoft.com/office/officeart/2005/8/layout/orgChart1#1"/>
    <dgm:cxn modelId="{B56EF46F-C85E-4AF3-829E-41F2D5B068BC}" type="presParOf" srcId="{7DF54315-A203-458F-80DC-94C6D312D3E6}" destId="{6400FF32-1B9B-4A0E-861A-E8EB051C6B26}" srcOrd="0" destOrd="0" presId="urn:microsoft.com/office/officeart/2005/8/layout/orgChart1#1"/>
    <dgm:cxn modelId="{4E5127B2-44DE-4229-9BC2-F9A390577064}" type="presOf" srcId="{69BA8728-A20A-4BD4-9CEF-E598FC2153BC}" destId="{6400FF32-1B9B-4A0E-861A-E8EB051C6B26}" srcOrd="0" destOrd="0" presId="urn:microsoft.com/office/officeart/2005/8/layout/orgChart1#1"/>
    <dgm:cxn modelId="{55374BFE-017B-4476-B78D-5A0BAA1A8B8F}" type="presParOf" srcId="{7DF54315-A203-458F-80DC-94C6D312D3E6}" destId="{F72F77A5-7CDA-4919-A1C4-87AF96B1ECF2}" srcOrd="1" destOrd="0" presId="urn:microsoft.com/office/officeart/2005/8/layout/orgChart1#1"/>
    <dgm:cxn modelId="{8752D5A9-E01F-4C0C-97D5-273EC8AB89F2}" type="presOf" srcId="{69BA8728-A20A-4BD4-9CEF-E598FC2153BC}" destId="{F72F77A5-7CDA-4919-A1C4-87AF96B1ECF2}" srcOrd="0" destOrd="0" presId="urn:microsoft.com/office/officeart/2005/8/layout/orgChart1#1"/>
    <dgm:cxn modelId="{59E0547E-8B03-4728-A43E-32FE782743DF}" type="presParOf" srcId="{0B573F45-E1DD-45A4-B023-DF135FCFAB5F}" destId="{4DEA7C6B-6182-4C5A-821D-4A509553FBB2}" srcOrd="1" destOrd="0" presId="urn:microsoft.com/office/officeart/2005/8/layout/orgChart1#1"/>
    <dgm:cxn modelId="{58916DF0-A2AB-4B4D-ACBF-7B77A6D6C576}" type="presParOf" srcId="{4DEA7C6B-6182-4C5A-821D-4A509553FBB2}" destId="{17EFFF15-6E52-4161-971B-9FB2165CA843}" srcOrd="0" destOrd="1" presId="urn:microsoft.com/office/officeart/2005/8/layout/orgChart1#1"/>
    <dgm:cxn modelId="{C5E95D48-A748-4F2E-90B5-9339144299E6}" type="presOf" srcId="{F21D20DB-DEDD-4558-B4E1-15B008EB29F0}" destId="{17EFFF15-6E52-4161-971B-9FB2165CA843}" srcOrd="0" destOrd="0" presId="urn:microsoft.com/office/officeart/2005/8/layout/orgChart1#1"/>
    <dgm:cxn modelId="{F9EA9B77-0F21-4D46-94A3-469D70506CFE}" type="presParOf" srcId="{4DEA7C6B-6182-4C5A-821D-4A509553FBB2}" destId="{48A207D0-CD9F-4539-BA59-6523886AD45E}" srcOrd="1" destOrd="1" presId="urn:microsoft.com/office/officeart/2005/8/layout/orgChart1#1"/>
    <dgm:cxn modelId="{7B9BE66B-5F2C-4CC2-B642-518593C5CB4D}" type="presParOf" srcId="{48A207D0-CD9F-4539-BA59-6523886AD45E}" destId="{0F64A0BA-1387-4F02-AAF6-8FB42C8C506E}" srcOrd="0" destOrd="1" presId="urn:microsoft.com/office/officeart/2005/8/layout/orgChart1#1"/>
    <dgm:cxn modelId="{1732CE7B-57E4-4159-B31E-0FCC233BF4CB}" type="presOf" srcId="{AB5A91D5-6866-4849-956A-A3DA25140DFA}" destId="{0F64A0BA-1387-4F02-AAF6-8FB42C8C506E}" srcOrd="0" destOrd="0" presId="urn:microsoft.com/office/officeart/2005/8/layout/orgChart1#1"/>
    <dgm:cxn modelId="{869D00BD-8076-4013-92BC-B4E65FB717C3}" type="presParOf" srcId="{0F64A0BA-1387-4F02-AAF6-8FB42C8C506E}" destId="{FFABBA8E-2F37-48E8-9C8E-527CC7C60ADC}" srcOrd="0" destOrd="0" presId="urn:microsoft.com/office/officeart/2005/8/layout/orgChart1#1"/>
    <dgm:cxn modelId="{943F8D8B-CC53-4CC4-9152-3193DE905ECD}" type="presOf" srcId="{AB5A91D5-6866-4849-956A-A3DA25140DFA}" destId="{FFABBA8E-2F37-48E8-9C8E-527CC7C60ADC}" srcOrd="0" destOrd="0" presId="urn:microsoft.com/office/officeart/2005/8/layout/orgChart1#1"/>
    <dgm:cxn modelId="{F8D09BB7-E2BB-4B79-B22A-78D00EE1C7C7}" type="presParOf" srcId="{0F64A0BA-1387-4F02-AAF6-8FB42C8C506E}" destId="{0FAA7857-51FB-4AE7-B8D5-BE6B75D5F32D}" srcOrd="1" destOrd="0" presId="urn:microsoft.com/office/officeart/2005/8/layout/orgChart1#1"/>
    <dgm:cxn modelId="{A8B038FD-593F-4481-BA1C-CFEDFA318CF4}" type="presOf" srcId="{AB5A91D5-6866-4849-956A-A3DA25140DFA}" destId="{0FAA7857-51FB-4AE7-B8D5-BE6B75D5F32D}" srcOrd="0" destOrd="0" presId="urn:microsoft.com/office/officeart/2005/8/layout/orgChart1#1"/>
    <dgm:cxn modelId="{7113F03D-453E-49F4-9EE9-797A1248800B}" type="presParOf" srcId="{48A207D0-CD9F-4539-BA59-6523886AD45E}" destId="{8F69DC69-CB98-4BAE-9B39-393E71CC30EC}" srcOrd="1" destOrd="1" presId="urn:microsoft.com/office/officeart/2005/8/layout/orgChart1#1"/>
    <dgm:cxn modelId="{2A267252-D19F-4C08-9206-474BB4977FBD}" type="presParOf" srcId="{8F69DC69-CB98-4BAE-9B39-393E71CC30EC}" destId="{855D7281-B591-44C7-A500-B29E773C2F8F}" srcOrd="0" destOrd="1" presId="urn:microsoft.com/office/officeart/2005/8/layout/orgChart1#1"/>
    <dgm:cxn modelId="{92BD30E1-2B5A-4FFA-B1D1-A0B7D6C9305B}" type="presOf" srcId="{C7965A7B-0CB9-433F-A618-DDAEE7F5F7E6}" destId="{855D7281-B591-44C7-A500-B29E773C2F8F}" srcOrd="0" destOrd="0" presId="urn:microsoft.com/office/officeart/2005/8/layout/orgChart1#1"/>
    <dgm:cxn modelId="{B88C6C17-3396-4372-B4C5-4D6E080EE46D}" type="presParOf" srcId="{8F69DC69-CB98-4BAE-9B39-393E71CC30EC}" destId="{40C080E8-E25F-4EBE-8A06-6D3E0FFCB3A3}" srcOrd="1" destOrd="1" presId="urn:microsoft.com/office/officeart/2005/8/layout/orgChart1#1"/>
    <dgm:cxn modelId="{DA0A805F-2CE6-4483-8004-3B88FE56EBC4}" type="presParOf" srcId="{40C080E8-E25F-4EBE-8A06-6D3E0FFCB3A3}" destId="{4AA83994-13CA-4E72-937A-F2F7390E9C7E}" srcOrd="0" destOrd="1" presId="urn:microsoft.com/office/officeart/2005/8/layout/orgChart1#1"/>
    <dgm:cxn modelId="{7CD51A07-B56A-47F0-BE65-C35A33DEA98F}" type="presOf" srcId="{036DA0D5-C4F5-4037-828F-3A667AB602B8}" destId="{4AA83994-13CA-4E72-937A-F2F7390E9C7E}" srcOrd="0" destOrd="0" presId="urn:microsoft.com/office/officeart/2005/8/layout/orgChart1#1"/>
    <dgm:cxn modelId="{6531D73A-3A51-48AB-870E-E434F7C23002}" type="presParOf" srcId="{4AA83994-13CA-4E72-937A-F2F7390E9C7E}" destId="{056E5AEF-217C-4230-8AE5-6288018780AA}" srcOrd="0" destOrd="0" presId="urn:microsoft.com/office/officeart/2005/8/layout/orgChart1#1"/>
    <dgm:cxn modelId="{5873AC0E-2937-4F27-87A5-A74DD4AEA52F}" type="presOf" srcId="{036DA0D5-C4F5-4037-828F-3A667AB602B8}" destId="{056E5AEF-217C-4230-8AE5-6288018780AA}" srcOrd="0" destOrd="0" presId="urn:microsoft.com/office/officeart/2005/8/layout/orgChart1#1"/>
    <dgm:cxn modelId="{9A023688-84EA-4854-BBD7-A086B861A2ED}" type="presParOf" srcId="{4AA83994-13CA-4E72-937A-F2F7390E9C7E}" destId="{108B46E4-B555-4C64-87BD-51264CB3CC38}" srcOrd="1" destOrd="0" presId="urn:microsoft.com/office/officeart/2005/8/layout/orgChart1#1"/>
    <dgm:cxn modelId="{442A6A4C-F549-49B6-B4C6-08E0EEA91DE1}" type="presOf" srcId="{036DA0D5-C4F5-4037-828F-3A667AB602B8}" destId="{108B46E4-B555-4C64-87BD-51264CB3CC38}" srcOrd="0" destOrd="0" presId="urn:microsoft.com/office/officeart/2005/8/layout/orgChart1#1"/>
    <dgm:cxn modelId="{96CB8DDA-6D6B-438C-B55D-B4BFE3F06093}" type="presParOf" srcId="{40C080E8-E25F-4EBE-8A06-6D3E0FFCB3A3}" destId="{75570674-31C6-4A5D-9086-2EDE6193455E}" srcOrd="1" destOrd="1" presId="urn:microsoft.com/office/officeart/2005/8/layout/orgChart1#1"/>
    <dgm:cxn modelId="{7CA5E8B8-C1D6-47FD-A58C-A8EDC6EB664A}" type="presParOf" srcId="{40C080E8-E25F-4EBE-8A06-6D3E0FFCB3A3}" destId="{B4CAE252-86F7-48F4-B1F7-1A061D22A471}" srcOrd="2" destOrd="1" presId="urn:microsoft.com/office/officeart/2005/8/layout/orgChart1#1"/>
    <dgm:cxn modelId="{F830F9A4-698A-4EF0-A0B9-BB123A5E6687}" type="presParOf" srcId="{8F69DC69-CB98-4BAE-9B39-393E71CC30EC}" destId="{8A18E733-86FF-45B3-A3E5-644A39066A02}" srcOrd="2" destOrd="1" presId="urn:microsoft.com/office/officeart/2005/8/layout/orgChart1#1"/>
    <dgm:cxn modelId="{BB2D4E98-4DAE-4164-996B-C38D7318AC32}" type="presOf" srcId="{1386B6B1-9801-4A99-9AF0-782B539A4AC3}" destId="{8A18E733-86FF-45B3-A3E5-644A39066A02}" srcOrd="0" destOrd="0" presId="urn:microsoft.com/office/officeart/2005/8/layout/orgChart1#1"/>
    <dgm:cxn modelId="{1775D207-47DF-411B-A8CD-08DDD3F60465}" type="presParOf" srcId="{8F69DC69-CB98-4BAE-9B39-393E71CC30EC}" destId="{724314D4-49BC-4FDA-9E9F-2AB47D2C530E}" srcOrd="3" destOrd="1" presId="urn:microsoft.com/office/officeart/2005/8/layout/orgChart1#1"/>
    <dgm:cxn modelId="{FA87FB3E-3036-4CBB-A5F5-107B4686A6BE}" type="presParOf" srcId="{724314D4-49BC-4FDA-9E9F-2AB47D2C530E}" destId="{27E75AD2-B568-430D-A9BC-EBB7F7026FD1}" srcOrd="0" destOrd="3" presId="urn:microsoft.com/office/officeart/2005/8/layout/orgChart1#1"/>
    <dgm:cxn modelId="{F4056E7D-E221-45DE-AEA2-D546B193D092}" type="presOf" srcId="{5B444C07-3626-47E1-952B-46078B1D38C0}" destId="{27E75AD2-B568-430D-A9BC-EBB7F7026FD1}" srcOrd="0" destOrd="0" presId="urn:microsoft.com/office/officeart/2005/8/layout/orgChart1#1"/>
    <dgm:cxn modelId="{E07D7F59-5411-45F1-88C4-247EFCB9C4FC}" type="presParOf" srcId="{27E75AD2-B568-430D-A9BC-EBB7F7026FD1}" destId="{BB81DA25-8873-403C-A7B7-749297E73B8A}" srcOrd="0" destOrd="0" presId="urn:microsoft.com/office/officeart/2005/8/layout/orgChart1#1"/>
    <dgm:cxn modelId="{48A4B580-A6E3-4639-B28B-64811EDB7C21}" type="presOf" srcId="{5B444C07-3626-47E1-952B-46078B1D38C0}" destId="{BB81DA25-8873-403C-A7B7-749297E73B8A}" srcOrd="0" destOrd="0" presId="urn:microsoft.com/office/officeart/2005/8/layout/orgChart1#1"/>
    <dgm:cxn modelId="{1F8017F4-E9D1-430D-A301-A52600525265}" type="presParOf" srcId="{27E75AD2-B568-430D-A9BC-EBB7F7026FD1}" destId="{46C50689-2465-44AE-B1C5-1F1AE1E25486}" srcOrd="1" destOrd="0" presId="urn:microsoft.com/office/officeart/2005/8/layout/orgChart1#1"/>
    <dgm:cxn modelId="{647023BE-8AA0-4CC3-95C5-5CF38113C773}" type="presOf" srcId="{5B444C07-3626-47E1-952B-46078B1D38C0}" destId="{46C50689-2465-44AE-B1C5-1F1AE1E25486}" srcOrd="0" destOrd="0" presId="urn:microsoft.com/office/officeart/2005/8/layout/orgChart1#1"/>
    <dgm:cxn modelId="{96AC4BF4-9062-4470-A1A9-868811896A0B}" type="presParOf" srcId="{724314D4-49BC-4FDA-9E9F-2AB47D2C530E}" destId="{9D14C8DF-F73F-4713-966A-8A0731D3197A}" srcOrd="1" destOrd="3" presId="urn:microsoft.com/office/officeart/2005/8/layout/orgChart1#1"/>
    <dgm:cxn modelId="{C38C90F9-90D4-467F-B97E-475C5C6AA99E}" type="presParOf" srcId="{724314D4-49BC-4FDA-9E9F-2AB47D2C530E}" destId="{A314D2FC-95B9-4844-9288-D2A1435A4AC5}" srcOrd="2" destOrd="3" presId="urn:microsoft.com/office/officeart/2005/8/layout/orgChart1#1"/>
    <dgm:cxn modelId="{32E8BACA-EBC5-4317-B83E-9A8E0B096718}" type="presParOf" srcId="{8F69DC69-CB98-4BAE-9B39-393E71CC30EC}" destId="{37688739-D1C6-4B1F-B9FC-2BF798A02A35}" srcOrd="4" destOrd="1" presId="urn:microsoft.com/office/officeart/2005/8/layout/orgChart1#1"/>
    <dgm:cxn modelId="{1DE72EEF-5A21-4538-9894-96BDD3DD0E0C}" type="presOf" srcId="{63C59760-EB99-4D9B-B782-CB306C44E1F6}" destId="{37688739-D1C6-4B1F-B9FC-2BF798A02A35}" srcOrd="0" destOrd="0" presId="urn:microsoft.com/office/officeart/2005/8/layout/orgChart1#1"/>
    <dgm:cxn modelId="{06C981B0-9B46-4998-95B6-934CC29FE270}" type="presParOf" srcId="{8F69DC69-CB98-4BAE-9B39-393E71CC30EC}" destId="{4FA3807F-C915-4E27-B3AD-591AF68D2F64}" srcOrd="5" destOrd="1" presId="urn:microsoft.com/office/officeart/2005/8/layout/orgChart1#1"/>
    <dgm:cxn modelId="{93222DC8-6C32-4CF2-BBAD-7E026998FFEB}" type="presParOf" srcId="{4FA3807F-C915-4E27-B3AD-591AF68D2F64}" destId="{02C16D24-D30E-449B-A825-CCE4420B5E61}" srcOrd="0" destOrd="5" presId="urn:microsoft.com/office/officeart/2005/8/layout/orgChart1#1"/>
    <dgm:cxn modelId="{2174088A-7455-4651-98FD-57045076C6B0}" type="presOf" srcId="{47E2C698-8312-4D5B-BFEA-49019777703E}" destId="{02C16D24-D30E-449B-A825-CCE4420B5E61}" srcOrd="0" destOrd="0" presId="urn:microsoft.com/office/officeart/2005/8/layout/orgChart1#1"/>
    <dgm:cxn modelId="{8FDAB862-0213-46C3-98E6-506CC88986B9}" type="presParOf" srcId="{02C16D24-D30E-449B-A825-CCE4420B5E61}" destId="{10F2B7FE-1C5E-449F-9987-2491EFB10CBB}" srcOrd="0" destOrd="0" presId="urn:microsoft.com/office/officeart/2005/8/layout/orgChart1#1"/>
    <dgm:cxn modelId="{29F7EE86-94EE-4A13-A0CE-93751AE8FF85}" type="presOf" srcId="{47E2C698-8312-4D5B-BFEA-49019777703E}" destId="{10F2B7FE-1C5E-449F-9987-2491EFB10CBB}" srcOrd="0" destOrd="0" presId="urn:microsoft.com/office/officeart/2005/8/layout/orgChart1#1"/>
    <dgm:cxn modelId="{03E23E09-5A26-4FAA-B6A4-C74EE1C89572}" type="presParOf" srcId="{02C16D24-D30E-449B-A825-CCE4420B5E61}" destId="{428A21F5-B7BB-4DD0-9CE7-D8340A5AC9CD}" srcOrd="1" destOrd="0" presId="urn:microsoft.com/office/officeart/2005/8/layout/orgChart1#1"/>
    <dgm:cxn modelId="{E8C735EA-D167-4DAB-A6F3-8F307653F7C7}" type="presOf" srcId="{47E2C698-8312-4D5B-BFEA-49019777703E}" destId="{428A21F5-B7BB-4DD0-9CE7-D8340A5AC9CD}" srcOrd="0" destOrd="0" presId="urn:microsoft.com/office/officeart/2005/8/layout/orgChart1#1"/>
    <dgm:cxn modelId="{17F59B3E-F616-4C61-8E56-9EABE4B8ADDD}" type="presParOf" srcId="{4FA3807F-C915-4E27-B3AD-591AF68D2F64}" destId="{087C1659-1536-49A2-B966-92DB48707456}" srcOrd="1" destOrd="5" presId="urn:microsoft.com/office/officeart/2005/8/layout/orgChart1#1"/>
    <dgm:cxn modelId="{069DE6E0-EFCE-4727-90BD-6FEAD1A9DE7D}" type="presParOf" srcId="{4FA3807F-C915-4E27-B3AD-591AF68D2F64}" destId="{A476154A-EDE6-4151-8A8D-48F065BAD141}" srcOrd="2" destOrd="5" presId="urn:microsoft.com/office/officeart/2005/8/layout/orgChart1#1"/>
    <dgm:cxn modelId="{040DF471-FAAA-411D-B769-FC098D2CA206}" type="presParOf" srcId="{8F69DC69-CB98-4BAE-9B39-393E71CC30EC}" destId="{74477E64-8829-4991-9C90-34E3490BAE14}" srcOrd="6" destOrd="1" presId="urn:microsoft.com/office/officeart/2005/8/layout/orgChart1#1"/>
    <dgm:cxn modelId="{295876F3-09B3-4525-A9C7-D393531FF544}" type="presOf" srcId="{E00B126F-4DCE-45C6-823C-3D2A0817308C}" destId="{74477E64-8829-4991-9C90-34E3490BAE14}" srcOrd="0" destOrd="0" presId="urn:microsoft.com/office/officeart/2005/8/layout/orgChart1#1"/>
    <dgm:cxn modelId="{D1A9FB9E-AAF3-45A6-9464-2B94965E3D44}" type="presParOf" srcId="{8F69DC69-CB98-4BAE-9B39-393E71CC30EC}" destId="{DBC07D54-701E-403A-AA4E-450DE59AE6EC}" srcOrd="7" destOrd="1" presId="urn:microsoft.com/office/officeart/2005/8/layout/orgChart1#1"/>
    <dgm:cxn modelId="{D67F1C87-70ED-410C-B3EB-1CA483F420A3}" type="presParOf" srcId="{DBC07D54-701E-403A-AA4E-450DE59AE6EC}" destId="{E20D2F78-81B6-44E8-A366-DBBF92274886}" srcOrd="0" destOrd="7" presId="urn:microsoft.com/office/officeart/2005/8/layout/orgChart1#1"/>
    <dgm:cxn modelId="{237FC3B3-021D-45D1-871E-D9C589D32A91}" type="presOf" srcId="{2C98DCF5-DB08-4F16-A88D-B4DC113E7704}" destId="{E20D2F78-81B6-44E8-A366-DBBF92274886}" srcOrd="0" destOrd="0" presId="urn:microsoft.com/office/officeart/2005/8/layout/orgChart1#1"/>
    <dgm:cxn modelId="{BC1DD994-7C55-4858-BE6F-9ECD02BAD099}" type="presParOf" srcId="{E20D2F78-81B6-44E8-A366-DBBF92274886}" destId="{674F11FC-7095-407F-A466-7D4A160294FC}" srcOrd="0" destOrd="0" presId="urn:microsoft.com/office/officeart/2005/8/layout/orgChart1#1"/>
    <dgm:cxn modelId="{8F92B8CC-9C9D-4824-9A05-D3424BE93FFB}" type="presOf" srcId="{2C98DCF5-DB08-4F16-A88D-B4DC113E7704}" destId="{674F11FC-7095-407F-A466-7D4A160294FC}" srcOrd="0" destOrd="0" presId="urn:microsoft.com/office/officeart/2005/8/layout/orgChart1#1"/>
    <dgm:cxn modelId="{9B34428C-7C48-4306-868D-8F66AE0490FB}" type="presParOf" srcId="{E20D2F78-81B6-44E8-A366-DBBF92274886}" destId="{DE326813-CB1A-465E-BBEE-C8C197EEF8A5}" srcOrd="1" destOrd="0" presId="urn:microsoft.com/office/officeart/2005/8/layout/orgChart1#1"/>
    <dgm:cxn modelId="{B0BFBAF4-E55A-40A3-835D-87A6714EAAD3}" type="presOf" srcId="{2C98DCF5-DB08-4F16-A88D-B4DC113E7704}" destId="{DE326813-CB1A-465E-BBEE-C8C197EEF8A5}" srcOrd="0" destOrd="0" presId="urn:microsoft.com/office/officeart/2005/8/layout/orgChart1#1"/>
    <dgm:cxn modelId="{5C928072-EBD6-4DAB-9196-8F10193C1CD8}" type="presParOf" srcId="{DBC07D54-701E-403A-AA4E-450DE59AE6EC}" destId="{70B7B597-38E9-4531-9E4B-E735C789C5AE}" srcOrd="1" destOrd="7" presId="urn:microsoft.com/office/officeart/2005/8/layout/orgChart1#1"/>
    <dgm:cxn modelId="{EBC607BF-5A38-4F41-8111-E8C5904CD665}" type="presParOf" srcId="{DBC07D54-701E-403A-AA4E-450DE59AE6EC}" destId="{33323407-1E8D-4558-8D42-238C185EA1A3}" srcOrd="2" destOrd="7" presId="urn:microsoft.com/office/officeart/2005/8/layout/orgChart1#1"/>
    <dgm:cxn modelId="{6C0DCA6F-0B5B-4318-AFAA-57721C02AA22}" type="presParOf" srcId="{48A207D0-CD9F-4539-BA59-6523886AD45E}" destId="{7D649237-1ED6-481D-99D0-F829254F984E}" srcOrd="2" destOrd="1" presId="urn:microsoft.com/office/officeart/2005/8/layout/orgChart1#1"/>
    <dgm:cxn modelId="{6364393E-AD0F-491A-A39B-E832847E6AAF}" type="presParOf" srcId="{4DEA7C6B-6182-4C5A-821D-4A509553FBB2}" destId="{58EAF7F0-787A-40BF-93A3-A26A1F30E6E8}" srcOrd="2" destOrd="1" presId="urn:microsoft.com/office/officeart/2005/8/layout/orgChart1#1"/>
    <dgm:cxn modelId="{DABA62EA-CA07-43B2-AB3A-70CFDFF185BF}" type="presOf" srcId="{AA86EDC9-E251-4E5C-B578-94CC8EF64B4A}" destId="{58EAF7F0-787A-40BF-93A3-A26A1F30E6E8}" srcOrd="0" destOrd="0" presId="urn:microsoft.com/office/officeart/2005/8/layout/orgChart1#1"/>
    <dgm:cxn modelId="{02277A45-B045-4067-86DC-BBC4D3F71EC1}" type="presParOf" srcId="{4DEA7C6B-6182-4C5A-821D-4A509553FBB2}" destId="{F0274AB0-C789-4F99-8315-C82D5DD3E2B7}" srcOrd="3" destOrd="1" presId="urn:microsoft.com/office/officeart/2005/8/layout/orgChart1#1"/>
    <dgm:cxn modelId="{9BAF2E4F-54C0-453A-B8C9-51D595A99978}" type="presParOf" srcId="{F0274AB0-C789-4F99-8315-C82D5DD3E2B7}" destId="{5BB7C5F8-3CD9-41BB-9DD0-7FC6E61A575E}" srcOrd="0" destOrd="3" presId="urn:microsoft.com/office/officeart/2005/8/layout/orgChart1#1"/>
    <dgm:cxn modelId="{F2053916-A7B5-4933-B634-FA52DC69109C}" type="presOf" srcId="{9B783AB4-F2F2-401B-AF60-7B6C3AF0C697}" destId="{5BB7C5F8-3CD9-41BB-9DD0-7FC6E61A575E}" srcOrd="0" destOrd="0" presId="urn:microsoft.com/office/officeart/2005/8/layout/orgChart1#1"/>
    <dgm:cxn modelId="{3AE263BD-E15B-4D38-94AE-15CB0275DA9F}" type="presParOf" srcId="{5BB7C5F8-3CD9-41BB-9DD0-7FC6E61A575E}" destId="{9F516359-A5FE-43D4-9CDC-64ACBCA2E2B3}" srcOrd="0" destOrd="0" presId="urn:microsoft.com/office/officeart/2005/8/layout/orgChart1#1"/>
    <dgm:cxn modelId="{0F3AA92F-914A-4CFD-9B52-0A562EC09BE0}" type="presOf" srcId="{9B783AB4-F2F2-401B-AF60-7B6C3AF0C697}" destId="{9F516359-A5FE-43D4-9CDC-64ACBCA2E2B3}" srcOrd="0" destOrd="0" presId="urn:microsoft.com/office/officeart/2005/8/layout/orgChart1#1"/>
    <dgm:cxn modelId="{F2D74EB8-524D-49FE-A78D-CC4F6DD54EBB}" type="presParOf" srcId="{5BB7C5F8-3CD9-41BB-9DD0-7FC6E61A575E}" destId="{70651652-77E6-44B4-8FD5-D7099554A197}" srcOrd="1" destOrd="0" presId="urn:microsoft.com/office/officeart/2005/8/layout/orgChart1#1"/>
    <dgm:cxn modelId="{37101485-D4D6-4D66-8D20-2743D4A8D24C}" type="presOf" srcId="{9B783AB4-F2F2-401B-AF60-7B6C3AF0C697}" destId="{70651652-77E6-44B4-8FD5-D7099554A197}" srcOrd="0" destOrd="0" presId="urn:microsoft.com/office/officeart/2005/8/layout/orgChart1#1"/>
    <dgm:cxn modelId="{25560F42-54D8-4939-9F8A-4C922EC8AB5E}" type="presParOf" srcId="{F0274AB0-C789-4F99-8315-C82D5DD3E2B7}" destId="{00DCE32B-A69E-41B9-95AC-FCF357AC8FBF}" srcOrd="1" destOrd="3" presId="urn:microsoft.com/office/officeart/2005/8/layout/orgChart1#1"/>
    <dgm:cxn modelId="{6E623C56-D77E-47FE-9453-1604388FA1E3}" type="presParOf" srcId="{00DCE32B-A69E-41B9-95AC-FCF357AC8FBF}" destId="{9E7BFE82-9929-4F88-8FFF-68FE798BD156}" srcOrd="0" destOrd="1" presId="urn:microsoft.com/office/officeart/2005/8/layout/orgChart1#1"/>
    <dgm:cxn modelId="{CC516ED9-23A5-45ED-A962-859212602FC3}" type="presOf" srcId="{084D1C6C-0B6F-4A44-934C-67EDA2B8BDF5}" destId="{9E7BFE82-9929-4F88-8FFF-68FE798BD156}" srcOrd="0" destOrd="0" presId="urn:microsoft.com/office/officeart/2005/8/layout/orgChart1#1"/>
    <dgm:cxn modelId="{017B8932-6E66-4926-8AB5-3F8BE9964F85}" type="presParOf" srcId="{00DCE32B-A69E-41B9-95AC-FCF357AC8FBF}" destId="{8021C8EB-16E3-4E29-83F8-49D93940C52D}" srcOrd="1" destOrd="1" presId="urn:microsoft.com/office/officeart/2005/8/layout/orgChart1#1"/>
    <dgm:cxn modelId="{C9355820-41EA-444E-86D0-49FBDCC2EE58}" type="presParOf" srcId="{8021C8EB-16E3-4E29-83F8-49D93940C52D}" destId="{1C827869-2BA9-4D00-AF21-1761FE9BAF8A}" srcOrd="0" destOrd="1" presId="urn:microsoft.com/office/officeart/2005/8/layout/orgChart1#1"/>
    <dgm:cxn modelId="{235B2D8E-616C-4186-BFB9-69E525D92975}" type="presOf" srcId="{1F1FA7FD-9B82-49CC-AD8D-BF080D097DFA}" destId="{1C827869-2BA9-4D00-AF21-1761FE9BAF8A}" srcOrd="0" destOrd="0" presId="urn:microsoft.com/office/officeart/2005/8/layout/orgChart1#1"/>
    <dgm:cxn modelId="{5CA81FC6-46C9-475B-80D5-D7B28FE5059C}" type="presParOf" srcId="{1C827869-2BA9-4D00-AF21-1761FE9BAF8A}" destId="{E5E522C4-9BDF-41B9-A7A6-9771DCBBC408}" srcOrd="0" destOrd="0" presId="urn:microsoft.com/office/officeart/2005/8/layout/orgChart1#1"/>
    <dgm:cxn modelId="{C57F134B-D5D6-427E-8FA3-F83B6660E8B7}" type="presOf" srcId="{1F1FA7FD-9B82-49CC-AD8D-BF080D097DFA}" destId="{E5E522C4-9BDF-41B9-A7A6-9771DCBBC408}" srcOrd="0" destOrd="0" presId="urn:microsoft.com/office/officeart/2005/8/layout/orgChart1#1"/>
    <dgm:cxn modelId="{6C4ABD78-CF1C-4261-A4CC-D05CA9AF15A7}" type="presParOf" srcId="{1C827869-2BA9-4D00-AF21-1761FE9BAF8A}" destId="{85F4A319-56EF-4B6F-8756-51522C01116A}" srcOrd="1" destOrd="0" presId="urn:microsoft.com/office/officeart/2005/8/layout/orgChart1#1"/>
    <dgm:cxn modelId="{1DDE6BA6-5082-43F6-9211-0FBC5F957F9F}" type="presOf" srcId="{1F1FA7FD-9B82-49CC-AD8D-BF080D097DFA}" destId="{85F4A319-56EF-4B6F-8756-51522C01116A}" srcOrd="0" destOrd="0" presId="urn:microsoft.com/office/officeart/2005/8/layout/orgChart1#1"/>
    <dgm:cxn modelId="{5CFCF6DF-9518-44B3-AB95-10243418504B}" type="presParOf" srcId="{8021C8EB-16E3-4E29-83F8-49D93940C52D}" destId="{A91C341B-F6E6-4D31-9263-080EEE6380C2}" srcOrd="1" destOrd="1" presId="urn:microsoft.com/office/officeart/2005/8/layout/orgChart1#1"/>
    <dgm:cxn modelId="{147E05D8-A76F-43AB-A8C6-47C362AEF47B}" type="presParOf" srcId="{8021C8EB-16E3-4E29-83F8-49D93940C52D}" destId="{A6B5E90E-78E4-4D80-96CF-9BC1F2104086}" srcOrd="2" destOrd="1" presId="urn:microsoft.com/office/officeart/2005/8/layout/orgChart1#1"/>
    <dgm:cxn modelId="{2B8991C2-DB49-4CCB-96E8-53966614250D}" type="presParOf" srcId="{00DCE32B-A69E-41B9-95AC-FCF357AC8FBF}" destId="{8224C4DD-3948-472C-AED5-A03C4DC0D720}" srcOrd="2" destOrd="1" presId="urn:microsoft.com/office/officeart/2005/8/layout/orgChart1#1"/>
    <dgm:cxn modelId="{0D8C9B42-752A-47C0-9734-5B81A9E787D5}" type="presOf" srcId="{C0385371-F216-459C-8F34-22C123D817EE}" destId="{8224C4DD-3948-472C-AED5-A03C4DC0D720}" srcOrd="0" destOrd="0" presId="urn:microsoft.com/office/officeart/2005/8/layout/orgChart1#1"/>
    <dgm:cxn modelId="{C99974B3-AACC-4389-93AF-2FFE5764BD4D}" type="presParOf" srcId="{00DCE32B-A69E-41B9-95AC-FCF357AC8FBF}" destId="{046768EE-DD14-45B8-AC9E-6948F0A52B20}" srcOrd="3" destOrd="1" presId="urn:microsoft.com/office/officeart/2005/8/layout/orgChart1#1"/>
    <dgm:cxn modelId="{4A8D5F8C-D4FB-4C29-B715-C5EE77EF5D8C}" type="presParOf" srcId="{046768EE-DD14-45B8-AC9E-6948F0A52B20}" destId="{940F8EE5-BE04-4D2A-A0DE-894B1AAC0CCA}" srcOrd="0" destOrd="3" presId="urn:microsoft.com/office/officeart/2005/8/layout/orgChart1#1"/>
    <dgm:cxn modelId="{63F44E53-976D-45CD-B82B-26E28EF2930D}" type="presOf" srcId="{90097FF3-F890-45C7-8DAC-38941F5C4112}" destId="{940F8EE5-BE04-4D2A-A0DE-894B1AAC0CCA}" srcOrd="0" destOrd="0" presId="urn:microsoft.com/office/officeart/2005/8/layout/orgChart1#1"/>
    <dgm:cxn modelId="{0FB06CB1-7A1F-4429-B330-600FB2E20E8C}" type="presParOf" srcId="{940F8EE5-BE04-4D2A-A0DE-894B1AAC0CCA}" destId="{EC26A430-78E4-4AE5-AB8E-DA1B07A3B46F}" srcOrd="0" destOrd="0" presId="urn:microsoft.com/office/officeart/2005/8/layout/orgChart1#1"/>
    <dgm:cxn modelId="{4E73314B-F2C3-4970-9EB7-C486C99F7450}" type="presOf" srcId="{90097FF3-F890-45C7-8DAC-38941F5C4112}" destId="{EC26A430-78E4-4AE5-AB8E-DA1B07A3B46F}" srcOrd="0" destOrd="0" presId="urn:microsoft.com/office/officeart/2005/8/layout/orgChart1#1"/>
    <dgm:cxn modelId="{16E55320-3ACE-4F39-B3E7-3C02ABA796E4}" type="presParOf" srcId="{940F8EE5-BE04-4D2A-A0DE-894B1AAC0CCA}" destId="{0AC04963-CCFE-4531-BB72-40654B769A9A}" srcOrd="1" destOrd="0" presId="urn:microsoft.com/office/officeart/2005/8/layout/orgChart1#1"/>
    <dgm:cxn modelId="{E10B59CB-188D-4762-9EA2-A1CD61089D73}" type="presOf" srcId="{90097FF3-F890-45C7-8DAC-38941F5C4112}" destId="{0AC04963-CCFE-4531-BB72-40654B769A9A}" srcOrd="0" destOrd="0" presId="urn:microsoft.com/office/officeart/2005/8/layout/orgChart1#1"/>
    <dgm:cxn modelId="{5BD4D750-D775-465C-BE15-F6335975B009}" type="presParOf" srcId="{046768EE-DD14-45B8-AC9E-6948F0A52B20}" destId="{C4DA31BA-DEF2-4CF9-AD63-8220F20F3162}" srcOrd="1" destOrd="3" presId="urn:microsoft.com/office/officeart/2005/8/layout/orgChart1#1"/>
    <dgm:cxn modelId="{D4EF658D-E1F0-4140-BC52-4FDD19B93A3A}" type="presParOf" srcId="{046768EE-DD14-45B8-AC9E-6948F0A52B20}" destId="{731287ED-3949-4641-87CB-D8BB53FB4529}" srcOrd="2" destOrd="3" presId="urn:microsoft.com/office/officeart/2005/8/layout/orgChart1#1"/>
    <dgm:cxn modelId="{06345023-AA6C-4931-B4A8-11AD6796E873}" type="presParOf" srcId="{F0274AB0-C789-4F99-8315-C82D5DD3E2B7}" destId="{F85F4A7C-F462-4AED-85FB-BE0CBA72BC34}" srcOrd="2" destOrd="3" presId="urn:microsoft.com/office/officeart/2005/8/layout/orgChart1#1"/>
    <dgm:cxn modelId="{EE027612-D2E3-46A4-8432-508F46F11868}" type="presParOf" srcId="{4DEA7C6B-6182-4C5A-821D-4A509553FBB2}" destId="{FD1C4D27-B948-453B-9345-11EBFF31FC42}" srcOrd="4" destOrd="1" presId="urn:microsoft.com/office/officeart/2005/8/layout/orgChart1#1"/>
    <dgm:cxn modelId="{9E924B18-6187-4D56-B5C9-0901042FB057}" type="presOf" srcId="{761AE639-265C-4BDF-A139-7029FE0DB2D3}" destId="{FD1C4D27-B948-453B-9345-11EBFF31FC42}" srcOrd="0" destOrd="0" presId="urn:microsoft.com/office/officeart/2005/8/layout/orgChart1#1"/>
    <dgm:cxn modelId="{BBDB4CBC-C2A8-4976-92BF-72E836FDA610}" type="presParOf" srcId="{4DEA7C6B-6182-4C5A-821D-4A509553FBB2}" destId="{5B811D7F-C55A-4D8B-9DB7-28D9EC5B7D2E}" srcOrd="5" destOrd="1" presId="urn:microsoft.com/office/officeart/2005/8/layout/orgChart1#1"/>
    <dgm:cxn modelId="{9049536E-A5A6-42BF-912F-3C664C5A8BAF}" type="presParOf" srcId="{5B811D7F-C55A-4D8B-9DB7-28D9EC5B7D2E}" destId="{6972C1C0-A92B-4965-9239-B7EF7AFF2C93}" srcOrd="0" destOrd="5" presId="urn:microsoft.com/office/officeart/2005/8/layout/orgChart1#1"/>
    <dgm:cxn modelId="{289D3D2A-03A4-402C-A64A-A80336879D34}" type="presOf" srcId="{327CE198-7CA3-4F9D-A9ED-DCA721858FF8}" destId="{6972C1C0-A92B-4965-9239-B7EF7AFF2C93}" srcOrd="0" destOrd="0" presId="urn:microsoft.com/office/officeart/2005/8/layout/orgChart1#1"/>
    <dgm:cxn modelId="{CD93F946-BB58-4EA0-A723-A98F83E56FBB}" type="presParOf" srcId="{6972C1C0-A92B-4965-9239-B7EF7AFF2C93}" destId="{717B80C5-64A4-4A1E-9832-5F75427CC754}" srcOrd="0" destOrd="0" presId="urn:microsoft.com/office/officeart/2005/8/layout/orgChart1#1"/>
    <dgm:cxn modelId="{414770B4-92BA-4467-9CA7-202B9FBE10FD}" type="presOf" srcId="{327CE198-7CA3-4F9D-A9ED-DCA721858FF8}" destId="{717B80C5-64A4-4A1E-9832-5F75427CC754}" srcOrd="0" destOrd="0" presId="urn:microsoft.com/office/officeart/2005/8/layout/orgChart1#1"/>
    <dgm:cxn modelId="{E3BD05C3-B1AC-46BD-BCD5-48826A1C49D7}" type="presParOf" srcId="{6972C1C0-A92B-4965-9239-B7EF7AFF2C93}" destId="{065F68EA-DCFB-4074-86AD-E1ED956039AB}" srcOrd="1" destOrd="0" presId="urn:microsoft.com/office/officeart/2005/8/layout/orgChart1#1"/>
    <dgm:cxn modelId="{CEC2ED8F-5462-4A21-9A78-CB0722CC1642}" type="presOf" srcId="{327CE198-7CA3-4F9D-A9ED-DCA721858FF8}" destId="{065F68EA-DCFB-4074-86AD-E1ED956039AB}" srcOrd="0" destOrd="0" presId="urn:microsoft.com/office/officeart/2005/8/layout/orgChart1#1"/>
    <dgm:cxn modelId="{6BC4467A-1303-48A2-A3DA-3232C3BA28D8}" type="presParOf" srcId="{5B811D7F-C55A-4D8B-9DB7-28D9EC5B7D2E}" destId="{0E4D3D36-A094-4F17-8B6C-D86A3067E84F}" srcOrd="1" destOrd="5" presId="urn:microsoft.com/office/officeart/2005/8/layout/orgChart1#1"/>
    <dgm:cxn modelId="{A73DF285-9875-49F7-B4B5-07E5BD378F3D}" type="presParOf" srcId="{0E4D3D36-A094-4F17-8B6C-D86A3067E84F}" destId="{89D96412-DADE-46DB-95A0-0FB9D3A6D2A4}" srcOrd="0" destOrd="1" presId="urn:microsoft.com/office/officeart/2005/8/layout/orgChart1#1"/>
    <dgm:cxn modelId="{52258142-54B9-4C1D-9E8D-320396F3E8DA}" type="presOf" srcId="{7DEEDF33-27B6-4B1B-A5B6-A9C2E16302C9}" destId="{89D96412-DADE-46DB-95A0-0FB9D3A6D2A4}" srcOrd="0" destOrd="0" presId="urn:microsoft.com/office/officeart/2005/8/layout/orgChart1#1"/>
    <dgm:cxn modelId="{E377C84D-FA4F-4232-B479-608F4E2DD170}" type="presParOf" srcId="{0E4D3D36-A094-4F17-8B6C-D86A3067E84F}" destId="{CF91A9D9-D7EE-4AB7-B2ED-AD2EEBB7A9F7}" srcOrd="1" destOrd="1" presId="urn:microsoft.com/office/officeart/2005/8/layout/orgChart1#1"/>
    <dgm:cxn modelId="{3E984D79-380D-49D8-A067-E1B7741BB5DA}" type="presParOf" srcId="{CF91A9D9-D7EE-4AB7-B2ED-AD2EEBB7A9F7}" destId="{C8711473-FFBD-4101-B220-C522FAF80489}" srcOrd="0" destOrd="1" presId="urn:microsoft.com/office/officeart/2005/8/layout/orgChart1#1"/>
    <dgm:cxn modelId="{9F4623F8-5198-4CA9-B1D1-3B4354B57BC5}" type="presOf" srcId="{774B6EB0-872E-41B0-8077-C7B44C3FD845}" destId="{C8711473-FFBD-4101-B220-C522FAF80489}" srcOrd="0" destOrd="0" presId="urn:microsoft.com/office/officeart/2005/8/layout/orgChart1#1"/>
    <dgm:cxn modelId="{8CFF404D-1366-4FD5-8C58-453EA35B6F22}" type="presParOf" srcId="{C8711473-FFBD-4101-B220-C522FAF80489}" destId="{0708D18E-E0D4-40C6-94BA-E1FFD5EF8B16}" srcOrd="0" destOrd="0" presId="urn:microsoft.com/office/officeart/2005/8/layout/orgChart1#1"/>
    <dgm:cxn modelId="{F5CEF993-49B3-4EA9-BEE8-7A89CEC3CEA6}" type="presOf" srcId="{774B6EB0-872E-41B0-8077-C7B44C3FD845}" destId="{0708D18E-E0D4-40C6-94BA-E1FFD5EF8B16}" srcOrd="0" destOrd="0" presId="urn:microsoft.com/office/officeart/2005/8/layout/orgChart1#1"/>
    <dgm:cxn modelId="{1CC3B7A2-EA79-40F7-9AAA-5C664B82F6DE}" type="presParOf" srcId="{C8711473-FFBD-4101-B220-C522FAF80489}" destId="{02D251EA-BB93-44BC-813C-A41BE361521C}" srcOrd="1" destOrd="0" presId="urn:microsoft.com/office/officeart/2005/8/layout/orgChart1#1"/>
    <dgm:cxn modelId="{F2EBEE15-3171-4810-81AC-D966D093D59A}" type="presOf" srcId="{774B6EB0-872E-41B0-8077-C7B44C3FD845}" destId="{02D251EA-BB93-44BC-813C-A41BE361521C}" srcOrd="0" destOrd="0" presId="urn:microsoft.com/office/officeart/2005/8/layout/orgChart1#1"/>
    <dgm:cxn modelId="{17DBCA61-FBEE-494A-A2A3-BD308EECD21E}" type="presParOf" srcId="{CF91A9D9-D7EE-4AB7-B2ED-AD2EEBB7A9F7}" destId="{F5E9A7ED-C2CC-4DB0-B35E-F8FC18B713BD}" srcOrd="1" destOrd="1" presId="urn:microsoft.com/office/officeart/2005/8/layout/orgChart1#1"/>
    <dgm:cxn modelId="{AAFD26A7-EECB-466D-B3F4-A433A845FBC9}" type="presParOf" srcId="{F5E9A7ED-C2CC-4DB0-B35E-F8FC18B713BD}" destId="{848A4925-AD99-47F5-8681-89F1C531E485}" srcOrd="0" destOrd="1" presId="urn:microsoft.com/office/officeart/2005/8/layout/orgChart1#1"/>
    <dgm:cxn modelId="{16466452-7209-47F6-9697-22020253B0E5}" type="presOf" srcId="{14CA1619-C3D0-4B9C-A7FD-39DE1039A657}" destId="{848A4925-AD99-47F5-8681-89F1C531E485}" srcOrd="0" destOrd="0" presId="urn:microsoft.com/office/officeart/2005/8/layout/orgChart1#1"/>
    <dgm:cxn modelId="{E25A9169-5010-4A49-ADD2-5BD59A13FC63}" type="presParOf" srcId="{F5E9A7ED-C2CC-4DB0-B35E-F8FC18B713BD}" destId="{800AC756-E9C3-402F-A6AF-3FFC1E7B2F82}" srcOrd="1" destOrd="1" presId="urn:microsoft.com/office/officeart/2005/8/layout/orgChart1#1"/>
    <dgm:cxn modelId="{7CACA48C-B8CD-409A-A3BF-95DEE8F4FC26}" type="presParOf" srcId="{800AC756-E9C3-402F-A6AF-3FFC1E7B2F82}" destId="{6F7D3BB4-A21C-4EA4-A727-CF3998A3F9CB}" srcOrd="0" destOrd="1" presId="urn:microsoft.com/office/officeart/2005/8/layout/orgChart1#1"/>
    <dgm:cxn modelId="{E8497566-28BA-4428-B9B3-5697E797E50D}" type="presOf" srcId="{32878D9E-21EA-4357-9528-63440A7676AE}" destId="{6F7D3BB4-A21C-4EA4-A727-CF3998A3F9CB}" srcOrd="0" destOrd="0" presId="urn:microsoft.com/office/officeart/2005/8/layout/orgChart1#1"/>
    <dgm:cxn modelId="{A575A9FC-0961-4D9D-A2AC-D54E08B413E8}" type="presParOf" srcId="{6F7D3BB4-A21C-4EA4-A727-CF3998A3F9CB}" destId="{25C43B8A-2669-4769-875C-69982E143FFF}" srcOrd="0" destOrd="0" presId="urn:microsoft.com/office/officeart/2005/8/layout/orgChart1#1"/>
    <dgm:cxn modelId="{DD0F7055-BB98-4A6E-88AC-FAD15CE7AAC7}" type="presOf" srcId="{32878D9E-21EA-4357-9528-63440A7676AE}" destId="{25C43B8A-2669-4769-875C-69982E143FFF}" srcOrd="0" destOrd="0" presId="urn:microsoft.com/office/officeart/2005/8/layout/orgChart1#1"/>
    <dgm:cxn modelId="{92BBC0B6-F1B3-4053-A23F-5F867DB2762F}" type="presParOf" srcId="{6F7D3BB4-A21C-4EA4-A727-CF3998A3F9CB}" destId="{AC5AE1AF-68DD-4252-B36E-8F5E53D6E757}" srcOrd="1" destOrd="0" presId="urn:microsoft.com/office/officeart/2005/8/layout/orgChart1#1"/>
    <dgm:cxn modelId="{95533693-2C6D-4141-AAE0-79C774FF8908}" type="presOf" srcId="{32878D9E-21EA-4357-9528-63440A7676AE}" destId="{AC5AE1AF-68DD-4252-B36E-8F5E53D6E757}" srcOrd="0" destOrd="0" presId="urn:microsoft.com/office/officeart/2005/8/layout/orgChart1#1"/>
    <dgm:cxn modelId="{8CD7E0E3-A147-4578-A1AB-95BEF0E7534D}" type="presParOf" srcId="{800AC756-E9C3-402F-A6AF-3FFC1E7B2F82}" destId="{E3A2FEF9-E871-4C34-929B-2CD29CC56A6F}" srcOrd="1" destOrd="1" presId="urn:microsoft.com/office/officeart/2005/8/layout/orgChart1#1"/>
    <dgm:cxn modelId="{EDA64D9C-6C70-4A12-90E6-61AB2B1DE299}" type="presParOf" srcId="{E3A2FEF9-E871-4C34-929B-2CD29CC56A6F}" destId="{0B944870-DF9D-4F35-BA48-AFC38E6BC559}" srcOrd="0" destOrd="1" presId="urn:microsoft.com/office/officeart/2005/8/layout/orgChart1#1"/>
    <dgm:cxn modelId="{A9B2349A-57F2-4547-B5AE-595B9915A45F}" type="presOf" srcId="{7496450A-812B-4027-8D03-8E7FD233DD3E}" destId="{0B944870-DF9D-4F35-BA48-AFC38E6BC559}" srcOrd="0" destOrd="0" presId="urn:microsoft.com/office/officeart/2005/8/layout/orgChart1#1"/>
    <dgm:cxn modelId="{A6A7B112-3F4E-4228-AEA5-B802B477BA27}" type="presParOf" srcId="{E3A2FEF9-E871-4C34-929B-2CD29CC56A6F}" destId="{849959C7-2D9F-4932-B4AA-7AC6E17763A9}" srcOrd="1" destOrd="1" presId="urn:microsoft.com/office/officeart/2005/8/layout/orgChart1#1"/>
    <dgm:cxn modelId="{FC95C26E-0190-4DDB-A112-A993B484FE1A}" type="presParOf" srcId="{849959C7-2D9F-4932-B4AA-7AC6E17763A9}" destId="{2CC774B4-BF80-408B-969B-9910000DBEB2}" srcOrd="0" destOrd="1" presId="urn:microsoft.com/office/officeart/2005/8/layout/orgChart1#1"/>
    <dgm:cxn modelId="{8BFF8715-9ABA-432E-9179-61D622C08042}" type="presOf" srcId="{5C32B023-EC67-4E0C-9757-130A638F392C}" destId="{2CC774B4-BF80-408B-969B-9910000DBEB2}" srcOrd="0" destOrd="0" presId="urn:microsoft.com/office/officeart/2005/8/layout/orgChart1#1"/>
    <dgm:cxn modelId="{CBD94210-0747-43FD-8136-57C5149100A5}" type="presParOf" srcId="{2CC774B4-BF80-408B-969B-9910000DBEB2}" destId="{54B7CC9E-09E0-4395-B3B1-0D3C8A51965F}" srcOrd="0" destOrd="0" presId="urn:microsoft.com/office/officeart/2005/8/layout/orgChart1#1"/>
    <dgm:cxn modelId="{E18FFB7F-0846-46DE-8ED1-E58BF501286E}" type="presOf" srcId="{5C32B023-EC67-4E0C-9757-130A638F392C}" destId="{54B7CC9E-09E0-4395-B3B1-0D3C8A51965F}" srcOrd="0" destOrd="0" presId="urn:microsoft.com/office/officeart/2005/8/layout/orgChart1#1"/>
    <dgm:cxn modelId="{3EFC4E7D-CA85-4CA2-86C5-1F2A91474077}" type="presParOf" srcId="{2CC774B4-BF80-408B-969B-9910000DBEB2}" destId="{108BCE2F-CB3E-48AF-A1A0-6AFA94EC2519}" srcOrd="1" destOrd="0" presId="urn:microsoft.com/office/officeart/2005/8/layout/orgChart1#1"/>
    <dgm:cxn modelId="{3CC77078-0509-43B9-AF0B-9D947CE7D789}" type="presOf" srcId="{5C32B023-EC67-4E0C-9757-130A638F392C}" destId="{108BCE2F-CB3E-48AF-A1A0-6AFA94EC2519}" srcOrd="0" destOrd="0" presId="urn:microsoft.com/office/officeart/2005/8/layout/orgChart1#1"/>
    <dgm:cxn modelId="{44F97116-BDBB-404E-89BD-710C79831F16}" type="presParOf" srcId="{849959C7-2D9F-4932-B4AA-7AC6E17763A9}" destId="{90F3A92F-D8C9-4DB4-B556-A107210BB999}" srcOrd="1" destOrd="1" presId="urn:microsoft.com/office/officeart/2005/8/layout/orgChart1#1"/>
    <dgm:cxn modelId="{708F4270-BC5B-4208-9ACC-807000938154}" type="presParOf" srcId="{90F3A92F-D8C9-4DB4-B556-A107210BB999}" destId="{8E27AC08-B15F-49D3-BD6D-DDCF68CCEE89}" srcOrd="0" destOrd="1" presId="urn:microsoft.com/office/officeart/2005/8/layout/orgChart1#1"/>
    <dgm:cxn modelId="{B414A646-6D6C-409D-A562-8A9482FDF14C}" type="presOf" srcId="{1660E56E-42AF-4C8C-89EB-6D0B0D60FE50}" destId="{8E27AC08-B15F-49D3-BD6D-DDCF68CCEE89}" srcOrd="0" destOrd="0" presId="urn:microsoft.com/office/officeart/2005/8/layout/orgChart1#1"/>
    <dgm:cxn modelId="{F2E78B62-564E-4922-BD34-82ACF683D118}" type="presParOf" srcId="{90F3A92F-D8C9-4DB4-B556-A107210BB999}" destId="{D4CDA406-DEB6-4E08-B251-F3BF9CC48AA8}" srcOrd="1" destOrd="1" presId="urn:microsoft.com/office/officeart/2005/8/layout/orgChart1#1"/>
    <dgm:cxn modelId="{44FD4A24-D53D-4A0F-85C4-C2B5500B194E}" type="presParOf" srcId="{D4CDA406-DEB6-4E08-B251-F3BF9CC48AA8}" destId="{440BCF3A-457A-4470-ACC5-2CB7B97CCF35}" srcOrd="0" destOrd="1" presId="urn:microsoft.com/office/officeart/2005/8/layout/orgChart1#1"/>
    <dgm:cxn modelId="{176AEE33-6455-4A3E-8F88-1E8B942EE711}" type="presOf" srcId="{623D18D6-E846-415B-A99D-F7169C824EEA}" destId="{440BCF3A-457A-4470-ACC5-2CB7B97CCF35}" srcOrd="0" destOrd="0" presId="urn:microsoft.com/office/officeart/2005/8/layout/orgChart1#1"/>
    <dgm:cxn modelId="{5738FFFA-42A8-462E-99BA-3FCA752D101E}" type="presParOf" srcId="{440BCF3A-457A-4470-ACC5-2CB7B97CCF35}" destId="{D4D813A4-B147-4872-9C78-E577D9681E97}" srcOrd="0" destOrd="0" presId="urn:microsoft.com/office/officeart/2005/8/layout/orgChart1#1"/>
    <dgm:cxn modelId="{9A6670BC-9A6D-484E-AFD7-FD99B7152624}" type="presOf" srcId="{623D18D6-E846-415B-A99D-F7169C824EEA}" destId="{D4D813A4-B147-4872-9C78-E577D9681E97}" srcOrd="0" destOrd="0" presId="urn:microsoft.com/office/officeart/2005/8/layout/orgChart1#1"/>
    <dgm:cxn modelId="{53EF316B-2105-40F4-A4E8-B1D20BBA4D77}" type="presParOf" srcId="{440BCF3A-457A-4470-ACC5-2CB7B97CCF35}" destId="{731CFE36-BE85-4636-ADE3-08F37E0F3E76}" srcOrd="1" destOrd="0" presId="urn:microsoft.com/office/officeart/2005/8/layout/orgChart1#1"/>
    <dgm:cxn modelId="{D68A8314-29F5-4C7C-97AD-1332AC07CAC1}" type="presOf" srcId="{623D18D6-E846-415B-A99D-F7169C824EEA}" destId="{731CFE36-BE85-4636-ADE3-08F37E0F3E76}" srcOrd="0" destOrd="0" presId="urn:microsoft.com/office/officeart/2005/8/layout/orgChart1#1"/>
    <dgm:cxn modelId="{490ABD7F-27B5-45BC-9F6E-78BFC7D0B3F8}" type="presParOf" srcId="{D4CDA406-DEB6-4E08-B251-F3BF9CC48AA8}" destId="{06116709-2EA8-441B-8892-254B3CC97179}" srcOrd="1" destOrd="1" presId="urn:microsoft.com/office/officeart/2005/8/layout/orgChart1#1"/>
    <dgm:cxn modelId="{19846446-8172-4C6D-9C7B-AFA2827A0686}" type="presParOf" srcId="{D4CDA406-DEB6-4E08-B251-F3BF9CC48AA8}" destId="{44AF63E9-44B8-459F-B8C5-6FD2D5216970}" srcOrd="2" destOrd="1" presId="urn:microsoft.com/office/officeart/2005/8/layout/orgChart1#1"/>
    <dgm:cxn modelId="{2A7C5AA3-C8AA-4E87-8282-3D6CB6D68E3D}" type="presParOf" srcId="{849959C7-2D9F-4932-B4AA-7AC6E17763A9}" destId="{ADD433DC-62D1-420B-BEEC-3E288FBBF371}" srcOrd="2" destOrd="1" presId="urn:microsoft.com/office/officeart/2005/8/layout/orgChart1#1"/>
    <dgm:cxn modelId="{B1A259FC-4F34-4DA6-9BF0-05878B2F65DE}" type="presParOf" srcId="{800AC756-E9C3-402F-A6AF-3FFC1E7B2F82}" destId="{9A4417FF-B8A7-4B76-BD7F-EE83EB000F11}" srcOrd="2" destOrd="1" presId="urn:microsoft.com/office/officeart/2005/8/layout/orgChart1#1"/>
    <dgm:cxn modelId="{983DAD50-2003-4657-93AF-B5CC1AC6772B}" type="presParOf" srcId="{CF91A9D9-D7EE-4AB7-B2ED-AD2EEBB7A9F7}" destId="{508D70AD-A823-49B5-951A-7EB842455075}" srcOrd="2" destOrd="1" presId="urn:microsoft.com/office/officeart/2005/8/layout/orgChart1#1"/>
    <dgm:cxn modelId="{64E9DE66-30C1-4780-A948-D15F6A2642BA}" type="presParOf" srcId="{5B811D7F-C55A-4D8B-9DB7-28D9EC5B7D2E}" destId="{1C371473-E48B-4704-914D-678F6209AAF5}" srcOrd="2" destOrd="5" presId="urn:microsoft.com/office/officeart/2005/8/layout/orgChart1#1"/>
    <dgm:cxn modelId="{9480294F-08D4-4AD9-BB43-F1D5CA2C2076}" type="presParOf" srcId="{0B573F45-E1DD-45A4-B023-DF135FCFAB5F}" destId="{B49AC448-4D30-429C-ACF1-FF6C8D0B86C8}" srcOrd="2" destOrd="0" presId="urn:microsoft.com/office/officeart/2005/8/layout/orgChart1#1"/>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E27AC08-B15F-49D3-BD6D-DDCF68CCEE89}">
      <dsp:nvSpPr>
        <dsp:cNvPr id="0" name=""/>
        <dsp:cNvSpPr/>
      </dsp:nvSpPr>
      <dsp:spPr>
        <a:xfrm>
          <a:off x="4515489" y="3110109"/>
          <a:ext cx="91440" cy="195493"/>
        </a:xfrm>
        <a:custGeom>
          <a:avLst/>
          <a:gdLst/>
          <a:ahLst/>
          <a:cxnLst/>
          <a:rect l="0" t="0" r="0" b="0"/>
          <a:pathLst>
            <a:path>
              <a:moveTo>
                <a:pt x="45720" y="0"/>
              </a:moveTo>
              <a:lnTo>
                <a:pt x="45720" y="19549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B944870-DF9D-4F35-BA48-AFC38E6BC559}">
      <dsp:nvSpPr>
        <dsp:cNvPr id="0" name=""/>
        <dsp:cNvSpPr/>
      </dsp:nvSpPr>
      <dsp:spPr>
        <a:xfrm>
          <a:off x="4515489" y="2449156"/>
          <a:ext cx="91440" cy="195493"/>
        </a:xfrm>
        <a:custGeom>
          <a:avLst/>
          <a:gdLst/>
          <a:ahLst/>
          <a:cxnLst/>
          <a:rect l="0" t="0" r="0" b="0"/>
          <a:pathLst>
            <a:path>
              <a:moveTo>
                <a:pt x="45720" y="0"/>
              </a:moveTo>
              <a:lnTo>
                <a:pt x="45720" y="19549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48A4925-AD99-47F5-8681-89F1C531E485}">
      <dsp:nvSpPr>
        <dsp:cNvPr id="0" name=""/>
        <dsp:cNvSpPr/>
      </dsp:nvSpPr>
      <dsp:spPr>
        <a:xfrm>
          <a:off x="4515489" y="1788203"/>
          <a:ext cx="91440" cy="195493"/>
        </a:xfrm>
        <a:custGeom>
          <a:avLst/>
          <a:gdLst/>
          <a:ahLst/>
          <a:cxnLst/>
          <a:rect l="0" t="0" r="0" b="0"/>
          <a:pathLst>
            <a:path>
              <a:moveTo>
                <a:pt x="45720" y="0"/>
              </a:moveTo>
              <a:lnTo>
                <a:pt x="45720" y="19549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9D96412-DADE-46DB-95A0-0FB9D3A6D2A4}">
      <dsp:nvSpPr>
        <dsp:cNvPr id="0" name=""/>
        <dsp:cNvSpPr/>
      </dsp:nvSpPr>
      <dsp:spPr>
        <a:xfrm>
          <a:off x="4515489" y="1127250"/>
          <a:ext cx="91440" cy="195493"/>
        </a:xfrm>
        <a:custGeom>
          <a:avLst/>
          <a:gdLst/>
          <a:ahLst/>
          <a:cxnLst/>
          <a:rect l="0" t="0" r="0" b="0"/>
          <a:pathLst>
            <a:path>
              <a:moveTo>
                <a:pt x="45720" y="0"/>
              </a:moveTo>
              <a:lnTo>
                <a:pt x="45720" y="19549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D1C4D27-B948-453B-9345-11EBFF31FC42}">
      <dsp:nvSpPr>
        <dsp:cNvPr id="0" name=""/>
        <dsp:cNvSpPr/>
      </dsp:nvSpPr>
      <dsp:spPr>
        <a:xfrm>
          <a:off x="2743199" y="466297"/>
          <a:ext cx="1818009" cy="195493"/>
        </a:xfrm>
        <a:custGeom>
          <a:avLst/>
          <a:gdLst/>
          <a:ahLst/>
          <a:cxnLst/>
          <a:rect l="0" t="0" r="0" b="0"/>
          <a:pathLst>
            <a:path>
              <a:moveTo>
                <a:pt x="0" y="0"/>
              </a:moveTo>
              <a:lnTo>
                <a:pt x="0" y="97746"/>
              </a:lnTo>
              <a:lnTo>
                <a:pt x="1818009" y="97746"/>
              </a:lnTo>
              <a:lnTo>
                <a:pt x="1818009" y="19549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224C4DD-3948-472C-AED5-A03C4DC0D720}">
      <dsp:nvSpPr>
        <dsp:cNvPr id="0" name=""/>
        <dsp:cNvSpPr/>
      </dsp:nvSpPr>
      <dsp:spPr>
        <a:xfrm>
          <a:off x="1986025" y="1127250"/>
          <a:ext cx="216335" cy="1089176"/>
        </a:xfrm>
        <a:custGeom>
          <a:avLst/>
          <a:gdLst/>
          <a:ahLst/>
          <a:cxnLst/>
          <a:rect l="0" t="0" r="0" b="0"/>
          <a:pathLst>
            <a:path>
              <a:moveTo>
                <a:pt x="0" y="0"/>
              </a:moveTo>
              <a:lnTo>
                <a:pt x="0" y="1089176"/>
              </a:lnTo>
              <a:lnTo>
                <a:pt x="216335" y="108917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E7BFE82-9929-4F88-8FFF-68FE798BD156}">
      <dsp:nvSpPr>
        <dsp:cNvPr id="0" name=""/>
        <dsp:cNvSpPr/>
      </dsp:nvSpPr>
      <dsp:spPr>
        <a:xfrm>
          <a:off x="1986025" y="1127250"/>
          <a:ext cx="216335" cy="428223"/>
        </a:xfrm>
        <a:custGeom>
          <a:avLst/>
          <a:gdLst/>
          <a:ahLst/>
          <a:cxnLst/>
          <a:rect l="0" t="0" r="0" b="0"/>
          <a:pathLst>
            <a:path>
              <a:moveTo>
                <a:pt x="0" y="0"/>
              </a:moveTo>
              <a:lnTo>
                <a:pt x="0" y="428223"/>
              </a:lnTo>
              <a:lnTo>
                <a:pt x="216335" y="42822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8EAF7F0-787A-40BF-93A3-A26A1F30E6E8}">
      <dsp:nvSpPr>
        <dsp:cNvPr id="0" name=""/>
        <dsp:cNvSpPr/>
      </dsp:nvSpPr>
      <dsp:spPr>
        <a:xfrm>
          <a:off x="2562920" y="466297"/>
          <a:ext cx="180279" cy="195493"/>
        </a:xfrm>
        <a:custGeom>
          <a:avLst/>
          <a:gdLst/>
          <a:ahLst/>
          <a:cxnLst/>
          <a:rect l="0" t="0" r="0" b="0"/>
          <a:pathLst>
            <a:path>
              <a:moveTo>
                <a:pt x="180279" y="0"/>
              </a:moveTo>
              <a:lnTo>
                <a:pt x="180279" y="97746"/>
              </a:lnTo>
              <a:lnTo>
                <a:pt x="0" y="97746"/>
              </a:lnTo>
              <a:lnTo>
                <a:pt x="0" y="19549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4477E64-8829-4991-9C90-34E3490BAE14}">
      <dsp:nvSpPr>
        <dsp:cNvPr id="0" name=""/>
        <dsp:cNvSpPr/>
      </dsp:nvSpPr>
      <dsp:spPr>
        <a:xfrm>
          <a:off x="144223" y="1128804"/>
          <a:ext cx="166647" cy="2410365"/>
        </a:xfrm>
        <a:custGeom>
          <a:avLst/>
          <a:gdLst/>
          <a:ahLst/>
          <a:cxnLst/>
          <a:rect l="0" t="0" r="0" b="0"/>
          <a:pathLst>
            <a:path>
              <a:moveTo>
                <a:pt x="0" y="0"/>
              </a:moveTo>
              <a:lnTo>
                <a:pt x="0" y="2410365"/>
              </a:lnTo>
              <a:lnTo>
                <a:pt x="166647" y="241036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7688739-D1C6-4B1F-B9FC-2BF798A02A35}">
      <dsp:nvSpPr>
        <dsp:cNvPr id="0" name=""/>
        <dsp:cNvSpPr/>
      </dsp:nvSpPr>
      <dsp:spPr>
        <a:xfrm>
          <a:off x="144223" y="1128804"/>
          <a:ext cx="166647" cy="1750129"/>
        </a:xfrm>
        <a:custGeom>
          <a:avLst/>
          <a:gdLst/>
          <a:ahLst/>
          <a:cxnLst/>
          <a:rect l="0" t="0" r="0" b="0"/>
          <a:pathLst>
            <a:path>
              <a:moveTo>
                <a:pt x="0" y="0"/>
              </a:moveTo>
              <a:lnTo>
                <a:pt x="0" y="1750129"/>
              </a:lnTo>
              <a:lnTo>
                <a:pt x="166647" y="175012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A18E733-86FF-45B3-A3E5-644A39066A02}">
      <dsp:nvSpPr>
        <dsp:cNvPr id="0" name=""/>
        <dsp:cNvSpPr/>
      </dsp:nvSpPr>
      <dsp:spPr>
        <a:xfrm>
          <a:off x="144223" y="1128804"/>
          <a:ext cx="166647" cy="1089176"/>
        </a:xfrm>
        <a:custGeom>
          <a:avLst/>
          <a:gdLst/>
          <a:ahLst/>
          <a:cxnLst/>
          <a:rect l="0" t="0" r="0" b="0"/>
          <a:pathLst>
            <a:path>
              <a:moveTo>
                <a:pt x="0" y="0"/>
              </a:moveTo>
              <a:lnTo>
                <a:pt x="0" y="1089176"/>
              </a:lnTo>
              <a:lnTo>
                <a:pt x="166647" y="108917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55D7281-B591-44C7-A500-B29E773C2F8F}">
      <dsp:nvSpPr>
        <dsp:cNvPr id="0" name=""/>
        <dsp:cNvSpPr/>
      </dsp:nvSpPr>
      <dsp:spPr>
        <a:xfrm>
          <a:off x="144223" y="1128804"/>
          <a:ext cx="166647" cy="428223"/>
        </a:xfrm>
        <a:custGeom>
          <a:avLst/>
          <a:gdLst/>
          <a:ahLst/>
          <a:cxnLst/>
          <a:rect l="0" t="0" r="0" b="0"/>
          <a:pathLst>
            <a:path>
              <a:moveTo>
                <a:pt x="0" y="0"/>
              </a:moveTo>
              <a:lnTo>
                <a:pt x="0" y="428223"/>
              </a:lnTo>
              <a:lnTo>
                <a:pt x="166647" y="42822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7EFFF15-6E52-4161-971B-9FB2165CA843}">
      <dsp:nvSpPr>
        <dsp:cNvPr id="0" name=""/>
        <dsp:cNvSpPr/>
      </dsp:nvSpPr>
      <dsp:spPr>
        <a:xfrm>
          <a:off x="721118" y="466297"/>
          <a:ext cx="2022081" cy="197047"/>
        </a:xfrm>
        <a:custGeom>
          <a:avLst/>
          <a:gdLst/>
          <a:ahLst/>
          <a:cxnLst/>
          <a:rect l="0" t="0" r="0" b="0"/>
          <a:pathLst>
            <a:path>
              <a:moveTo>
                <a:pt x="2022081" y="0"/>
              </a:moveTo>
              <a:lnTo>
                <a:pt x="2022081" y="99301"/>
              </a:lnTo>
              <a:lnTo>
                <a:pt x="0" y="99301"/>
              </a:lnTo>
              <a:lnTo>
                <a:pt x="0" y="19704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400FF32-1B9B-4A0E-861A-E8EB051C6B26}">
      <dsp:nvSpPr>
        <dsp:cNvPr id="0" name=""/>
        <dsp:cNvSpPr/>
      </dsp:nvSpPr>
      <dsp:spPr>
        <a:xfrm>
          <a:off x="2022081" y="837"/>
          <a:ext cx="1442236" cy="4654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ru-RU" sz="1300" kern="1200">
              <a:latin typeface="Times New Roman" panose="02020603050405020304" charset="0"/>
              <a:cs typeface="Times New Roman" panose="02020603050405020304" charset="0"/>
            </a:rPr>
            <a:t>Генеральный директор</a:t>
          </a:r>
        </a:p>
      </dsp:txBody>
      <dsp:txXfrm>
        <a:off x="2022081" y="837"/>
        <a:ext cx="1442236" cy="465459"/>
      </dsp:txXfrm>
    </dsp:sp>
    <dsp:sp modelId="{FFABBA8E-2F37-48E8-9C8E-527CC7C60ADC}">
      <dsp:nvSpPr>
        <dsp:cNvPr id="0" name=""/>
        <dsp:cNvSpPr/>
      </dsp:nvSpPr>
      <dsp:spPr>
        <a:xfrm>
          <a:off x="0" y="663344"/>
          <a:ext cx="1442236" cy="4654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ru-RU" sz="1300" kern="1200">
              <a:latin typeface="Times New Roman" panose="02020603050405020304" charset="0"/>
              <a:cs typeface="Times New Roman" panose="02020603050405020304" charset="0"/>
            </a:rPr>
            <a:t>Исполнительный директор</a:t>
          </a:r>
        </a:p>
      </dsp:txBody>
      <dsp:txXfrm>
        <a:off x="0" y="663344"/>
        <a:ext cx="1442236" cy="465459"/>
      </dsp:txXfrm>
    </dsp:sp>
    <dsp:sp modelId="{056E5AEF-217C-4230-8AE5-6288018780AA}">
      <dsp:nvSpPr>
        <dsp:cNvPr id="0" name=""/>
        <dsp:cNvSpPr/>
      </dsp:nvSpPr>
      <dsp:spPr>
        <a:xfrm>
          <a:off x="310871" y="1324298"/>
          <a:ext cx="1442236" cy="4654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ru-RU" sz="1300" kern="1200">
              <a:latin typeface="Times New Roman" panose="02020603050405020304" charset="0"/>
              <a:cs typeface="Times New Roman" panose="02020603050405020304" charset="0"/>
            </a:rPr>
            <a:t>Производственный отдел</a:t>
          </a:r>
        </a:p>
      </dsp:txBody>
      <dsp:txXfrm>
        <a:off x="310871" y="1324298"/>
        <a:ext cx="1442236" cy="465459"/>
      </dsp:txXfrm>
    </dsp:sp>
    <dsp:sp modelId="{BB81DA25-8873-403C-A7B7-749297E73B8A}">
      <dsp:nvSpPr>
        <dsp:cNvPr id="0" name=""/>
        <dsp:cNvSpPr/>
      </dsp:nvSpPr>
      <dsp:spPr>
        <a:xfrm>
          <a:off x="310871" y="1985251"/>
          <a:ext cx="1442236" cy="4654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ru-RU" sz="1300" kern="1200">
              <a:latin typeface="Times New Roman" panose="02020603050405020304" charset="0"/>
              <a:cs typeface="Times New Roman" panose="02020603050405020304" charset="0"/>
            </a:rPr>
            <a:t>Главный механик</a:t>
          </a:r>
        </a:p>
      </dsp:txBody>
      <dsp:txXfrm>
        <a:off x="310871" y="1985251"/>
        <a:ext cx="1442236" cy="465459"/>
      </dsp:txXfrm>
    </dsp:sp>
    <dsp:sp modelId="{10F2B7FE-1C5E-449F-9987-2491EFB10CBB}">
      <dsp:nvSpPr>
        <dsp:cNvPr id="0" name=""/>
        <dsp:cNvSpPr/>
      </dsp:nvSpPr>
      <dsp:spPr>
        <a:xfrm>
          <a:off x="310871" y="2646204"/>
          <a:ext cx="1442236" cy="4654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ru-RU" sz="1300" kern="1200">
              <a:latin typeface="Times New Roman" panose="02020603050405020304" charset="0"/>
              <a:cs typeface="Times New Roman" panose="02020603050405020304" charset="0"/>
            </a:rPr>
            <a:t>Главный энергетик</a:t>
          </a:r>
        </a:p>
      </dsp:txBody>
      <dsp:txXfrm>
        <a:off x="310871" y="2646204"/>
        <a:ext cx="1442236" cy="465459"/>
      </dsp:txXfrm>
    </dsp:sp>
    <dsp:sp modelId="{674F11FC-7095-407F-A466-7D4A160294FC}">
      <dsp:nvSpPr>
        <dsp:cNvPr id="0" name=""/>
        <dsp:cNvSpPr/>
      </dsp:nvSpPr>
      <dsp:spPr>
        <a:xfrm>
          <a:off x="310871" y="3306440"/>
          <a:ext cx="1442236" cy="4654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ru-RU" sz="1300" kern="1200">
              <a:latin typeface="Times New Roman" panose="02020603050405020304" charset="0"/>
              <a:cs typeface="Times New Roman" panose="02020603050405020304" charset="0"/>
            </a:rPr>
            <a:t>Отдел технического контроля</a:t>
          </a:r>
        </a:p>
      </dsp:txBody>
      <dsp:txXfrm>
        <a:off x="310871" y="3306440"/>
        <a:ext cx="1442236" cy="465459"/>
      </dsp:txXfrm>
    </dsp:sp>
    <dsp:sp modelId="{9F516359-A5FE-43D4-9CDC-64ACBCA2E2B3}">
      <dsp:nvSpPr>
        <dsp:cNvPr id="0" name=""/>
        <dsp:cNvSpPr/>
      </dsp:nvSpPr>
      <dsp:spPr>
        <a:xfrm>
          <a:off x="1841801" y="661790"/>
          <a:ext cx="1442236" cy="4654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ru-RU" sz="1300" kern="1200">
              <a:latin typeface="Times New Roman" panose="02020603050405020304" charset="0"/>
              <a:cs typeface="Times New Roman" panose="02020603050405020304" charset="0"/>
            </a:rPr>
            <a:t>Коммерческий директор</a:t>
          </a:r>
        </a:p>
      </dsp:txBody>
      <dsp:txXfrm>
        <a:off x="1841801" y="661790"/>
        <a:ext cx="1442236" cy="465459"/>
      </dsp:txXfrm>
    </dsp:sp>
    <dsp:sp modelId="{E5E522C4-9BDF-41B9-A7A6-9771DCBBC408}">
      <dsp:nvSpPr>
        <dsp:cNvPr id="0" name=""/>
        <dsp:cNvSpPr/>
      </dsp:nvSpPr>
      <dsp:spPr>
        <a:xfrm>
          <a:off x="2202361" y="1322743"/>
          <a:ext cx="1442236" cy="4654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ru-RU" sz="1300" kern="1200">
              <a:latin typeface="Times New Roman" panose="02020603050405020304" charset="0"/>
              <a:cs typeface="Times New Roman" panose="02020603050405020304" charset="0"/>
            </a:rPr>
            <a:t>Отдел реализации</a:t>
          </a:r>
        </a:p>
      </dsp:txBody>
      <dsp:txXfrm>
        <a:off x="2202361" y="1322743"/>
        <a:ext cx="1442236" cy="465459"/>
      </dsp:txXfrm>
    </dsp:sp>
    <dsp:sp modelId="{EC26A430-78E4-4AE5-AB8E-DA1B07A3B46F}">
      <dsp:nvSpPr>
        <dsp:cNvPr id="0" name=""/>
        <dsp:cNvSpPr/>
      </dsp:nvSpPr>
      <dsp:spPr>
        <a:xfrm>
          <a:off x="2202361" y="1983696"/>
          <a:ext cx="1442236" cy="4654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ru-RU" sz="1300" kern="1200">
              <a:latin typeface="Times New Roman" panose="02020603050405020304" charset="0"/>
              <a:cs typeface="Times New Roman" panose="02020603050405020304" charset="0"/>
            </a:rPr>
            <a:t>Отдел логистики и снабжения</a:t>
          </a:r>
        </a:p>
      </dsp:txBody>
      <dsp:txXfrm>
        <a:off x="2202361" y="1983696"/>
        <a:ext cx="1442236" cy="465459"/>
      </dsp:txXfrm>
    </dsp:sp>
    <dsp:sp modelId="{717B80C5-64A4-4A1E-9832-5F75427CC754}">
      <dsp:nvSpPr>
        <dsp:cNvPr id="0" name=""/>
        <dsp:cNvSpPr/>
      </dsp:nvSpPr>
      <dsp:spPr>
        <a:xfrm>
          <a:off x="3840091" y="661790"/>
          <a:ext cx="1442236" cy="4654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ru-RU" sz="1300" kern="1200">
              <a:latin typeface="Times New Roman" panose="02020603050405020304" charset="0"/>
              <a:cs typeface="Times New Roman" panose="02020603050405020304" charset="0"/>
            </a:rPr>
            <a:t>Юридический отдел</a:t>
          </a:r>
        </a:p>
      </dsp:txBody>
      <dsp:txXfrm>
        <a:off x="3840091" y="661790"/>
        <a:ext cx="1442236" cy="465459"/>
      </dsp:txXfrm>
    </dsp:sp>
    <dsp:sp modelId="{0708D18E-E0D4-40C6-94BA-E1FFD5EF8B16}">
      <dsp:nvSpPr>
        <dsp:cNvPr id="0" name=""/>
        <dsp:cNvSpPr/>
      </dsp:nvSpPr>
      <dsp:spPr>
        <a:xfrm>
          <a:off x="3840091" y="1322743"/>
          <a:ext cx="1442236" cy="4654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ru-RU" sz="1300" kern="1200">
              <a:latin typeface="Times New Roman" panose="02020603050405020304" charset="0"/>
              <a:cs typeface="Times New Roman" panose="02020603050405020304" charset="0"/>
            </a:rPr>
            <a:t>Отдел кадров</a:t>
          </a:r>
        </a:p>
      </dsp:txBody>
      <dsp:txXfrm>
        <a:off x="3840091" y="1322743"/>
        <a:ext cx="1442236" cy="465459"/>
      </dsp:txXfrm>
    </dsp:sp>
    <dsp:sp modelId="{25C43B8A-2669-4769-875C-69982E143FFF}">
      <dsp:nvSpPr>
        <dsp:cNvPr id="0" name=""/>
        <dsp:cNvSpPr/>
      </dsp:nvSpPr>
      <dsp:spPr>
        <a:xfrm>
          <a:off x="3840091" y="1983696"/>
          <a:ext cx="1442236" cy="4654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ru-RU" sz="1300" kern="1200">
              <a:latin typeface="Times New Roman" panose="02020603050405020304" charset="0"/>
              <a:cs typeface="Times New Roman" panose="02020603050405020304" charset="0"/>
            </a:rPr>
            <a:t>Экономический отдел</a:t>
          </a:r>
        </a:p>
      </dsp:txBody>
      <dsp:txXfrm>
        <a:off x="3840091" y="1983696"/>
        <a:ext cx="1442236" cy="465459"/>
      </dsp:txXfrm>
    </dsp:sp>
    <dsp:sp modelId="{54B7CC9E-09E0-4395-B3B1-0D3C8A51965F}">
      <dsp:nvSpPr>
        <dsp:cNvPr id="0" name=""/>
        <dsp:cNvSpPr/>
      </dsp:nvSpPr>
      <dsp:spPr>
        <a:xfrm>
          <a:off x="3840091" y="2644649"/>
          <a:ext cx="1442236" cy="4654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ru-RU" sz="1300" kern="1200">
              <a:latin typeface="Times New Roman" panose="02020603050405020304" charset="0"/>
              <a:cs typeface="Times New Roman" panose="02020603050405020304" charset="0"/>
            </a:rPr>
            <a:t>Бухгалтерия</a:t>
          </a:r>
        </a:p>
      </dsp:txBody>
      <dsp:txXfrm>
        <a:off x="3840091" y="2644649"/>
        <a:ext cx="1442236" cy="465459"/>
      </dsp:txXfrm>
    </dsp:sp>
    <dsp:sp modelId="{D4D813A4-B147-4872-9C78-E577D9681E97}">
      <dsp:nvSpPr>
        <dsp:cNvPr id="0" name=""/>
        <dsp:cNvSpPr/>
      </dsp:nvSpPr>
      <dsp:spPr>
        <a:xfrm>
          <a:off x="3840091" y="3305602"/>
          <a:ext cx="1442236" cy="4654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ru-RU" sz="1300" kern="1200">
              <a:latin typeface="Times New Roman" panose="02020603050405020304" charset="0"/>
              <a:cs typeface="Times New Roman" panose="02020603050405020304" charset="0"/>
            </a:rPr>
            <a:t>Служба безопасности</a:t>
          </a:r>
        </a:p>
      </dsp:txBody>
      <dsp:txXfrm>
        <a:off x="3840091" y="3305602"/>
        <a:ext cx="1442236" cy="46545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rSet qsTypeId="urn:microsoft.com/office/officeart/2005/8/quickstyle/simple5"/>
        </dgm:pt>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2">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Office_11.2.0.9144_F1E327BC-269C-435d-A152-05C5408002CA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2019-09-05T17:35:00Z</dcterms:created>
  <dc:creator>Ekaterina.Stihina</dc:creator>
  <cp:lastModifiedBy>Ekaterina.Stihina</cp:lastModifiedBy>
  <dcterms:modified xsi:type="dcterms:W3CDTF">2020-02-16T22:20:05Z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1049-11.2.0.9144</vt:lpwstr>
  </property>
</Properties>
</file>