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45D" w:rsidRDefault="0097745D" w:rsidP="0097745D">
      <w:pPr>
        <w:ind w:firstLine="709"/>
      </w:pPr>
      <w:r>
        <w:t>Актуальность темы работы подчеркивается и тем фактом, что в современных условиях обеспечить рост конкурентоспособности без привлечения крупных капиталов, финансируя проекты развития только за счет прибыли предприятий, невозможно. По этой причине в центре современной мировой конкуренции находится борьба за инвестиционные ресурсы.</w:t>
      </w:r>
    </w:p>
    <w:p w:rsidR="0097745D" w:rsidRDefault="0097745D" w:rsidP="0097745D">
      <w:pPr>
        <w:ind w:firstLine="709"/>
      </w:pPr>
      <w:r>
        <w:t>Рынок ценных бумаг в рамках рыночной экономики является важным инструментом достижения макроэкономического равновесия, в частности, за счет обеспечения финансовой стабильности. Формирование эффективного рынка ценных бумаг является важнейшим условием смягчения негативных воздействий мирового финансового кризиса.</w:t>
      </w:r>
    </w:p>
    <w:p w:rsidR="0097745D" w:rsidRDefault="0097745D" w:rsidP="0097745D">
      <w:pPr>
        <w:ind w:firstLine="709"/>
      </w:pPr>
      <w:r>
        <w:t>Объект исследования – международный фондовый рынок, субъект – роль международного фондового рынка на территории РФ.</w:t>
      </w:r>
    </w:p>
    <w:p w:rsidR="00655E08" w:rsidRDefault="0097745D" w:rsidP="00655E08">
      <w:pPr>
        <w:ind w:firstLine="709"/>
      </w:pPr>
      <w:r>
        <w:t>Цель работы – выявить р</w:t>
      </w:r>
      <w:r w:rsidRPr="0097745D">
        <w:t>оль международного фондового рынка в развитии мировой экономики</w:t>
      </w:r>
      <w:r>
        <w:t>.</w:t>
      </w:r>
    </w:p>
    <w:p w:rsidR="00655E08" w:rsidRDefault="00655E08" w:rsidP="00655E08">
      <w:pPr>
        <w:ind w:firstLine="709"/>
      </w:pPr>
      <w:r>
        <w:t>Динамика и всестороннее развитие валютного рынка, сегодня является важнейшим звеном всей мировой системы финансов, а также мировых отношений в экономической сфере в целом. Тенденции мирового рынка, изменяются на фоне глобального преобразования соотношений финансовых и торговых сделок.</w:t>
      </w:r>
    </w:p>
    <w:p w:rsidR="00D266D6" w:rsidRDefault="00D266D6" w:rsidP="00D266D6">
      <w:pPr>
        <w:ind w:firstLine="709"/>
      </w:pPr>
      <w:r>
        <w:t>В современном мире наблюдается постоянный рост количества сделок на валютном рынке, тогда как на товарных рынках доля платежей постоянно снижается.</w:t>
      </w:r>
    </w:p>
    <w:p w:rsidR="00D266D6" w:rsidRDefault="00D266D6" w:rsidP="00D266D6">
      <w:pPr>
        <w:ind w:firstLine="709"/>
      </w:pPr>
      <w:r>
        <w:t>Ситуация, складывающаяся на современном рынке, усугубляется отсутствием альтернатив американской валюте. Выступая в качестве мировой резервной валюты, доля доллара США в общих объемах мирового денежного движения, уже давно превышает 50%</w:t>
      </w:r>
      <w:r>
        <w:rPr>
          <w:rStyle w:val="a7"/>
        </w:rPr>
        <w:footnoteReference w:id="1"/>
      </w:r>
      <w:r>
        <w:t>.</w:t>
      </w:r>
    </w:p>
    <w:p w:rsidR="00D266D6" w:rsidRDefault="00D266D6" w:rsidP="00D266D6">
      <w:pPr>
        <w:ind w:firstLine="709"/>
      </w:pPr>
    </w:p>
    <w:p w:rsidR="00D266D6" w:rsidRDefault="00D266D6" w:rsidP="00D266D6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3B6A017D" wp14:editId="6CC7E0CA">
            <wp:extent cx="4232423" cy="2200275"/>
            <wp:effectExtent l="0" t="0" r="0" b="0"/>
            <wp:docPr id="1" name="Рисунок 1" descr="всестороннее развитие рынка валют, общая динам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естороннее развитие рынка валют, общая динами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857" cy="220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6D6" w:rsidRDefault="00D266D6" w:rsidP="00D266D6">
      <w:pPr>
        <w:ind w:firstLine="709"/>
        <w:jc w:val="center"/>
      </w:pPr>
      <w:r>
        <w:t>Рисунок 1 - Всестороннее развитие рынка валют, общая динамика</w:t>
      </w:r>
    </w:p>
    <w:p w:rsidR="00D266D6" w:rsidRDefault="00D266D6" w:rsidP="00D266D6">
      <w:pPr>
        <w:ind w:firstLine="709"/>
      </w:pPr>
    </w:p>
    <w:p w:rsidR="00D266D6" w:rsidRDefault="00D266D6" w:rsidP="00D266D6">
      <w:pPr>
        <w:ind w:firstLine="709"/>
      </w:pPr>
      <w:r>
        <w:t>Инвесторы, выводящие средства из активов имеющих высокие риски, к примеру, продавая акции, проводят их конвертацию в доллары США. Но при этом следует отметить, что американская валюта и ее стоимость уже давным-давно не соответствуют реальной ценности, подкрепляемой ростом экономической ситуации в Штатах.</w:t>
      </w:r>
    </w:p>
    <w:p w:rsidR="00D266D6" w:rsidRDefault="00D266D6" w:rsidP="00D266D6">
      <w:pPr>
        <w:ind w:firstLine="709"/>
      </w:pPr>
      <w:r>
        <w:t>«Накачивая» свою валюту фиктивной ценностью, и занимаясь увеличением ее эмиссии, ФРС США подводит мировую экономику к очередному витку финансовых проблем, и помимо этого усложняет положение валютного рынка.</w:t>
      </w:r>
    </w:p>
    <w:p w:rsidR="00D266D6" w:rsidRDefault="00D266D6" w:rsidP="00D266D6">
      <w:pPr>
        <w:ind w:firstLine="709"/>
      </w:pPr>
      <w:r>
        <w:t>Мировой валютный рынок (</w:t>
      </w:r>
      <w:proofErr w:type="spellStart"/>
      <w:r>
        <w:t>Forex</w:t>
      </w:r>
      <w:proofErr w:type="spellEnd"/>
      <w:r>
        <w:t xml:space="preserve">) с ежедневным оборотом в $5–6 </w:t>
      </w:r>
      <w:proofErr w:type="gramStart"/>
      <w:r>
        <w:t>трлн</w:t>
      </w:r>
      <w:proofErr w:type="gramEnd"/>
      <w:r>
        <w:t xml:space="preserve"> является чемпионом по объемам торгов среди остальных сегментов глобального финансового рынка. Настоящая стихия, существующая по своим законам и правилам, с центром и периферией, со своими подводными камнями и со своей мифологией. Российский рубль, давно перешагнувший границы локального рынка, является у трейдеров довольно популярной «сырьевой» валютой и торгуется к доллару круглосуточно</w:t>
      </w:r>
      <w:r>
        <w:rPr>
          <w:rStyle w:val="a7"/>
        </w:rPr>
        <w:footnoteReference w:id="2"/>
      </w:r>
      <w:r>
        <w:t>.</w:t>
      </w:r>
    </w:p>
    <w:p w:rsidR="00D266D6" w:rsidRDefault="00D266D6" w:rsidP="00D266D6">
      <w:pPr>
        <w:ind w:firstLine="709"/>
      </w:pPr>
      <w:r>
        <w:t xml:space="preserve">Для банков, корпораций, фондов и частных лиц существуют два основных способа торговать валютами: заключать сделки непосредственно на </w:t>
      </w:r>
      <w:proofErr w:type="spellStart"/>
      <w:r>
        <w:t>спотовом</w:t>
      </w:r>
      <w:proofErr w:type="spellEnd"/>
      <w:r>
        <w:t xml:space="preserve"> рынке с расчетами сроком «сегодня» (T+0), T+1 и</w:t>
      </w:r>
      <w:proofErr w:type="gramStart"/>
      <w:r>
        <w:t xml:space="preserve"> Т</w:t>
      </w:r>
      <w:proofErr w:type="gramEnd"/>
      <w:r>
        <w:t xml:space="preserve">+2; а также </w:t>
      </w:r>
      <w:r>
        <w:lastRenderedPageBreak/>
        <w:t>работать с производными финансовыми инструментами, такими как фьючерсы, форварды, опционы и свопы.</w:t>
      </w:r>
    </w:p>
    <w:p w:rsidR="00D266D6" w:rsidRDefault="00D266D6" w:rsidP="00D266D6">
      <w:pPr>
        <w:ind w:firstLine="709"/>
      </w:pPr>
      <w:r>
        <w:t xml:space="preserve">Когда говорят о </w:t>
      </w:r>
      <w:proofErr w:type="spellStart"/>
      <w:r>
        <w:t>форексе</w:t>
      </w:r>
      <w:proofErr w:type="spellEnd"/>
      <w:r>
        <w:t xml:space="preserve">, обычно имеют в виду </w:t>
      </w:r>
      <w:proofErr w:type="spellStart"/>
      <w:r>
        <w:t>спотовый</w:t>
      </w:r>
      <w:proofErr w:type="spellEnd"/>
      <w:r>
        <w:t xml:space="preserve"> рынок валют, который всегда был крупнейшим, потому что он обслуживает международную торговлю и трансграничные расчеты, а также потому, что там торгуются реальные валюты или «базовые активы», на которых основаны производные инструменты. В отличие от </w:t>
      </w:r>
      <w:proofErr w:type="spellStart"/>
      <w:r>
        <w:t>спотового</w:t>
      </w:r>
      <w:proofErr w:type="spellEnd"/>
      <w:r>
        <w:t xml:space="preserve"> рынка форвардный, фьючерсный и опционный рынки торгуют не реальными валютами, а контрактами, либо стандартизированными для биржевой торговли, либо определяемыми сторонами индивидуально для каждой сделки.</w:t>
      </w:r>
    </w:p>
    <w:p w:rsidR="00D266D6" w:rsidRDefault="00D266D6" w:rsidP="00D266D6">
      <w:pPr>
        <w:ind w:firstLine="709"/>
      </w:pPr>
      <w:r>
        <w:t xml:space="preserve">Рассмотрим динамику курса рубля (рис. 2 и 3) по отношению к евро и доллару и влияние колебаний курсов валют на российскую экономику и денежно-кредитную политику. </w:t>
      </w:r>
    </w:p>
    <w:p w:rsidR="00D266D6" w:rsidRDefault="00D266D6" w:rsidP="00D266D6">
      <w:pPr>
        <w:ind w:firstLine="709"/>
      </w:pPr>
    </w:p>
    <w:p w:rsidR="00D266D6" w:rsidRDefault="00D266D6" w:rsidP="00D266D6">
      <w:pPr>
        <w:jc w:val="center"/>
      </w:pPr>
      <w:r>
        <w:rPr>
          <w:noProof/>
          <w:lang w:eastAsia="ru-RU"/>
        </w:rPr>
        <w:drawing>
          <wp:inline distT="0" distB="0" distL="0" distR="0" wp14:anchorId="4B07910E" wp14:editId="7C54A0AC">
            <wp:extent cx="3581400" cy="1590675"/>
            <wp:effectExtent l="0" t="0" r="0" b="9525"/>
            <wp:docPr id="3" name="Рисунок 3" descr="https://moluch.ru/th/blmcbn/3685/3685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oluch.ru/th/blmcbn/3685/3685.00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6D6" w:rsidRDefault="00D266D6" w:rsidP="00D266D6">
      <w:pPr>
        <w:ind w:firstLine="709"/>
        <w:jc w:val="center"/>
      </w:pPr>
      <w:r>
        <w:t>Рисунок 2 -  Динамика курса евро/рубль</w:t>
      </w:r>
    </w:p>
    <w:p w:rsidR="00D266D6" w:rsidRDefault="00D266D6" w:rsidP="00D266D6">
      <w:pPr>
        <w:ind w:firstLine="709"/>
      </w:pPr>
    </w:p>
    <w:p w:rsidR="00D266D6" w:rsidRDefault="00D266D6" w:rsidP="00D266D6">
      <w:pPr>
        <w:jc w:val="center"/>
      </w:pPr>
      <w:r>
        <w:rPr>
          <w:noProof/>
          <w:lang w:eastAsia="ru-RU"/>
        </w:rPr>
        <w:drawing>
          <wp:inline distT="0" distB="0" distL="0" distR="0" wp14:anchorId="55A4D77A" wp14:editId="2FEB39DD">
            <wp:extent cx="3581400" cy="1666875"/>
            <wp:effectExtent l="0" t="0" r="0" b="9525"/>
            <wp:docPr id="4" name="Рисунок 4" descr="https://moluch.ru/th/blmcbn/3685/3685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oluch.ru/th/blmcbn/3685/3685.00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6D6" w:rsidRDefault="00D266D6" w:rsidP="00D266D6">
      <w:pPr>
        <w:ind w:firstLine="709"/>
        <w:jc w:val="center"/>
      </w:pPr>
      <w:r>
        <w:t>Рисунок 3 - Динамика курса доллар/рубль</w:t>
      </w:r>
    </w:p>
    <w:p w:rsidR="00D266D6" w:rsidRDefault="00D266D6" w:rsidP="00D266D6">
      <w:pPr>
        <w:ind w:firstLine="709"/>
      </w:pPr>
    </w:p>
    <w:p w:rsidR="00D266D6" w:rsidRDefault="00D266D6" w:rsidP="00D266D6">
      <w:pPr>
        <w:ind w:firstLine="709"/>
      </w:pPr>
      <w:r w:rsidRPr="005C50D9">
        <w:t xml:space="preserve">Среди основных направлений денежно-кредитной политики государства выделяется снижение инфляции, а основной целью является регулирование обменного курса, что оказывает существенное влияние на динамику реальных доходов и сбережений населения и, следовательно, на </w:t>
      </w:r>
      <w:proofErr w:type="gramStart"/>
      <w:r w:rsidRPr="005C50D9">
        <w:t>экономические процессы</w:t>
      </w:r>
      <w:proofErr w:type="gramEnd"/>
      <w:r w:rsidRPr="005C50D9">
        <w:t xml:space="preserve"> в обществе</w:t>
      </w:r>
      <w:r>
        <w:rPr>
          <w:rStyle w:val="a7"/>
        </w:rPr>
        <w:footnoteReference w:id="3"/>
      </w:r>
      <w:r>
        <w:t xml:space="preserve">. </w:t>
      </w:r>
    </w:p>
    <w:p w:rsidR="00D266D6" w:rsidRDefault="00D266D6" w:rsidP="00D266D6">
      <w:pPr>
        <w:ind w:firstLine="709"/>
      </w:pPr>
      <w:r w:rsidRPr="005C50D9">
        <w:t>В период глобальной экономической и финансовой нестабильности значительный отток капитала из страны негативно повлиял на курс рубля в сторону его ослабления, усилил девальвационные ожидания субъектов хозяйствования. В короткий период восстановления обменный курс подвергся негативному влиянию европейского кризиса, который привел к изменениям цен на нефть, а также оттоку капитала, главным образом европейского.</w:t>
      </w:r>
      <w:r>
        <w:t xml:space="preserve"> </w:t>
      </w:r>
      <w:r w:rsidRPr="00BE6B57">
        <w:t xml:space="preserve">В результате европейских событий, не принимая во внимание укрепление экономики после глобального экономического и финансового кризиса, на валютном рынке рубль к </w:t>
      </w:r>
      <w:proofErr w:type="spellStart"/>
      <w:r w:rsidRPr="00BE6B57">
        <w:t>бивалютной</w:t>
      </w:r>
      <w:proofErr w:type="spellEnd"/>
      <w:r w:rsidRPr="00BE6B57">
        <w:t xml:space="preserve"> корзине характеризовался, по сравнению с 2009 годом, с меньшим, но все же </w:t>
      </w:r>
      <w:proofErr w:type="gramStart"/>
      <w:r w:rsidRPr="00BE6B57">
        <w:t>высокая</w:t>
      </w:r>
      <w:proofErr w:type="gramEnd"/>
      <w:r w:rsidRPr="00BE6B57">
        <w:t xml:space="preserve"> волатильность. Изменение курса </w:t>
      </w:r>
      <w:proofErr w:type="spellStart"/>
      <w:r w:rsidRPr="00BE6B57">
        <w:t>двухвалютной</w:t>
      </w:r>
      <w:proofErr w:type="spellEnd"/>
      <w:r w:rsidRPr="00BE6B57">
        <w:t xml:space="preserve"> корзины во многих случаях зависит от динамики цен на нефть. Но нам также необходимо выделить период 2010 года, в течение которого увеличение стоимости </w:t>
      </w:r>
      <w:proofErr w:type="spellStart"/>
      <w:r w:rsidRPr="00BE6B57">
        <w:t>бивалютной</w:t>
      </w:r>
      <w:proofErr w:type="spellEnd"/>
      <w:r w:rsidRPr="00BE6B57">
        <w:t xml:space="preserve"> корзины было вызвано не ценой на нефть, а нестабильностью и беспорядками, которые произошли на российском финансовом рынке из-за кризиса</w:t>
      </w:r>
      <w:proofErr w:type="gramStart"/>
      <w:r w:rsidRPr="00BE6B57">
        <w:t>.</w:t>
      </w:r>
      <w:proofErr w:type="gramEnd"/>
      <w:r w:rsidRPr="00BE6B57">
        <w:t xml:space="preserve"> </w:t>
      </w:r>
      <w:proofErr w:type="gramStart"/>
      <w:r w:rsidRPr="00BE6B57">
        <w:t>в</w:t>
      </w:r>
      <w:proofErr w:type="gramEnd"/>
      <w:r w:rsidRPr="00BE6B57">
        <w:t xml:space="preserve"> ЕС.</w:t>
      </w:r>
      <w:r>
        <w:t xml:space="preserve"> </w:t>
      </w:r>
      <w:r w:rsidRPr="00BE6B57">
        <w:t>Отток капитала из России во время европейского кризиса повлиял на снижение курса рубля. В последние годы экономическое развитие России характеризуется замедлением роста ВВП (в 2013 году рост составил 1,4%). В 2013 году основными причинами такого положения дел являются высокая инфляция, высокие процентные ставки по кредитам и неблагоприятный инвестиционный и деловой климат.</w:t>
      </w:r>
    </w:p>
    <w:p w:rsidR="00D266D6" w:rsidRDefault="00D266D6" w:rsidP="00D266D6">
      <w:pPr>
        <w:ind w:firstLine="709"/>
      </w:pPr>
      <w:r w:rsidRPr="00BE6B57">
        <w:lastRenderedPageBreak/>
        <w:t>Все это имеет место и оказывает негативное влияние. В то же время в анализе следует обратить особое внимание на такие факторы, как сырьевая ориентация отечественной экономики, ее зависимость от экспорта сырья, высокие экспортные поступления, высокие объемы импорта и обменный курс рубля по отношению к основным мировым рынкам</w:t>
      </w:r>
      <w:proofErr w:type="gramStart"/>
      <w:r w:rsidRPr="00BE6B57">
        <w:t>.</w:t>
      </w:r>
      <w:proofErr w:type="gramEnd"/>
      <w:r w:rsidRPr="00BE6B57">
        <w:t xml:space="preserve"> </w:t>
      </w:r>
      <w:proofErr w:type="gramStart"/>
      <w:r w:rsidRPr="00BE6B57">
        <w:t>в</w:t>
      </w:r>
      <w:proofErr w:type="gramEnd"/>
      <w:r w:rsidRPr="00BE6B57">
        <w:t>алюты, которые формируются в зависимости от этого. Однако номинальный курс рубля оказывает существенное влияние на динамику промышленного производства, особен</w:t>
      </w:r>
      <w:r>
        <w:t>но в импортозамещающих отраслях</w:t>
      </w:r>
      <w:r>
        <w:rPr>
          <w:rStyle w:val="a7"/>
        </w:rPr>
        <w:footnoteReference w:id="4"/>
      </w:r>
      <w:r>
        <w:t>.</w:t>
      </w:r>
    </w:p>
    <w:p w:rsidR="00D266D6" w:rsidRDefault="00D266D6" w:rsidP="00D266D6">
      <w:pPr>
        <w:ind w:firstLine="709"/>
      </w:pPr>
      <w:r w:rsidRPr="00BE6B57">
        <w:t xml:space="preserve">Рассмотрим прогноз доллара на январь 2020 года. Тенденция последних лет показывает, что в январе доллар устойчиво растет по отношению ко многим валютам. Согласно </w:t>
      </w:r>
      <w:proofErr w:type="spellStart"/>
      <w:r w:rsidRPr="00BE6B57">
        <w:t>Goldman</w:t>
      </w:r>
      <w:proofErr w:type="spellEnd"/>
      <w:r w:rsidRPr="00BE6B57">
        <w:t xml:space="preserve"> </w:t>
      </w:r>
      <w:proofErr w:type="spellStart"/>
      <w:r w:rsidRPr="00BE6B57">
        <w:t>Sachs</w:t>
      </w:r>
      <w:proofErr w:type="spellEnd"/>
      <w:r w:rsidRPr="00BE6B57">
        <w:t>, в мировой экономике наблюдается замедление среднего цикла, и многие инвестируют в американскую валюту как наиболее стабильную. Отчеты о годовых макроэкономических показателях находятся в начале года и усиливают впечатление, что свободные деньги необходимо надежно инвестировать.</w:t>
      </w:r>
    </w:p>
    <w:p w:rsidR="00D266D6" w:rsidRDefault="00D266D6" w:rsidP="00D266D6">
      <w:pPr>
        <w:ind w:firstLine="709"/>
      </w:pPr>
      <w:r>
        <w:t>Российские банки также сделали свои прогнозы на следующий год:</w:t>
      </w:r>
    </w:p>
    <w:p w:rsidR="00D266D6" w:rsidRDefault="00D266D6" w:rsidP="00D266D6">
      <w:pPr>
        <w:ind w:firstLine="709"/>
      </w:pPr>
      <w:r>
        <w:t>- аналитики Сбербанка предполагают, что «американец» в начале января будет находиться в диапазоне 66 рублей и, к концу месяца, вырастет до 72 рублей;</w:t>
      </w:r>
    </w:p>
    <w:p w:rsidR="00D266D6" w:rsidRDefault="00D266D6" w:rsidP="00D266D6">
      <w:pPr>
        <w:ind w:firstLine="709"/>
      </w:pPr>
      <w:r>
        <w:t>- ВТБ считает, что американская валюта вырастет по отношению к рублю до 71,92 руб.</w:t>
      </w:r>
    </w:p>
    <w:p w:rsidR="00D266D6" w:rsidRDefault="00D266D6" w:rsidP="00D266D6">
      <w:pPr>
        <w:ind w:firstLine="709"/>
      </w:pPr>
      <w:r>
        <w:t>- Банк Открытие уверен, что доллар вырастет на 2,18 руб. до 72,07 руб.</w:t>
      </w:r>
    </w:p>
    <w:p w:rsidR="00D266D6" w:rsidRDefault="00D266D6" w:rsidP="00D266D6">
      <w:pPr>
        <w:ind w:firstLine="709"/>
      </w:pPr>
      <w:r>
        <w:t>Минэкономразвития прогнозирует, что рубль сохранит свои позиции и будет торговаться по 65-66 рублей за 1 доллар.</w:t>
      </w:r>
    </w:p>
    <w:p w:rsidR="00D266D6" w:rsidRDefault="00D266D6" w:rsidP="00D266D6">
      <w:pPr>
        <w:ind w:firstLine="709"/>
      </w:pPr>
      <w:r>
        <w:t xml:space="preserve">ЕС находится в кризисе из-за выхода Великобритании из союза, и это отражается на европейской валюте. Евро не считается самой стабильной расчетной единицей, и все же его курсу удается расти по отношению к </w:t>
      </w:r>
      <w:r>
        <w:lastRenderedPageBreak/>
        <w:t xml:space="preserve">доллару. Эксперты </w:t>
      </w:r>
      <w:proofErr w:type="spellStart"/>
      <w:r>
        <w:t>UniCredit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считают, что к концу 2019 года евро будет стоить 1,11 доллара, а к началу 2020 года вырастет до 1,14 доллара.</w:t>
      </w:r>
    </w:p>
    <w:p w:rsidR="00D266D6" w:rsidRDefault="00D266D6" w:rsidP="00D266D6">
      <w:pPr>
        <w:ind w:firstLine="709"/>
      </w:pPr>
      <w:r>
        <w:t xml:space="preserve">Аналогичный прогноз был сделан в </w:t>
      </w:r>
      <w:proofErr w:type="spellStart"/>
      <w:r>
        <w:t>Bloomberg</w:t>
      </w:r>
      <w:proofErr w:type="spellEnd"/>
      <w:r>
        <w:t xml:space="preserve">: пара </w:t>
      </w:r>
      <w:proofErr w:type="gramStart"/>
      <w:r>
        <w:t>евро-доллар</w:t>
      </w:r>
      <w:proofErr w:type="gramEnd"/>
      <w:r>
        <w:t xml:space="preserve"> в первой половине следующего года будет торговаться на отметке 1,14-1,16 доллара</w:t>
      </w:r>
      <w:r>
        <w:rPr>
          <w:rStyle w:val="a7"/>
        </w:rPr>
        <w:footnoteReference w:id="5"/>
      </w:r>
      <w:r>
        <w:t>.</w:t>
      </w:r>
    </w:p>
    <w:p w:rsidR="0097745D" w:rsidRDefault="0097745D" w:rsidP="0097745D">
      <w:pPr>
        <w:ind w:firstLine="709"/>
      </w:pPr>
      <w:r>
        <w:t>Мировой фондовый рынок представляет собой глобальный комплекс взаимодействия национальных фондовых рынков между собой и с элементами международного фондового рынка. Он растет и развивается в направлении единого универсального глобального рынка ценных бумаг.</w:t>
      </w:r>
    </w:p>
    <w:p w:rsidR="0097745D" w:rsidRDefault="0097745D" w:rsidP="0097745D">
      <w:pPr>
        <w:ind w:firstLine="709"/>
      </w:pPr>
      <w:r>
        <w:t>С одной стороны, современный мировой фондовый рынок сформировался вследствие процессов финансовой глобализации, а с другой стороны, именно функционирование мирового финансового рынка способствует дальнейшему развитию процессов финансовой глобализации.</w:t>
      </w:r>
    </w:p>
    <w:p w:rsidR="0097745D" w:rsidRDefault="0097745D" w:rsidP="0097745D">
      <w:pPr>
        <w:ind w:firstLine="709"/>
      </w:pPr>
      <w:r>
        <w:t>Мировой фондовый рынок образует глобальную среду движения финансовых ресурсов, в которой посредством обращения ценных бумаг становится возможным устранить или, по крайней мере, существенно смягчить фактор нехватки финансовых ресурсов на отдельных национальных рынках. В этой среде происходит выравнивание уровней доходности инвестирования ресурсов, она обеспечивает продвижение национальных фирм на мировой финансовый рынок, здесь обеспечиваются условия для интенсивного международного финансового сотрудничества.</w:t>
      </w:r>
    </w:p>
    <w:p w:rsidR="00655E08" w:rsidRDefault="00655E08">
      <w:pPr>
        <w:spacing w:after="160" w:line="259" w:lineRule="auto"/>
        <w:jc w:val="left"/>
      </w:pPr>
      <w:r>
        <w:br w:type="page"/>
      </w:r>
    </w:p>
    <w:p w:rsidR="00655E08" w:rsidRDefault="00655E08" w:rsidP="00655E08">
      <w:pPr>
        <w:pStyle w:val="1"/>
      </w:pPr>
      <w:bookmarkStart w:id="0" w:name="_Toc26692294"/>
      <w:r>
        <w:lastRenderedPageBreak/>
        <w:t>Список используемой литературы</w:t>
      </w:r>
      <w:bookmarkEnd w:id="0"/>
    </w:p>
    <w:p w:rsidR="00655E08" w:rsidRDefault="00655E08" w:rsidP="00655E08">
      <w:pPr>
        <w:ind w:firstLine="709"/>
      </w:pPr>
    </w:p>
    <w:p w:rsidR="00655E08" w:rsidRDefault="00655E08" w:rsidP="00655E08">
      <w:pPr>
        <w:pStyle w:val="a8"/>
        <w:numPr>
          <w:ilvl w:val="0"/>
          <w:numId w:val="1"/>
        </w:numPr>
        <w:ind w:left="0" w:firstLine="709"/>
      </w:pPr>
      <w:r>
        <w:t xml:space="preserve">Красавина Л. Н. Тенденции и перспективы реформы мировой валютной системы // Век глобализации. 2019. № 1. С. 29-43.  </w:t>
      </w:r>
    </w:p>
    <w:p w:rsidR="00655E08" w:rsidRDefault="00655E08" w:rsidP="00655E08">
      <w:pPr>
        <w:pStyle w:val="a8"/>
        <w:numPr>
          <w:ilvl w:val="0"/>
          <w:numId w:val="1"/>
        </w:numPr>
        <w:ind w:left="0" w:firstLine="709"/>
      </w:pPr>
      <w:r>
        <w:t>Латышева К.В. Россия в мировой валютной системе [Текст] / К.Б. Латышева [Текст] // Молодой ученый. - 2019. - №11. - С. 377-380.</w:t>
      </w:r>
    </w:p>
    <w:p w:rsidR="00655E08" w:rsidRDefault="00655E08" w:rsidP="00655E08">
      <w:pPr>
        <w:pStyle w:val="a8"/>
        <w:numPr>
          <w:ilvl w:val="0"/>
          <w:numId w:val="1"/>
        </w:numPr>
        <w:ind w:left="0" w:firstLine="709"/>
      </w:pPr>
      <w:r>
        <w:t>Стандарты работы на внутреннем валютном и денежном рынке — Национальная валютная ассоциация [Электрон, ресурс]. URL: http://www.nva.ru</w:t>
      </w:r>
    </w:p>
    <w:p w:rsidR="00655E08" w:rsidRDefault="00655E08" w:rsidP="00655E08">
      <w:pPr>
        <w:pStyle w:val="a8"/>
        <w:numPr>
          <w:ilvl w:val="0"/>
          <w:numId w:val="1"/>
        </w:numPr>
        <w:ind w:left="0" w:firstLine="709"/>
      </w:pPr>
      <w:proofErr w:type="spellStart"/>
      <w:r>
        <w:t>Тютина</w:t>
      </w:r>
      <w:proofErr w:type="spellEnd"/>
      <w:r>
        <w:t xml:space="preserve"> М. В. Анализ влияния различных факторов на валютный курс // Вопросы экономики и управления. — 2018. — №5. — С. 11-17. — URL https://moluch.ru/th/5/archive/105/3685/ (дата обращения: 02.12.2019).</w:t>
      </w:r>
    </w:p>
    <w:p w:rsidR="00655E08" w:rsidRDefault="00655E08" w:rsidP="00655E08">
      <w:pPr>
        <w:pStyle w:val="a8"/>
        <w:numPr>
          <w:ilvl w:val="0"/>
          <w:numId w:val="1"/>
        </w:numPr>
        <w:ind w:left="0" w:firstLine="709"/>
      </w:pPr>
      <w:r>
        <w:t>Федорусенко А.В. Состояние валютного рынка России Банковское дело. 2019. №2. - С. 60-8</w:t>
      </w:r>
    </w:p>
    <w:p w:rsidR="00655E08" w:rsidRDefault="00655E08" w:rsidP="00655E08">
      <w:pPr>
        <w:ind w:firstLine="709"/>
      </w:pPr>
    </w:p>
    <w:p w:rsidR="00655E08" w:rsidRDefault="00655E08" w:rsidP="00655E08">
      <w:pPr>
        <w:ind w:firstLine="709"/>
      </w:pPr>
      <w:bookmarkStart w:id="1" w:name="_GoBack"/>
      <w:bookmarkEnd w:id="1"/>
    </w:p>
    <w:sectPr w:rsidR="00655E08" w:rsidSect="00655E08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2F8" w:rsidRDefault="008072F8" w:rsidP="00655E08">
      <w:pPr>
        <w:spacing w:line="240" w:lineRule="auto"/>
      </w:pPr>
      <w:r>
        <w:separator/>
      </w:r>
    </w:p>
  </w:endnote>
  <w:endnote w:type="continuationSeparator" w:id="0">
    <w:p w:rsidR="008072F8" w:rsidRDefault="008072F8" w:rsidP="00655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447604"/>
      <w:docPartObj>
        <w:docPartGallery w:val="Page Numbers (Bottom of Page)"/>
        <w:docPartUnique/>
      </w:docPartObj>
    </w:sdtPr>
    <w:sdtEndPr/>
    <w:sdtContent>
      <w:p w:rsidR="00655E08" w:rsidRDefault="00655E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74E">
          <w:rPr>
            <w:noProof/>
          </w:rPr>
          <w:t>8</w:t>
        </w:r>
        <w:r>
          <w:fldChar w:fldCharType="end"/>
        </w:r>
      </w:p>
    </w:sdtContent>
  </w:sdt>
  <w:p w:rsidR="000D7256" w:rsidRDefault="008072F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2F8" w:rsidRDefault="008072F8" w:rsidP="00655E08">
      <w:pPr>
        <w:spacing w:line="240" w:lineRule="auto"/>
      </w:pPr>
      <w:r>
        <w:separator/>
      </w:r>
    </w:p>
  </w:footnote>
  <w:footnote w:type="continuationSeparator" w:id="0">
    <w:p w:rsidR="008072F8" w:rsidRDefault="008072F8" w:rsidP="00655E08">
      <w:pPr>
        <w:spacing w:line="240" w:lineRule="auto"/>
      </w:pPr>
      <w:r>
        <w:continuationSeparator/>
      </w:r>
    </w:p>
  </w:footnote>
  <w:footnote w:id="1">
    <w:p w:rsidR="00D266D6" w:rsidRDefault="00D266D6" w:rsidP="00D266D6">
      <w:pPr>
        <w:pStyle w:val="a5"/>
      </w:pPr>
      <w:r>
        <w:rPr>
          <w:rStyle w:val="a7"/>
        </w:rPr>
        <w:footnoteRef/>
      </w:r>
      <w:r>
        <w:t xml:space="preserve"> </w:t>
      </w:r>
      <w:r w:rsidRPr="00FE4FAD">
        <w:t>Латышева К.В. Россия в мировой валютной системе [Текст] / К.Б. Латышева [Текст] // Молодой ученый. - 201</w:t>
      </w:r>
      <w:r>
        <w:t>9</w:t>
      </w:r>
      <w:r w:rsidRPr="00FE4FAD">
        <w:t>. - №11. - С. 377-380.</w:t>
      </w:r>
    </w:p>
  </w:footnote>
  <w:footnote w:id="2">
    <w:p w:rsidR="00D266D6" w:rsidRDefault="00D266D6" w:rsidP="00D266D6">
      <w:pPr>
        <w:pStyle w:val="a5"/>
      </w:pPr>
      <w:r>
        <w:rPr>
          <w:rStyle w:val="a7"/>
        </w:rPr>
        <w:footnoteRef/>
      </w:r>
      <w:r>
        <w:t xml:space="preserve"> </w:t>
      </w:r>
      <w:r w:rsidRPr="00FE4FAD">
        <w:t>Федорусенко А.В. Состояние валютного рынка России Банковское дело. 201</w:t>
      </w:r>
      <w:r>
        <w:t>9</w:t>
      </w:r>
      <w:r w:rsidRPr="00FE4FAD">
        <w:t>. №2. - С. 60-8</w:t>
      </w:r>
    </w:p>
  </w:footnote>
  <w:footnote w:id="3">
    <w:p w:rsidR="00D266D6" w:rsidRDefault="00D266D6" w:rsidP="00D266D6">
      <w:pPr>
        <w:pStyle w:val="a5"/>
      </w:pPr>
      <w:r>
        <w:rPr>
          <w:rStyle w:val="a7"/>
        </w:rPr>
        <w:footnoteRef/>
      </w:r>
      <w:r>
        <w:t xml:space="preserve"> </w:t>
      </w:r>
      <w:r w:rsidRPr="00FE4FAD">
        <w:t>Стандарты работы на внутреннем валютном и денежном рынке — Национальная валютная ассоциация [Электрон, ресурс]. URL: http://www.nva.ru</w:t>
      </w:r>
    </w:p>
  </w:footnote>
  <w:footnote w:id="4">
    <w:p w:rsidR="00D266D6" w:rsidRDefault="00D266D6" w:rsidP="00D266D6">
      <w:pPr>
        <w:pStyle w:val="a5"/>
      </w:pPr>
      <w:r>
        <w:rPr>
          <w:rStyle w:val="a7"/>
        </w:rPr>
        <w:footnoteRef/>
      </w:r>
      <w:r>
        <w:t xml:space="preserve"> </w:t>
      </w:r>
      <w:proofErr w:type="spellStart"/>
      <w:r w:rsidRPr="00813FA4">
        <w:t>Тютина</w:t>
      </w:r>
      <w:proofErr w:type="spellEnd"/>
      <w:r w:rsidRPr="00813FA4">
        <w:t xml:space="preserve"> М. В. Анализ влияния различных факторов на валютный курс // Вопросы экономики и управления. — 2018. — №5. — С. 11-17. — URL https://moluch.ru/th/5/archive/105/3685/ (дата обращения: 02.12.2019).</w:t>
      </w:r>
    </w:p>
  </w:footnote>
  <w:footnote w:id="5">
    <w:p w:rsidR="00D266D6" w:rsidRDefault="00D266D6" w:rsidP="00D266D6">
      <w:pPr>
        <w:pStyle w:val="a5"/>
      </w:pPr>
      <w:r>
        <w:rPr>
          <w:rStyle w:val="a7"/>
        </w:rPr>
        <w:footnoteRef/>
      </w:r>
      <w:r>
        <w:t xml:space="preserve"> </w:t>
      </w:r>
      <w:r w:rsidRPr="00FE4FAD">
        <w:t>Красавина Л. Н. Тенденции и перспективы реформы мировой валютной системы // Век глобализации. 201</w:t>
      </w:r>
      <w:r>
        <w:t>9</w:t>
      </w:r>
      <w:r w:rsidRPr="00FE4FAD">
        <w:t>. № 1. С. 29-43.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10B62"/>
    <w:multiLevelType w:val="hybridMultilevel"/>
    <w:tmpl w:val="AF9EEC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F71"/>
    <w:rsid w:val="00220ED1"/>
    <w:rsid w:val="0042174E"/>
    <w:rsid w:val="00486F71"/>
    <w:rsid w:val="00561FA7"/>
    <w:rsid w:val="00655E08"/>
    <w:rsid w:val="007B4961"/>
    <w:rsid w:val="008072F8"/>
    <w:rsid w:val="0097745D"/>
    <w:rsid w:val="009E5A9C"/>
    <w:rsid w:val="00A827BC"/>
    <w:rsid w:val="00AB25DC"/>
    <w:rsid w:val="00BE2D4A"/>
    <w:rsid w:val="00D0501C"/>
    <w:rsid w:val="00D266D6"/>
    <w:rsid w:val="00E732FA"/>
    <w:rsid w:val="00F471EE"/>
    <w:rsid w:val="00F5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08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0501C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01C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footer"/>
    <w:basedOn w:val="a"/>
    <w:link w:val="a4"/>
    <w:uiPriority w:val="99"/>
    <w:unhideWhenUsed/>
    <w:rsid w:val="00655E0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5E08"/>
    <w:rPr>
      <w:rFonts w:ascii="Times New Roman" w:hAnsi="Times New Roman"/>
      <w:sz w:val="28"/>
    </w:rPr>
  </w:style>
  <w:style w:type="paragraph" w:styleId="a5">
    <w:name w:val="footnote text"/>
    <w:basedOn w:val="a"/>
    <w:link w:val="a6"/>
    <w:uiPriority w:val="99"/>
    <w:semiHidden/>
    <w:unhideWhenUsed/>
    <w:rsid w:val="00655E08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55E08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55E08"/>
    <w:rPr>
      <w:vertAlign w:val="superscript"/>
    </w:rPr>
  </w:style>
  <w:style w:type="paragraph" w:styleId="a8">
    <w:name w:val="List Paragraph"/>
    <w:basedOn w:val="a"/>
    <w:uiPriority w:val="34"/>
    <w:qFormat/>
    <w:rsid w:val="00655E0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55E0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5E08"/>
    <w:rPr>
      <w:rFonts w:ascii="Times New Roman" w:hAnsi="Times New Roman"/>
      <w:sz w:val="28"/>
    </w:rPr>
  </w:style>
  <w:style w:type="paragraph" w:styleId="ab">
    <w:name w:val="TOC Heading"/>
    <w:basedOn w:val="1"/>
    <w:next w:val="a"/>
    <w:uiPriority w:val="39"/>
    <w:unhideWhenUsed/>
    <w:qFormat/>
    <w:rsid w:val="0097745D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7745D"/>
    <w:pPr>
      <w:spacing w:after="100"/>
    </w:pPr>
  </w:style>
  <w:style w:type="character" w:styleId="ac">
    <w:name w:val="Hyperlink"/>
    <w:basedOn w:val="a0"/>
    <w:uiPriority w:val="99"/>
    <w:unhideWhenUsed/>
    <w:rsid w:val="0097745D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E5A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5A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08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0501C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01C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footer"/>
    <w:basedOn w:val="a"/>
    <w:link w:val="a4"/>
    <w:uiPriority w:val="99"/>
    <w:unhideWhenUsed/>
    <w:rsid w:val="00655E0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55E08"/>
    <w:rPr>
      <w:rFonts w:ascii="Times New Roman" w:hAnsi="Times New Roman"/>
      <w:sz w:val="28"/>
    </w:rPr>
  </w:style>
  <w:style w:type="paragraph" w:styleId="a5">
    <w:name w:val="footnote text"/>
    <w:basedOn w:val="a"/>
    <w:link w:val="a6"/>
    <w:uiPriority w:val="99"/>
    <w:semiHidden/>
    <w:unhideWhenUsed/>
    <w:rsid w:val="00655E08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55E08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55E08"/>
    <w:rPr>
      <w:vertAlign w:val="superscript"/>
    </w:rPr>
  </w:style>
  <w:style w:type="paragraph" w:styleId="a8">
    <w:name w:val="List Paragraph"/>
    <w:basedOn w:val="a"/>
    <w:uiPriority w:val="34"/>
    <w:qFormat/>
    <w:rsid w:val="00655E0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55E0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5E08"/>
    <w:rPr>
      <w:rFonts w:ascii="Times New Roman" w:hAnsi="Times New Roman"/>
      <w:sz w:val="28"/>
    </w:rPr>
  </w:style>
  <w:style w:type="paragraph" w:styleId="ab">
    <w:name w:val="TOC Heading"/>
    <w:basedOn w:val="1"/>
    <w:next w:val="a"/>
    <w:uiPriority w:val="39"/>
    <w:unhideWhenUsed/>
    <w:qFormat/>
    <w:rsid w:val="0097745D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7745D"/>
    <w:pPr>
      <w:spacing w:after="100"/>
    </w:pPr>
  </w:style>
  <w:style w:type="character" w:styleId="ac">
    <w:name w:val="Hyperlink"/>
    <w:basedOn w:val="a0"/>
    <w:uiPriority w:val="99"/>
    <w:unhideWhenUsed/>
    <w:rsid w:val="0097745D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E5A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5A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AFFA-F09D-4CD3-B069-962C6CD5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dcterms:created xsi:type="dcterms:W3CDTF">2020-01-18T12:15:00Z</dcterms:created>
  <dcterms:modified xsi:type="dcterms:W3CDTF">2020-01-18T12:19:00Z</dcterms:modified>
</cp:coreProperties>
</file>