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7DB" w:rsidRPr="00607B66" w:rsidRDefault="00607B66" w:rsidP="00607B66">
      <w:pPr>
        <w:spacing w:after="0" w:line="360" w:lineRule="auto"/>
        <w:jc w:val="center"/>
        <w:rPr>
          <w:rFonts w:ascii="Times New Roman" w:hAnsi="Times New Roman" w:cs="Times New Roman"/>
          <w:b/>
          <w:sz w:val="28"/>
          <w:szCs w:val="28"/>
        </w:rPr>
      </w:pPr>
      <w:r w:rsidRPr="00607B66">
        <w:rPr>
          <w:rFonts w:ascii="Times New Roman" w:hAnsi="Times New Roman" w:cs="Times New Roman"/>
          <w:b/>
          <w:sz w:val="28"/>
          <w:szCs w:val="28"/>
        </w:rPr>
        <w:t>МСФО 9 – ПЕРЕХОД И ПРИМЕНЕНИЕ НА ПРАКТИКЕ В РОССИЙСКОЙ ФЕДЕРАЦИИ</w:t>
      </w:r>
    </w:p>
    <w:p w:rsidR="00607B66" w:rsidRPr="00607B66" w:rsidRDefault="00607B66" w:rsidP="00607B66">
      <w:pPr>
        <w:spacing w:after="0" w:line="360" w:lineRule="auto"/>
        <w:ind w:firstLine="567"/>
        <w:jc w:val="center"/>
        <w:rPr>
          <w:rFonts w:ascii="Times New Roman" w:eastAsia="Calibri" w:hAnsi="Times New Roman" w:cs="Times New Roman"/>
          <w:sz w:val="28"/>
          <w:szCs w:val="28"/>
          <w:lang w:eastAsia="en-US"/>
        </w:rPr>
      </w:pPr>
      <w:proofErr w:type="spellStart"/>
      <w:r>
        <w:rPr>
          <w:rFonts w:ascii="Times New Roman" w:hAnsi="Times New Roman" w:cs="Times New Roman"/>
          <w:sz w:val="28"/>
          <w:szCs w:val="28"/>
        </w:rPr>
        <w:t>Загрядская</w:t>
      </w:r>
      <w:proofErr w:type="spellEnd"/>
      <w:r>
        <w:rPr>
          <w:rFonts w:ascii="Times New Roman" w:hAnsi="Times New Roman" w:cs="Times New Roman"/>
          <w:sz w:val="28"/>
          <w:szCs w:val="28"/>
        </w:rPr>
        <w:t xml:space="preserve"> Е.С.</w:t>
      </w:r>
      <w:r w:rsidRPr="00607B66">
        <w:rPr>
          <w:rFonts w:ascii="Times New Roman" w:eastAsia="Calibri" w:hAnsi="Times New Roman" w:cs="Times New Roman"/>
          <w:sz w:val="28"/>
          <w:szCs w:val="28"/>
          <w:lang w:eastAsia="en-US"/>
        </w:rPr>
        <w:t xml:space="preserve">, студент 3 курса направления подготовки 38.03.01 «Экономика» </w:t>
      </w:r>
      <w:proofErr w:type="spellStart"/>
      <w:r w:rsidRPr="00607B66">
        <w:rPr>
          <w:rFonts w:ascii="Times New Roman" w:eastAsia="Calibri" w:hAnsi="Times New Roman" w:cs="Times New Roman"/>
          <w:sz w:val="28"/>
          <w:szCs w:val="28"/>
          <w:lang w:eastAsia="en-US"/>
        </w:rPr>
        <w:t>Новомосковский</w:t>
      </w:r>
      <w:proofErr w:type="spellEnd"/>
      <w:r w:rsidRPr="00607B66">
        <w:rPr>
          <w:rFonts w:ascii="Times New Roman" w:eastAsia="Calibri" w:hAnsi="Times New Roman" w:cs="Times New Roman"/>
          <w:sz w:val="28"/>
          <w:szCs w:val="28"/>
          <w:lang w:eastAsia="en-US"/>
        </w:rPr>
        <w:t xml:space="preserve"> институт (филиал) ФГБОУ </w:t>
      </w:r>
      <w:proofErr w:type="gramStart"/>
      <w:r w:rsidRPr="00607B66">
        <w:rPr>
          <w:rFonts w:ascii="Times New Roman" w:eastAsia="Calibri" w:hAnsi="Times New Roman" w:cs="Times New Roman"/>
          <w:sz w:val="28"/>
          <w:szCs w:val="28"/>
          <w:lang w:eastAsia="en-US"/>
        </w:rPr>
        <w:t>ВО</w:t>
      </w:r>
      <w:proofErr w:type="gramEnd"/>
      <w:r w:rsidRPr="00607B66">
        <w:rPr>
          <w:rFonts w:ascii="Times New Roman" w:eastAsia="Calibri" w:hAnsi="Times New Roman" w:cs="Times New Roman"/>
          <w:sz w:val="28"/>
          <w:szCs w:val="28"/>
          <w:lang w:eastAsia="en-US"/>
        </w:rPr>
        <w:t xml:space="preserve"> «Российского химико-технологического университета им. Д.И. Менделеева», кафедра «Экономика, финансы и бухгалтерский учет» </w:t>
      </w:r>
    </w:p>
    <w:p w:rsidR="00607B66" w:rsidRPr="00607B66" w:rsidRDefault="00607B66" w:rsidP="00607B66">
      <w:pPr>
        <w:spacing w:after="0" w:line="360" w:lineRule="auto"/>
        <w:ind w:firstLine="567"/>
        <w:jc w:val="center"/>
        <w:rPr>
          <w:rFonts w:ascii="Times New Roman" w:eastAsia="Calibri" w:hAnsi="Times New Roman" w:cs="Times New Roman"/>
          <w:sz w:val="28"/>
          <w:szCs w:val="28"/>
          <w:lang w:eastAsia="en-US"/>
        </w:rPr>
      </w:pPr>
      <w:r w:rsidRPr="00607B66">
        <w:rPr>
          <w:rFonts w:ascii="Times New Roman" w:eastAsia="Calibri" w:hAnsi="Times New Roman" w:cs="Times New Roman"/>
          <w:sz w:val="28"/>
          <w:szCs w:val="28"/>
          <w:lang w:eastAsia="en-US"/>
        </w:rPr>
        <w:t>Научный руководитель Крылова В.В., к.э.н., доцент</w:t>
      </w:r>
    </w:p>
    <w:p w:rsidR="00BD414E" w:rsidRDefault="00BD414E" w:rsidP="00607B66">
      <w:pPr>
        <w:spacing w:after="0" w:line="360" w:lineRule="auto"/>
        <w:rPr>
          <w:rFonts w:ascii="Times New Roman" w:hAnsi="Times New Roman" w:cs="Times New Roman"/>
          <w:sz w:val="28"/>
          <w:szCs w:val="28"/>
        </w:rPr>
      </w:pPr>
    </w:p>
    <w:p w:rsidR="00BD414E" w:rsidRDefault="00607B66" w:rsidP="00607B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Аннотация. </w:t>
      </w:r>
      <w:r w:rsidR="00BD414E">
        <w:rPr>
          <w:rFonts w:ascii="Times New Roman" w:hAnsi="Times New Roman" w:cs="Times New Roman"/>
          <w:sz w:val="28"/>
          <w:szCs w:val="28"/>
        </w:rPr>
        <w:t xml:space="preserve">В статье рассмотрены вопросы </w:t>
      </w:r>
      <w:r w:rsidR="006B4E6C">
        <w:rPr>
          <w:rFonts w:ascii="Times New Roman" w:hAnsi="Times New Roman" w:cs="Times New Roman"/>
          <w:sz w:val="28"/>
          <w:szCs w:val="28"/>
        </w:rPr>
        <w:t>перехода</w:t>
      </w:r>
      <w:r w:rsidR="005D36D9">
        <w:rPr>
          <w:rFonts w:ascii="Times New Roman" w:hAnsi="Times New Roman" w:cs="Times New Roman"/>
          <w:sz w:val="28"/>
          <w:szCs w:val="28"/>
        </w:rPr>
        <w:t xml:space="preserve"> и применения</w:t>
      </w:r>
      <w:r w:rsidR="006B4E6C">
        <w:rPr>
          <w:rFonts w:ascii="Times New Roman" w:hAnsi="Times New Roman" w:cs="Times New Roman"/>
          <w:sz w:val="28"/>
          <w:szCs w:val="28"/>
        </w:rPr>
        <w:t xml:space="preserve"> на </w:t>
      </w:r>
      <w:r w:rsidR="00BD414E">
        <w:rPr>
          <w:rFonts w:ascii="Times New Roman" w:hAnsi="Times New Roman" w:cs="Times New Roman"/>
          <w:sz w:val="28"/>
          <w:szCs w:val="28"/>
        </w:rPr>
        <w:t xml:space="preserve">МСФО 9 финансовыми и нефинансовыми организациями в Российской Федерации. Отмечены положения оценки ожидаемых кредитных убытков. </w:t>
      </w:r>
      <w:r w:rsidR="0076140C">
        <w:rPr>
          <w:rFonts w:ascii="Times New Roman" w:hAnsi="Times New Roman" w:cs="Times New Roman"/>
          <w:sz w:val="28"/>
          <w:szCs w:val="28"/>
        </w:rPr>
        <w:t>Проведено сравнение двух подходов к оценке ожидаемых убытков</w:t>
      </w:r>
      <w:r w:rsidR="00CA4850">
        <w:rPr>
          <w:rFonts w:ascii="Times New Roman" w:hAnsi="Times New Roman" w:cs="Times New Roman"/>
          <w:sz w:val="28"/>
          <w:szCs w:val="28"/>
        </w:rPr>
        <w:t xml:space="preserve"> организации</w:t>
      </w:r>
      <w:bookmarkStart w:id="0" w:name="_GoBack"/>
      <w:bookmarkEnd w:id="0"/>
      <w:r w:rsidR="0076140C">
        <w:rPr>
          <w:rFonts w:ascii="Times New Roman" w:hAnsi="Times New Roman" w:cs="Times New Roman"/>
          <w:sz w:val="28"/>
          <w:szCs w:val="28"/>
        </w:rPr>
        <w:t>.</w:t>
      </w:r>
    </w:p>
    <w:p w:rsidR="00607B66" w:rsidRDefault="002B06C1" w:rsidP="00607B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Ключевые слова: международный стандарт финансовой отчетности (МСФО), финансовые инструменты, ожидаемые кредитные убытки, базовый и упрощенный подходы, риски.</w:t>
      </w:r>
    </w:p>
    <w:p w:rsidR="00BD414E" w:rsidRDefault="00BD414E" w:rsidP="00607B66">
      <w:pPr>
        <w:spacing w:after="0" w:line="360" w:lineRule="auto"/>
        <w:jc w:val="center"/>
        <w:rPr>
          <w:rFonts w:ascii="Times New Roman" w:hAnsi="Times New Roman" w:cs="Times New Roman"/>
          <w:sz w:val="28"/>
          <w:szCs w:val="28"/>
        </w:rPr>
      </w:pPr>
    </w:p>
    <w:p w:rsidR="00B943B7" w:rsidRDefault="00B943B7"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«Финансовые инструменты» - наиболее сложная тема в системе МСФО</w:t>
      </w:r>
      <w:r w:rsidR="00320A44">
        <w:rPr>
          <w:rFonts w:ascii="Times New Roman" w:hAnsi="Times New Roman" w:cs="Times New Roman"/>
          <w:sz w:val="28"/>
          <w:szCs w:val="28"/>
        </w:rPr>
        <w:t>. В связи с чем</w:t>
      </w:r>
      <w:r w:rsidR="0092499D">
        <w:rPr>
          <w:rFonts w:ascii="Times New Roman" w:hAnsi="Times New Roman" w:cs="Times New Roman"/>
          <w:sz w:val="28"/>
          <w:szCs w:val="28"/>
        </w:rPr>
        <w:t>,</w:t>
      </w:r>
      <w:r w:rsidR="002D3331">
        <w:rPr>
          <w:rFonts w:ascii="Times New Roman" w:hAnsi="Times New Roman" w:cs="Times New Roman"/>
          <w:sz w:val="28"/>
          <w:szCs w:val="28"/>
        </w:rPr>
        <w:t xml:space="preserve"> </w:t>
      </w:r>
      <w:r>
        <w:rPr>
          <w:rFonts w:ascii="Times New Roman" w:hAnsi="Times New Roman" w:cs="Times New Roman"/>
          <w:sz w:val="28"/>
          <w:szCs w:val="28"/>
        </w:rPr>
        <w:t>Советом по МСФО было принято решение упростить</w:t>
      </w:r>
      <w:r w:rsidR="00320A44">
        <w:rPr>
          <w:rFonts w:ascii="Times New Roman" w:hAnsi="Times New Roman" w:cs="Times New Roman"/>
          <w:sz w:val="28"/>
          <w:szCs w:val="28"/>
        </w:rPr>
        <w:t xml:space="preserve"> МСФО (</w:t>
      </w:r>
      <w:r w:rsidR="00320A44">
        <w:rPr>
          <w:rFonts w:ascii="Times New Roman" w:hAnsi="Times New Roman" w:cs="Times New Roman"/>
          <w:sz w:val="28"/>
          <w:szCs w:val="28"/>
          <w:lang w:val="en-US"/>
        </w:rPr>
        <w:t>LAS</w:t>
      </w:r>
      <w:r w:rsidR="00320A44">
        <w:rPr>
          <w:rFonts w:ascii="Times New Roman" w:hAnsi="Times New Roman" w:cs="Times New Roman"/>
          <w:sz w:val="28"/>
          <w:szCs w:val="28"/>
        </w:rPr>
        <w:t xml:space="preserve">) 39, а </w:t>
      </w:r>
      <w:proofErr w:type="gramStart"/>
      <w:r w:rsidR="00320A44">
        <w:rPr>
          <w:rFonts w:ascii="Times New Roman" w:hAnsi="Times New Roman" w:cs="Times New Roman"/>
          <w:sz w:val="28"/>
          <w:szCs w:val="28"/>
        </w:rPr>
        <w:t xml:space="preserve">в </w:t>
      </w:r>
      <w:r w:rsidR="0092499D">
        <w:rPr>
          <w:rFonts w:ascii="Times New Roman" w:hAnsi="Times New Roman" w:cs="Times New Roman"/>
          <w:sz w:val="28"/>
          <w:szCs w:val="28"/>
        </w:rPr>
        <w:t>по</w:t>
      </w:r>
      <w:r w:rsidR="00320A44">
        <w:rPr>
          <w:rFonts w:ascii="Times New Roman" w:hAnsi="Times New Roman" w:cs="Times New Roman"/>
          <w:sz w:val="28"/>
          <w:szCs w:val="28"/>
        </w:rPr>
        <w:t>следствии</w:t>
      </w:r>
      <w:proofErr w:type="gramEnd"/>
      <w:r w:rsidR="00320A44">
        <w:rPr>
          <w:rFonts w:ascii="Times New Roman" w:hAnsi="Times New Roman" w:cs="Times New Roman"/>
          <w:sz w:val="28"/>
          <w:szCs w:val="28"/>
        </w:rPr>
        <w:t xml:space="preserve"> с 1 января 2018 года полностью его заменить новым стандартом</w:t>
      </w:r>
      <w:r>
        <w:rPr>
          <w:rFonts w:ascii="Times New Roman" w:hAnsi="Times New Roman" w:cs="Times New Roman"/>
          <w:sz w:val="28"/>
          <w:szCs w:val="28"/>
        </w:rPr>
        <w:t xml:space="preserve"> МСФО 9 – Финансовые инструменты: признание и оценка</w:t>
      </w:r>
      <w:r w:rsidR="00320A44">
        <w:rPr>
          <w:rFonts w:ascii="Times New Roman" w:hAnsi="Times New Roman" w:cs="Times New Roman"/>
          <w:sz w:val="28"/>
          <w:szCs w:val="28"/>
        </w:rPr>
        <w:t>.</w:t>
      </w:r>
    </w:p>
    <w:p w:rsidR="00320A44" w:rsidRDefault="00320A44"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Тема </w:t>
      </w:r>
      <w:r w:rsidR="005D36D9">
        <w:rPr>
          <w:rFonts w:ascii="Times New Roman" w:hAnsi="Times New Roman" w:cs="Times New Roman"/>
          <w:sz w:val="28"/>
          <w:szCs w:val="28"/>
        </w:rPr>
        <w:t>переход</w:t>
      </w:r>
      <w:r w:rsidR="00607B66">
        <w:rPr>
          <w:rFonts w:ascii="Times New Roman" w:hAnsi="Times New Roman" w:cs="Times New Roman"/>
          <w:sz w:val="28"/>
          <w:szCs w:val="28"/>
        </w:rPr>
        <w:t>а</w:t>
      </w:r>
      <w:r w:rsidR="005D36D9">
        <w:rPr>
          <w:rFonts w:ascii="Times New Roman" w:hAnsi="Times New Roman" w:cs="Times New Roman"/>
          <w:sz w:val="28"/>
          <w:szCs w:val="28"/>
        </w:rPr>
        <w:t xml:space="preserve"> и </w:t>
      </w:r>
      <w:r>
        <w:rPr>
          <w:rFonts w:ascii="Times New Roman" w:hAnsi="Times New Roman" w:cs="Times New Roman"/>
          <w:sz w:val="28"/>
          <w:szCs w:val="28"/>
        </w:rPr>
        <w:t>п</w:t>
      </w:r>
      <w:r w:rsidRPr="00B943B7">
        <w:rPr>
          <w:rFonts w:ascii="Times New Roman" w:hAnsi="Times New Roman" w:cs="Times New Roman"/>
          <w:sz w:val="28"/>
          <w:szCs w:val="28"/>
        </w:rPr>
        <w:t>рименени</w:t>
      </w:r>
      <w:r w:rsidR="00607B66">
        <w:rPr>
          <w:rFonts w:ascii="Times New Roman" w:hAnsi="Times New Roman" w:cs="Times New Roman"/>
          <w:sz w:val="28"/>
          <w:szCs w:val="28"/>
        </w:rPr>
        <w:t>я</w:t>
      </w:r>
      <w:r w:rsidRPr="00B943B7">
        <w:rPr>
          <w:rFonts w:ascii="Times New Roman" w:hAnsi="Times New Roman" w:cs="Times New Roman"/>
          <w:sz w:val="28"/>
          <w:szCs w:val="28"/>
        </w:rPr>
        <w:t xml:space="preserve"> на практике в Российской Федерации</w:t>
      </w:r>
      <w:r>
        <w:rPr>
          <w:rFonts w:ascii="Times New Roman" w:hAnsi="Times New Roman" w:cs="Times New Roman"/>
          <w:sz w:val="28"/>
          <w:szCs w:val="28"/>
        </w:rPr>
        <w:t xml:space="preserve"> МСФО 9 является актуальной для финансовых и нефи</w:t>
      </w:r>
      <w:r w:rsidR="00A7728D">
        <w:rPr>
          <w:rFonts w:ascii="Times New Roman" w:hAnsi="Times New Roman" w:cs="Times New Roman"/>
          <w:sz w:val="28"/>
          <w:szCs w:val="28"/>
        </w:rPr>
        <w:t>нансовых организаций. Ведь цель</w:t>
      </w:r>
      <w:r w:rsidR="002D3331">
        <w:rPr>
          <w:rFonts w:ascii="Times New Roman" w:hAnsi="Times New Roman" w:cs="Times New Roman"/>
          <w:sz w:val="28"/>
          <w:szCs w:val="28"/>
        </w:rPr>
        <w:t xml:space="preserve"> </w:t>
      </w:r>
      <w:r w:rsidR="00607B66">
        <w:rPr>
          <w:rFonts w:ascii="Times New Roman" w:hAnsi="Times New Roman" w:cs="Times New Roman"/>
          <w:sz w:val="28"/>
          <w:szCs w:val="28"/>
        </w:rPr>
        <w:t>данного</w:t>
      </w:r>
      <w:r w:rsidRPr="00320A44">
        <w:rPr>
          <w:rFonts w:ascii="Times New Roman" w:hAnsi="Times New Roman" w:cs="Times New Roman"/>
          <w:sz w:val="28"/>
          <w:szCs w:val="28"/>
        </w:rPr>
        <w:t xml:space="preserve"> стандарта</w:t>
      </w:r>
      <w:r w:rsidR="00A7728D">
        <w:rPr>
          <w:rFonts w:ascii="Times New Roman" w:hAnsi="Times New Roman" w:cs="Times New Roman"/>
          <w:sz w:val="28"/>
          <w:szCs w:val="28"/>
        </w:rPr>
        <w:t xml:space="preserve"> это способность </w:t>
      </w:r>
      <w:r w:rsidRPr="00320A44">
        <w:rPr>
          <w:rFonts w:ascii="Times New Roman" w:hAnsi="Times New Roman" w:cs="Times New Roman"/>
          <w:sz w:val="28"/>
          <w:szCs w:val="28"/>
        </w:rPr>
        <w:t>установить принципы отражения финансовых активови финансовых обязательств в финансовой отчетности для представления пользователям финансовой отчетности уместной и полезной информации, позволяющей им оценить суммы, сроки возникновения и неопределенность будущих денежных потоков организации</w:t>
      </w:r>
      <w:r w:rsidR="00A7728D">
        <w:rPr>
          <w:rFonts w:ascii="Times New Roman" w:hAnsi="Times New Roman" w:cs="Times New Roman"/>
          <w:sz w:val="28"/>
          <w:szCs w:val="28"/>
        </w:rPr>
        <w:t xml:space="preserve"> [1]</w:t>
      </w:r>
      <w:r w:rsidRPr="00320A44">
        <w:rPr>
          <w:rFonts w:ascii="Times New Roman" w:hAnsi="Times New Roman" w:cs="Times New Roman"/>
          <w:sz w:val="28"/>
          <w:szCs w:val="28"/>
        </w:rPr>
        <w:t>.</w:t>
      </w:r>
    </w:p>
    <w:p w:rsidR="00A7728D" w:rsidRDefault="00095912"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Полный переход на данный стандарт требует </w:t>
      </w:r>
      <w:r w:rsidR="00FC571E">
        <w:rPr>
          <w:rFonts w:ascii="Times New Roman" w:hAnsi="Times New Roman" w:cs="Times New Roman"/>
          <w:sz w:val="28"/>
          <w:szCs w:val="28"/>
        </w:rPr>
        <w:t>достаточных временных затрат</w:t>
      </w:r>
      <w:r>
        <w:rPr>
          <w:rFonts w:ascii="Times New Roman" w:hAnsi="Times New Roman" w:cs="Times New Roman"/>
          <w:sz w:val="28"/>
          <w:szCs w:val="28"/>
        </w:rPr>
        <w:t>. Поэтому происходит постепенное внедрение его в практику. Сложно дать оценку этому процессу, так как все организации, применяющие финансовые инструменты имеют разную степень готовности и вовлеченности.</w:t>
      </w:r>
      <w:r w:rsidR="00801CED">
        <w:rPr>
          <w:rFonts w:ascii="Times New Roman" w:hAnsi="Times New Roman" w:cs="Times New Roman"/>
          <w:sz w:val="28"/>
          <w:szCs w:val="28"/>
        </w:rPr>
        <w:t xml:space="preserve"> Не все банковские структуры перешли полностью на новый стандарт, да и другие лишь налаживают применение новых требований к отчетности.</w:t>
      </w:r>
      <w:r w:rsidR="0092499D">
        <w:rPr>
          <w:rFonts w:ascii="Times New Roman" w:hAnsi="Times New Roman" w:cs="Times New Roman"/>
          <w:sz w:val="28"/>
          <w:szCs w:val="28"/>
        </w:rPr>
        <w:t xml:space="preserve"> А вот нефинансовые компании уже действуют в применении</w:t>
      </w:r>
      <w:r w:rsidR="00FC571E">
        <w:rPr>
          <w:rFonts w:ascii="Times New Roman" w:hAnsi="Times New Roman" w:cs="Times New Roman"/>
          <w:sz w:val="28"/>
          <w:szCs w:val="28"/>
        </w:rPr>
        <w:t xml:space="preserve"> этого стандарта</w:t>
      </w:r>
      <w:r w:rsidR="0092499D">
        <w:rPr>
          <w:rFonts w:ascii="Times New Roman" w:hAnsi="Times New Roman" w:cs="Times New Roman"/>
          <w:sz w:val="28"/>
          <w:szCs w:val="28"/>
        </w:rPr>
        <w:t xml:space="preserve">. Для них эта тема вполне актуальна, так как его использование влияет на условие отсрочки платежей при длительном взаимоотношении с дебиторами. Так же этот стандарт позволяет им проще готовить отчетность в целом. </w:t>
      </w:r>
      <w:r w:rsidR="00BD414E">
        <w:rPr>
          <w:rFonts w:ascii="Times New Roman" w:hAnsi="Times New Roman" w:cs="Times New Roman"/>
          <w:sz w:val="28"/>
          <w:szCs w:val="28"/>
        </w:rPr>
        <w:t>Практика применения упрощения используется при оценке ожидаемых кредитных убытков (далее</w:t>
      </w:r>
      <w:r w:rsidR="00FC571E">
        <w:rPr>
          <w:rFonts w:ascii="Times New Roman" w:hAnsi="Times New Roman" w:cs="Times New Roman"/>
          <w:sz w:val="28"/>
          <w:szCs w:val="28"/>
        </w:rPr>
        <w:t xml:space="preserve"> -</w:t>
      </w:r>
      <w:r w:rsidR="00BD414E">
        <w:rPr>
          <w:rFonts w:ascii="Times New Roman" w:hAnsi="Times New Roman" w:cs="Times New Roman"/>
          <w:sz w:val="28"/>
          <w:szCs w:val="28"/>
        </w:rPr>
        <w:t xml:space="preserve"> ОКУ) и резервов. Но некоторые организации лишь только указывают в своих последних финансовых отчетах, что лишь планируют перейти на упрощенный подход для расчетов. </w:t>
      </w:r>
    </w:p>
    <w:p w:rsidR="00BD414E" w:rsidRDefault="00BD414E"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Возникает вопрос</w:t>
      </w:r>
      <w:r w:rsidR="000E38C2">
        <w:rPr>
          <w:rFonts w:ascii="Times New Roman" w:hAnsi="Times New Roman" w:cs="Times New Roman"/>
          <w:sz w:val="28"/>
          <w:szCs w:val="28"/>
        </w:rPr>
        <w:t xml:space="preserve">, </w:t>
      </w:r>
      <w:r>
        <w:rPr>
          <w:rFonts w:ascii="Times New Roman" w:hAnsi="Times New Roman" w:cs="Times New Roman"/>
          <w:sz w:val="28"/>
          <w:szCs w:val="28"/>
        </w:rPr>
        <w:t>зачем компаниям с упрощенным подходом необходима</w:t>
      </w:r>
      <w:r w:rsidR="000E38C2">
        <w:rPr>
          <w:rFonts w:ascii="Times New Roman" w:hAnsi="Times New Roman" w:cs="Times New Roman"/>
          <w:sz w:val="28"/>
          <w:szCs w:val="28"/>
        </w:rPr>
        <w:t xml:space="preserve"> автоматизация расчета оценочных резервов, почему чистая прибыль напрямую зависит от работы </w:t>
      </w:r>
      <w:proofErr w:type="gramStart"/>
      <w:r w:rsidR="000E38C2">
        <w:rPr>
          <w:rFonts w:ascii="Times New Roman" w:hAnsi="Times New Roman" w:cs="Times New Roman"/>
          <w:sz w:val="28"/>
          <w:szCs w:val="28"/>
        </w:rPr>
        <w:t>риск-менеджмента</w:t>
      </w:r>
      <w:proofErr w:type="gramEnd"/>
      <w:r w:rsidR="000E38C2">
        <w:rPr>
          <w:rFonts w:ascii="Times New Roman" w:hAnsi="Times New Roman" w:cs="Times New Roman"/>
          <w:sz w:val="28"/>
          <w:szCs w:val="28"/>
        </w:rPr>
        <w:t>.</w:t>
      </w:r>
    </w:p>
    <w:p w:rsidR="000E38C2" w:rsidRDefault="000E38C2"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МСФО 9 есть два подхода к оценке ожидаемых убытков и организации самостоятельно выбирают любой</w:t>
      </w:r>
      <w:r w:rsidR="0099254E">
        <w:rPr>
          <w:rFonts w:ascii="Times New Roman" w:hAnsi="Times New Roman" w:cs="Times New Roman"/>
          <w:sz w:val="28"/>
          <w:szCs w:val="28"/>
        </w:rPr>
        <w:t xml:space="preserve"> удобный для себя подход</w:t>
      </w:r>
      <w:r>
        <w:rPr>
          <w:rFonts w:ascii="Times New Roman" w:hAnsi="Times New Roman" w:cs="Times New Roman"/>
          <w:sz w:val="28"/>
          <w:szCs w:val="28"/>
        </w:rPr>
        <w:t>. Первый</w:t>
      </w:r>
      <w:r w:rsidR="0099254E">
        <w:rPr>
          <w:rFonts w:ascii="Times New Roman" w:hAnsi="Times New Roman" w:cs="Times New Roman"/>
          <w:sz w:val="28"/>
          <w:szCs w:val="28"/>
        </w:rPr>
        <w:t>,</w:t>
      </w:r>
      <w:r>
        <w:rPr>
          <w:rFonts w:ascii="Times New Roman" w:hAnsi="Times New Roman" w:cs="Times New Roman"/>
          <w:sz w:val="28"/>
          <w:szCs w:val="28"/>
        </w:rPr>
        <w:t xml:space="preserve"> базовый подход</w:t>
      </w:r>
      <w:r w:rsidR="0099254E">
        <w:rPr>
          <w:rFonts w:ascii="Times New Roman" w:hAnsi="Times New Roman" w:cs="Times New Roman"/>
          <w:sz w:val="28"/>
          <w:szCs w:val="28"/>
        </w:rPr>
        <w:t>,</w:t>
      </w:r>
      <w:r>
        <w:rPr>
          <w:rFonts w:ascii="Times New Roman" w:hAnsi="Times New Roman" w:cs="Times New Roman"/>
          <w:sz w:val="28"/>
          <w:szCs w:val="28"/>
        </w:rPr>
        <w:t xml:space="preserve"> основывается на оценке каждой из составляющих формулы расчета ОКУ, а именно вероятности дефолта контрагента, доли потери от него и суммы под риском.</w:t>
      </w:r>
    </w:p>
    <w:p w:rsidR="000E38C2" w:rsidRDefault="000E38C2"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Второй подход</w:t>
      </w:r>
      <w:r w:rsidR="0099254E">
        <w:rPr>
          <w:rFonts w:ascii="Times New Roman" w:hAnsi="Times New Roman" w:cs="Times New Roman"/>
          <w:sz w:val="28"/>
          <w:szCs w:val="28"/>
        </w:rPr>
        <w:t>,</w:t>
      </w:r>
      <w:r>
        <w:rPr>
          <w:rFonts w:ascii="Times New Roman" w:hAnsi="Times New Roman" w:cs="Times New Roman"/>
          <w:sz w:val="28"/>
          <w:szCs w:val="28"/>
        </w:rPr>
        <w:t xml:space="preserve"> упрощенный, так как при расчете ОКУ по торговой дебиторской задолженности используется матрица резе</w:t>
      </w:r>
      <w:r w:rsidR="001B19F5">
        <w:rPr>
          <w:rFonts w:ascii="Times New Roman" w:hAnsi="Times New Roman" w:cs="Times New Roman"/>
          <w:sz w:val="28"/>
          <w:szCs w:val="28"/>
        </w:rPr>
        <w:t>р</w:t>
      </w:r>
      <w:r>
        <w:rPr>
          <w:rFonts w:ascii="Times New Roman" w:hAnsi="Times New Roman" w:cs="Times New Roman"/>
          <w:sz w:val="28"/>
          <w:szCs w:val="28"/>
        </w:rPr>
        <w:t>вов.</w:t>
      </w:r>
      <w:r w:rsidR="001B19F5">
        <w:rPr>
          <w:rFonts w:ascii="Times New Roman" w:hAnsi="Times New Roman" w:cs="Times New Roman"/>
          <w:sz w:val="28"/>
          <w:szCs w:val="28"/>
        </w:rPr>
        <w:t xml:space="preserve"> Они основываются на днях просрочки платежей. Но для этого необходимо, чтобы результаты отражались с учетом текущих и макроэкономических условий. Резерв оценивается на основании прогноза ожидаемых убытков.</w:t>
      </w:r>
    </w:p>
    <w:p w:rsidR="001B19F5" w:rsidRDefault="001B19F5"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Банки, которые все же применяют первый базовый подход, образуют задачу, которая требует налаживания эффективного процесса их реализации. В первую очередь это использование новых моделей оценки ожидаемых убытков.</w:t>
      </w:r>
    </w:p>
    <w:p w:rsidR="001B19F5" w:rsidRDefault="00467BCA"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Значение автоматизации финансовых процессов подходит для всех подходов, как для </w:t>
      </w:r>
      <w:proofErr w:type="gramStart"/>
      <w:r w:rsidR="00C5511B">
        <w:rPr>
          <w:rFonts w:ascii="Times New Roman" w:hAnsi="Times New Roman" w:cs="Times New Roman"/>
          <w:sz w:val="28"/>
          <w:szCs w:val="28"/>
        </w:rPr>
        <w:t>базового</w:t>
      </w:r>
      <w:proofErr w:type="gramEnd"/>
      <w:r>
        <w:rPr>
          <w:rFonts w:ascii="Times New Roman" w:hAnsi="Times New Roman" w:cs="Times New Roman"/>
          <w:sz w:val="28"/>
          <w:szCs w:val="28"/>
        </w:rPr>
        <w:t xml:space="preserve">, так и для упрощенного. </w:t>
      </w:r>
      <w:r w:rsidR="002749F5">
        <w:rPr>
          <w:rFonts w:ascii="Times New Roman" w:hAnsi="Times New Roman" w:cs="Times New Roman"/>
          <w:sz w:val="28"/>
          <w:szCs w:val="28"/>
        </w:rPr>
        <w:t>Чем точнее определяется величина резерва, оценка которой базируется на оценке риска, тем точнее будет оценена чистая прибыль – один из самых важных показателей работы компании [</w:t>
      </w:r>
      <w:r w:rsidR="00B0481F">
        <w:rPr>
          <w:rFonts w:ascii="Times New Roman" w:hAnsi="Times New Roman" w:cs="Times New Roman"/>
          <w:sz w:val="28"/>
          <w:szCs w:val="28"/>
        </w:rPr>
        <w:t>3</w:t>
      </w:r>
      <w:r w:rsidR="002749F5">
        <w:rPr>
          <w:rFonts w:ascii="Times New Roman" w:hAnsi="Times New Roman" w:cs="Times New Roman"/>
          <w:sz w:val="28"/>
          <w:szCs w:val="28"/>
        </w:rPr>
        <w:t>].</w:t>
      </w:r>
    </w:p>
    <w:p w:rsidR="002749F5" w:rsidRDefault="0099254E"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Практика показывает, что упрощенный подход все же менее точный. При нем использование матриц миграции о поведении контрагентов является усреднением. А точность результатов зависит от подхода дифференциации к оценке различных сегментов бизнеса, портфелей. Поэтому на практике организациям требуется учитывать макроэкономическую</w:t>
      </w:r>
      <w:r w:rsidR="00AC76FC">
        <w:rPr>
          <w:rFonts w:ascii="Times New Roman" w:hAnsi="Times New Roman" w:cs="Times New Roman"/>
          <w:sz w:val="28"/>
          <w:szCs w:val="28"/>
        </w:rPr>
        <w:t xml:space="preserve"> составляющую в своих прогнозах по ОКУ и отражать в своих отчетах влияние макросреды на резерв [</w:t>
      </w:r>
      <w:r w:rsidR="00B0481F">
        <w:rPr>
          <w:rFonts w:ascii="Times New Roman" w:hAnsi="Times New Roman" w:cs="Times New Roman"/>
          <w:sz w:val="28"/>
          <w:szCs w:val="28"/>
        </w:rPr>
        <w:t>3</w:t>
      </w:r>
      <w:r w:rsidR="00AC76FC">
        <w:rPr>
          <w:rFonts w:ascii="Times New Roman" w:hAnsi="Times New Roman" w:cs="Times New Roman"/>
          <w:sz w:val="28"/>
          <w:szCs w:val="28"/>
        </w:rPr>
        <w:t>].</w:t>
      </w:r>
    </w:p>
    <w:p w:rsidR="00AC76FC" w:rsidRDefault="00C959DC"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Более точные оценки ОКУ по дебиторской задолженности контрагентов может дать расширенный базовый подход, но только при обладании высоким и низким рейтингом. В результатах расчета ОКУ со средним рейтингом благонадежности контрагентов обнаруживается совпадение ставок и сумм резервирования по обоим подходам с точностью до процента. Поэтому выбирая более простой подход организации должны понимать, что жертвуют точностью прогнозов.</w:t>
      </w:r>
    </w:p>
    <w:p w:rsidR="00C959DC" w:rsidRDefault="00175D69"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Необходимо все же сравнивать не только применение на практике двух подходов к ОКУ – упрощенного и базового, а также сравнить их полученные результаты. Здесь определяется ряд допущений. Дебиторская задолженность организации разделяется на три составляющие по стадиям обесценения. Обосновывается горизонт прогнозирования времени жизни для оценки портфеля дебиторской задолженности для второй и третьей стадии обесценения. Рассматривается вопрос о прогнозировании суммы, находящейся под риском на </w:t>
      </w:r>
      <w:r>
        <w:rPr>
          <w:rFonts w:ascii="Times New Roman" w:hAnsi="Times New Roman" w:cs="Times New Roman"/>
          <w:sz w:val="28"/>
          <w:szCs w:val="28"/>
        </w:rPr>
        <w:lastRenderedPageBreak/>
        <w:t>каждый момент времени в будущем при отсутствии плановых графиков погашения задолженности [</w:t>
      </w:r>
      <w:r w:rsidR="00B0481F">
        <w:rPr>
          <w:rFonts w:ascii="Times New Roman" w:hAnsi="Times New Roman" w:cs="Times New Roman"/>
          <w:sz w:val="28"/>
          <w:szCs w:val="28"/>
        </w:rPr>
        <w:t>3</w:t>
      </w:r>
      <w:r>
        <w:rPr>
          <w:rFonts w:ascii="Times New Roman" w:hAnsi="Times New Roman" w:cs="Times New Roman"/>
          <w:sz w:val="28"/>
          <w:szCs w:val="28"/>
        </w:rPr>
        <w:t>].</w:t>
      </w:r>
    </w:p>
    <w:p w:rsidR="00175D69" w:rsidRDefault="00872409"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полного применения в практике МСФО 9 необходимо принимать во внимание регуляторы всего мирового экономического сообщества, использовать максимально консервативные оценки рисков в условиях нестабильных рынков. Иными словами надо отталкиваться от самого отрицательного прогноза.</w:t>
      </w:r>
    </w:p>
    <w:p w:rsidR="00872409" w:rsidRDefault="006B4E6C"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Упростить расчеты может наличие качественных рейтинговых моделей. Они позволяют оценить вероятность дефолта контрагентов из разных систем и разных территориальных принадлежностей. </w:t>
      </w:r>
      <w:r w:rsidR="00894994">
        <w:rPr>
          <w:rFonts w:ascii="Times New Roman" w:hAnsi="Times New Roman" w:cs="Times New Roman"/>
          <w:sz w:val="28"/>
          <w:szCs w:val="28"/>
        </w:rPr>
        <w:t>Ссылаясь на эти рейтинги можно сформировать правила отнесения дебиторской задолженности к каждой из стадии обесценения. Именно это и влияе</w:t>
      </w:r>
      <w:r w:rsidR="00B0481F">
        <w:rPr>
          <w:rFonts w:ascii="Times New Roman" w:hAnsi="Times New Roman" w:cs="Times New Roman"/>
          <w:sz w:val="28"/>
          <w:szCs w:val="28"/>
        </w:rPr>
        <w:t>т на точность оценки резервов [2</w:t>
      </w:r>
      <w:r w:rsidR="00894994">
        <w:rPr>
          <w:rFonts w:ascii="Times New Roman" w:hAnsi="Times New Roman" w:cs="Times New Roman"/>
          <w:sz w:val="28"/>
          <w:szCs w:val="28"/>
        </w:rPr>
        <w:t>].</w:t>
      </w:r>
    </w:p>
    <w:p w:rsidR="00894994" w:rsidRDefault="00894994"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Нельзя не отметить проведение анализа</w:t>
      </w:r>
      <w:r w:rsidR="002C5FDD">
        <w:rPr>
          <w:rFonts w:ascii="Times New Roman" w:hAnsi="Times New Roman" w:cs="Times New Roman"/>
          <w:sz w:val="28"/>
          <w:szCs w:val="28"/>
        </w:rPr>
        <w:t>,</w:t>
      </w:r>
      <w:r>
        <w:rPr>
          <w:rFonts w:ascii="Times New Roman" w:hAnsi="Times New Roman" w:cs="Times New Roman"/>
          <w:sz w:val="28"/>
          <w:szCs w:val="28"/>
        </w:rPr>
        <w:t xml:space="preserve"> из которого могут последовать три возможных сценария: базовый, пессимистичный и оптимистичный. </w:t>
      </w:r>
      <w:r w:rsidR="002C5FDD">
        <w:rPr>
          <w:rFonts w:ascii="Times New Roman" w:hAnsi="Times New Roman" w:cs="Times New Roman"/>
          <w:sz w:val="28"/>
          <w:szCs w:val="28"/>
        </w:rPr>
        <w:t>Эти названия говорят сами за себя и отличаются поведением контрагентов, вызванным макроэкономическими обстоятельствами и в оценке вероятности их дефолта.</w:t>
      </w:r>
    </w:p>
    <w:p w:rsidR="00695F4C" w:rsidRDefault="00695F4C"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вышесказанного можно отметить, что оба подхода – упрощенный и базовый – вполне можно использовать для нефинансовой организации. Но базов</w:t>
      </w:r>
      <w:r w:rsidR="00CE43B9">
        <w:rPr>
          <w:rFonts w:ascii="Times New Roman" w:hAnsi="Times New Roman" w:cs="Times New Roman"/>
          <w:sz w:val="28"/>
          <w:szCs w:val="28"/>
        </w:rPr>
        <w:t>ы</w:t>
      </w:r>
      <w:r>
        <w:rPr>
          <w:rFonts w:ascii="Times New Roman" w:hAnsi="Times New Roman" w:cs="Times New Roman"/>
          <w:sz w:val="28"/>
          <w:szCs w:val="28"/>
        </w:rPr>
        <w:t>й</w:t>
      </w:r>
      <w:r w:rsidR="00CE43B9">
        <w:rPr>
          <w:rFonts w:ascii="Times New Roman" w:hAnsi="Times New Roman" w:cs="Times New Roman"/>
          <w:sz w:val="28"/>
          <w:szCs w:val="28"/>
        </w:rPr>
        <w:t xml:space="preserve"> подход</w:t>
      </w:r>
      <w:r>
        <w:rPr>
          <w:rFonts w:ascii="Times New Roman" w:hAnsi="Times New Roman" w:cs="Times New Roman"/>
          <w:sz w:val="28"/>
          <w:szCs w:val="28"/>
        </w:rPr>
        <w:t xml:space="preserve"> все же более наглядно демонстрирует существенную экономию резервов.</w:t>
      </w:r>
    </w:p>
    <w:p w:rsidR="00695F4C" w:rsidRDefault="00695F4C"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Данный стандарт также предусматривает проведение </w:t>
      </w:r>
      <w:proofErr w:type="gramStart"/>
      <w:r>
        <w:rPr>
          <w:rFonts w:ascii="Times New Roman" w:hAnsi="Times New Roman" w:cs="Times New Roman"/>
          <w:sz w:val="28"/>
          <w:szCs w:val="28"/>
        </w:rPr>
        <w:t>стресс-тестирования</w:t>
      </w:r>
      <w:proofErr w:type="gramEnd"/>
      <w:r>
        <w:rPr>
          <w:rFonts w:ascii="Times New Roman" w:hAnsi="Times New Roman" w:cs="Times New Roman"/>
          <w:sz w:val="28"/>
          <w:szCs w:val="28"/>
        </w:rPr>
        <w:t xml:space="preserve"> и для этого выделяют оба подхода. </w:t>
      </w:r>
      <w:r w:rsidR="00D31CE2">
        <w:rPr>
          <w:rFonts w:ascii="Times New Roman" w:hAnsi="Times New Roman" w:cs="Times New Roman"/>
          <w:sz w:val="28"/>
          <w:szCs w:val="28"/>
        </w:rPr>
        <w:t>Финансовы</w:t>
      </w:r>
      <w:r w:rsidR="00B0128A">
        <w:rPr>
          <w:rFonts w:ascii="Times New Roman" w:hAnsi="Times New Roman" w:cs="Times New Roman"/>
          <w:sz w:val="28"/>
          <w:szCs w:val="28"/>
        </w:rPr>
        <w:t>м</w:t>
      </w:r>
      <w:r w:rsidR="00D31CE2">
        <w:rPr>
          <w:rFonts w:ascii="Times New Roman" w:hAnsi="Times New Roman" w:cs="Times New Roman"/>
          <w:sz w:val="28"/>
          <w:szCs w:val="28"/>
        </w:rPr>
        <w:t xml:space="preserve"> организаци</w:t>
      </w:r>
      <w:r w:rsidR="00B0128A">
        <w:rPr>
          <w:rFonts w:ascii="Times New Roman" w:hAnsi="Times New Roman" w:cs="Times New Roman"/>
          <w:sz w:val="28"/>
          <w:szCs w:val="28"/>
        </w:rPr>
        <w:t>ям</w:t>
      </w:r>
      <w:r w:rsidR="00D31CE2">
        <w:rPr>
          <w:rFonts w:ascii="Times New Roman" w:hAnsi="Times New Roman" w:cs="Times New Roman"/>
          <w:sz w:val="28"/>
          <w:szCs w:val="28"/>
        </w:rPr>
        <w:t xml:space="preserve">, которым еще предстоит переход на новый стандарт необходимо понимать, что современные модели </w:t>
      </w:r>
      <w:proofErr w:type="gramStart"/>
      <w:r w:rsidR="00D31CE2">
        <w:rPr>
          <w:rFonts w:ascii="Times New Roman" w:hAnsi="Times New Roman" w:cs="Times New Roman"/>
          <w:sz w:val="28"/>
          <w:szCs w:val="28"/>
        </w:rPr>
        <w:t>риск-менеджмента</w:t>
      </w:r>
      <w:proofErr w:type="gramEnd"/>
      <w:r w:rsidR="00D31CE2">
        <w:rPr>
          <w:rFonts w:ascii="Times New Roman" w:hAnsi="Times New Roman" w:cs="Times New Roman"/>
          <w:sz w:val="28"/>
          <w:szCs w:val="28"/>
        </w:rPr>
        <w:t xml:space="preserve"> может оказывать существенное положительное влияние на результат в целом. Но е</w:t>
      </w:r>
      <w:r w:rsidR="002C5FDD">
        <w:rPr>
          <w:rFonts w:ascii="Times New Roman" w:hAnsi="Times New Roman" w:cs="Times New Roman"/>
          <w:sz w:val="28"/>
          <w:szCs w:val="28"/>
        </w:rPr>
        <w:t>ще пока не все организации способны оценить, как макроэкономическая среда влияет на портфели и поведение контрагентов. В связи с чем, у многих организаций нет работающей модели, показывающей зависимость влияния макроэкономики на резерв</w:t>
      </w:r>
      <w:r w:rsidR="00B0481F">
        <w:rPr>
          <w:rFonts w:ascii="Times New Roman" w:hAnsi="Times New Roman" w:cs="Times New Roman"/>
          <w:sz w:val="28"/>
          <w:szCs w:val="28"/>
        </w:rPr>
        <w:t xml:space="preserve"> [2].</w:t>
      </w:r>
      <w:r w:rsidR="002C5FDD">
        <w:rPr>
          <w:rFonts w:ascii="Times New Roman" w:hAnsi="Times New Roman" w:cs="Times New Roman"/>
          <w:sz w:val="28"/>
          <w:szCs w:val="28"/>
        </w:rPr>
        <w:t xml:space="preserve"> Поэтому </w:t>
      </w:r>
      <w:r w:rsidR="00872409" w:rsidRPr="002C5FDD">
        <w:rPr>
          <w:rFonts w:ascii="Times New Roman" w:hAnsi="Times New Roman" w:cs="Times New Roman"/>
          <w:sz w:val="28"/>
          <w:szCs w:val="28"/>
        </w:rPr>
        <w:t>новый стандарт по</w:t>
      </w:r>
      <w:r w:rsidR="002D3331">
        <w:rPr>
          <w:rFonts w:ascii="Times New Roman" w:hAnsi="Times New Roman" w:cs="Times New Roman"/>
          <w:sz w:val="28"/>
          <w:szCs w:val="28"/>
        </w:rPr>
        <w:t xml:space="preserve"> </w:t>
      </w:r>
      <w:r w:rsidR="00872409" w:rsidRPr="002C5FDD">
        <w:rPr>
          <w:rFonts w:ascii="Times New Roman" w:hAnsi="Times New Roman" w:cs="Times New Roman"/>
          <w:sz w:val="28"/>
          <w:szCs w:val="28"/>
        </w:rPr>
        <w:t>финансовым инструментам требу</w:t>
      </w:r>
      <w:r w:rsidR="002C5FDD">
        <w:rPr>
          <w:rFonts w:ascii="Times New Roman" w:hAnsi="Times New Roman" w:cs="Times New Roman"/>
          <w:sz w:val="28"/>
          <w:szCs w:val="28"/>
        </w:rPr>
        <w:t xml:space="preserve">ет формировать резервы под </w:t>
      </w:r>
      <w:r w:rsidR="002C5FDD">
        <w:rPr>
          <w:rFonts w:ascii="Times New Roman" w:hAnsi="Times New Roman" w:cs="Times New Roman"/>
          <w:sz w:val="28"/>
          <w:szCs w:val="28"/>
        </w:rPr>
        <w:lastRenderedPageBreak/>
        <w:t>обес</w:t>
      </w:r>
      <w:r w:rsidR="00872409" w:rsidRPr="002C5FDD">
        <w:rPr>
          <w:rFonts w:ascii="Times New Roman" w:hAnsi="Times New Roman" w:cs="Times New Roman"/>
          <w:sz w:val="28"/>
          <w:szCs w:val="28"/>
        </w:rPr>
        <w:t>ценение практически по</w:t>
      </w:r>
      <w:r w:rsidR="002D3331">
        <w:rPr>
          <w:rFonts w:ascii="Times New Roman" w:hAnsi="Times New Roman" w:cs="Times New Roman"/>
          <w:sz w:val="28"/>
          <w:szCs w:val="28"/>
        </w:rPr>
        <w:t xml:space="preserve"> </w:t>
      </w:r>
      <w:r w:rsidR="00872409" w:rsidRPr="002C5FDD">
        <w:rPr>
          <w:rFonts w:ascii="Times New Roman" w:hAnsi="Times New Roman" w:cs="Times New Roman"/>
          <w:sz w:val="28"/>
          <w:szCs w:val="28"/>
        </w:rPr>
        <w:t>всем долговым финансовым активам. Значит, будет больше работы по</w:t>
      </w:r>
      <w:r w:rsidR="002D3331">
        <w:rPr>
          <w:rFonts w:ascii="Times New Roman" w:hAnsi="Times New Roman" w:cs="Times New Roman"/>
          <w:sz w:val="28"/>
          <w:szCs w:val="28"/>
        </w:rPr>
        <w:t xml:space="preserve"> </w:t>
      </w:r>
      <w:r w:rsidR="00872409" w:rsidRPr="002C5FDD">
        <w:rPr>
          <w:rFonts w:ascii="Times New Roman" w:hAnsi="Times New Roman" w:cs="Times New Roman"/>
          <w:sz w:val="28"/>
          <w:szCs w:val="28"/>
        </w:rPr>
        <w:t>формированию и</w:t>
      </w:r>
      <w:r w:rsidR="002D3331">
        <w:rPr>
          <w:rFonts w:ascii="Times New Roman" w:hAnsi="Times New Roman" w:cs="Times New Roman"/>
          <w:sz w:val="28"/>
          <w:szCs w:val="28"/>
        </w:rPr>
        <w:t xml:space="preserve"> </w:t>
      </w:r>
      <w:r w:rsidR="00872409" w:rsidRPr="002C5FDD">
        <w:rPr>
          <w:rFonts w:ascii="Times New Roman" w:hAnsi="Times New Roman" w:cs="Times New Roman"/>
          <w:sz w:val="28"/>
          <w:szCs w:val="28"/>
        </w:rPr>
        <w:t>восстановлению резервов под обесценение дебиторской задолженности, займов выданных и</w:t>
      </w:r>
      <w:r w:rsidR="002D3331">
        <w:rPr>
          <w:rFonts w:ascii="Times New Roman" w:hAnsi="Times New Roman" w:cs="Times New Roman"/>
          <w:sz w:val="28"/>
          <w:szCs w:val="28"/>
        </w:rPr>
        <w:t xml:space="preserve"> </w:t>
      </w:r>
      <w:r w:rsidR="00872409" w:rsidRPr="002C5FDD">
        <w:rPr>
          <w:rFonts w:ascii="Times New Roman" w:hAnsi="Times New Roman" w:cs="Times New Roman"/>
          <w:sz w:val="28"/>
          <w:szCs w:val="28"/>
        </w:rPr>
        <w:t xml:space="preserve">других долговых финансовых активов. </w:t>
      </w:r>
      <w:r w:rsidR="002C5FDD">
        <w:rPr>
          <w:rFonts w:ascii="Times New Roman" w:hAnsi="Times New Roman" w:cs="Times New Roman"/>
          <w:sz w:val="28"/>
          <w:szCs w:val="28"/>
        </w:rPr>
        <w:t>Скорее всего</w:t>
      </w:r>
      <w:proofErr w:type="gramStart"/>
      <w:r>
        <w:rPr>
          <w:rFonts w:ascii="Times New Roman" w:hAnsi="Times New Roman" w:cs="Times New Roman"/>
          <w:sz w:val="28"/>
          <w:szCs w:val="28"/>
        </w:rPr>
        <w:t>,ф</w:t>
      </w:r>
      <w:proofErr w:type="gramEnd"/>
      <w:r>
        <w:rPr>
          <w:rFonts w:ascii="Times New Roman" w:hAnsi="Times New Roman" w:cs="Times New Roman"/>
          <w:sz w:val="28"/>
          <w:szCs w:val="28"/>
        </w:rPr>
        <w:t xml:space="preserve">инансовые </w:t>
      </w:r>
      <w:r w:rsidR="002C5FDD">
        <w:rPr>
          <w:rFonts w:ascii="Times New Roman" w:hAnsi="Times New Roman" w:cs="Times New Roman"/>
          <w:sz w:val="28"/>
          <w:szCs w:val="28"/>
        </w:rPr>
        <w:t>о</w:t>
      </w:r>
      <w:r w:rsidR="00872409" w:rsidRPr="002C5FDD">
        <w:rPr>
          <w:rFonts w:ascii="Times New Roman" w:hAnsi="Times New Roman" w:cs="Times New Roman"/>
          <w:sz w:val="28"/>
          <w:szCs w:val="28"/>
        </w:rPr>
        <w:t xml:space="preserve">рганизации будут </w:t>
      </w:r>
      <w:r w:rsidR="002C5FDD">
        <w:rPr>
          <w:rFonts w:ascii="Times New Roman" w:hAnsi="Times New Roman" w:cs="Times New Roman"/>
          <w:sz w:val="28"/>
          <w:szCs w:val="28"/>
        </w:rPr>
        <w:t xml:space="preserve">все же </w:t>
      </w:r>
      <w:r w:rsidR="00872409" w:rsidRPr="002C5FDD">
        <w:rPr>
          <w:rFonts w:ascii="Times New Roman" w:hAnsi="Times New Roman" w:cs="Times New Roman"/>
          <w:sz w:val="28"/>
          <w:szCs w:val="28"/>
        </w:rPr>
        <w:t>признавать больше убытков в</w:t>
      </w:r>
      <w:r w:rsidR="002D3331">
        <w:rPr>
          <w:rFonts w:ascii="Times New Roman" w:hAnsi="Times New Roman" w:cs="Times New Roman"/>
          <w:sz w:val="28"/>
          <w:szCs w:val="28"/>
        </w:rPr>
        <w:t xml:space="preserve"> </w:t>
      </w:r>
      <w:r w:rsidR="00872409" w:rsidRPr="002C5FDD">
        <w:rPr>
          <w:rFonts w:ascii="Times New Roman" w:hAnsi="Times New Roman" w:cs="Times New Roman"/>
          <w:sz w:val="28"/>
          <w:szCs w:val="28"/>
        </w:rPr>
        <w:t>связи с</w:t>
      </w:r>
      <w:r w:rsidR="002D3331">
        <w:rPr>
          <w:rFonts w:ascii="Times New Roman" w:hAnsi="Times New Roman" w:cs="Times New Roman"/>
          <w:sz w:val="28"/>
          <w:szCs w:val="28"/>
        </w:rPr>
        <w:t xml:space="preserve"> </w:t>
      </w:r>
      <w:r w:rsidR="00872409" w:rsidRPr="002C5FDD">
        <w:rPr>
          <w:rFonts w:ascii="Times New Roman" w:hAnsi="Times New Roman" w:cs="Times New Roman"/>
          <w:sz w:val="28"/>
          <w:szCs w:val="28"/>
        </w:rPr>
        <w:t>применением правил, изложенных в</w:t>
      </w:r>
      <w:r w:rsidR="002D3331">
        <w:rPr>
          <w:rFonts w:ascii="Times New Roman" w:hAnsi="Times New Roman" w:cs="Times New Roman"/>
          <w:sz w:val="28"/>
          <w:szCs w:val="28"/>
        </w:rPr>
        <w:t xml:space="preserve"> </w:t>
      </w:r>
      <w:r w:rsidR="00872409" w:rsidRPr="002C5FDD">
        <w:rPr>
          <w:rFonts w:ascii="Times New Roman" w:hAnsi="Times New Roman" w:cs="Times New Roman"/>
          <w:sz w:val="28"/>
          <w:szCs w:val="28"/>
        </w:rPr>
        <w:t xml:space="preserve">МСФО 9. Поэтому желательно заранее выяснить последствия </w:t>
      </w:r>
      <w:r>
        <w:rPr>
          <w:rFonts w:ascii="Times New Roman" w:hAnsi="Times New Roman" w:cs="Times New Roman"/>
          <w:sz w:val="28"/>
          <w:szCs w:val="28"/>
        </w:rPr>
        <w:t xml:space="preserve">его </w:t>
      </w:r>
      <w:r w:rsidR="00872409" w:rsidRPr="002C5FDD">
        <w:rPr>
          <w:rFonts w:ascii="Times New Roman" w:hAnsi="Times New Roman" w:cs="Times New Roman"/>
          <w:sz w:val="28"/>
          <w:szCs w:val="28"/>
        </w:rPr>
        <w:t xml:space="preserve">применения </w:t>
      </w:r>
      <w:r w:rsidR="002C5FDD">
        <w:rPr>
          <w:rFonts w:ascii="Times New Roman" w:hAnsi="Times New Roman" w:cs="Times New Roman"/>
          <w:sz w:val="28"/>
          <w:szCs w:val="28"/>
        </w:rPr>
        <w:t xml:space="preserve">и </w:t>
      </w:r>
      <w:r w:rsidR="00872409" w:rsidRPr="002C5FDD">
        <w:rPr>
          <w:rFonts w:ascii="Times New Roman" w:hAnsi="Times New Roman" w:cs="Times New Roman"/>
          <w:sz w:val="28"/>
          <w:szCs w:val="28"/>
        </w:rPr>
        <w:t xml:space="preserve">подготовиться </w:t>
      </w:r>
      <w:proofErr w:type="gramStart"/>
      <w:r w:rsidR="00872409" w:rsidRPr="002C5FDD">
        <w:rPr>
          <w:rFonts w:ascii="Times New Roman" w:hAnsi="Times New Roman" w:cs="Times New Roman"/>
          <w:sz w:val="28"/>
          <w:szCs w:val="28"/>
        </w:rPr>
        <w:t>по-новому</w:t>
      </w:r>
      <w:proofErr w:type="gramEnd"/>
      <w:r w:rsidR="00872409" w:rsidRPr="002C5FDD">
        <w:rPr>
          <w:rFonts w:ascii="Times New Roman" w:hAnsi="Times New Roman" w:cs="Times New Roman"/>
          <w:sz w:val="28"/>
          <w:szCs w:val="28"/>
        </w:rPr>
        <w:t xml:space="preserve"> учитывать обесценение финансовых активов.</w:t>
      </w:r>
    </w:p>
    <w:p w:rsidR="00695F4C" w:rsidRDefault="00695F4C" w:rsidP="00607B66">
      <w:pPr>
        <w:spacing w:after="0" w:line="360" w:lineRule="auto"/>
        <w:ind w:firstLine="709"/>
        <w:jc w:val="both"/>
        <w:rPr>
          <w:rFonts w:ascii="Times New Roman" w:hAnsi="Times New Roman" w:cs="Times New Roman"/>
          <w:sz w:val="28"/>
          <w:szCs w:val="28"/>
        </w:rPr>
      </w:pPr>
    </w:p>
    <w:p w:rsidR="00D31CE2" w:rsidRDefault="00D31CE2" w:rsidP="00607B66">
      <w:pPr>
        <w:spacing w:after="0" w:line="360" w:lineRule="auto"/>
        <w:ind w:firstLine="709"/>
        <w:jc w:val="both"/>
        <w:rPr>
          <w:rFonts w:ascii="Times New Roman" w:hAnsi="Times New Roman" w:cs="Times New Roman"/>
          <w:sz w:val="28"/>
          <w:szCs w:val="28"/>
        </w:rPr>
      </w:pPr>
    </w:p>
    <w:p w:rsidR="00D31CE2" w:rsidRDefault="00607B66" w:rsidP="00607B6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Список использованной литературы</w:t>
      </w:r>
    </w:p>
    <w:p w:rsidR="00D31CE2" w:rsidRDefault="00D31CE2"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00607B66">
        <w:rPr>
          <w:rFonts w:ascii="Times New Roman" w:hAnsi="Times New Roman" w:cs="Times New Roman"/>
          <w:sz w:val="28"/>
          <w:szCs w:val="28"/>
        </w:rPr>
        <w:t>МальковаТ.Н</w:t>
      </w:r>
      <w:proofErr w:type="spellEnd"/>
      <w:r w:rsidR="00607B66">
        <w:rPr>
          <w:rFonts w:ascii="Times New Roman" w:hAnsi="Times New Roman" w:cs="Times New Roman"/>
          <w:sz w:val="28"/>
          <w:szCs w:val="28"/>
        </w:rPr>
        <w:t>., Е.В. Котова. Особенности применения МСФО в России//Налоговый учет для бухгалтера – 2018 - №9 с78-79.</w:t>
      </w:r>
    </w:p>
    <w:p w:rsidR="00D31CE2" w:rsidRPr="00D31CE2" w:rsidRDefault="002D3331" w:rsidP="00607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07B66">
        <w:rPr>
          <w:rFonts w:ascii="Times New Roman" w:hAnsi="Times New Roman" w:cs="Times New Roman"/>
          <w:sz w:val="28"/>
          <w:szCs w:val="28"/>
        </w:rPr>
        <w:t xml:space="preserve">. </w:t>
      </w:r>
      <w:r w:rsidR="00D31CE2">
        <w:rPr>
          <w:rFonts w:ascii="Times New Roman" w:hAnsi="Times New Roman" w:cs="Times New Roman"/>
          <w:sz w:val="28"/>
          <w:szCs w:val="28"/>
        </w:rPr>
        <w:t>Низков</w:t>
      </w:r>
      <w:r w:rsidR="00607B66">
        <w:rPr>
          <w:rFonts w:ascii="Times New Roman" w:hAnsi="Times New Roman" w:cs="Times New Roman"/>
          <w:sz w:val="28"/>
          <w:szCs w:val="28"/>
        </w:rPr>
        <w:t>А.И</w:t>
      </w:r>
      <w:r w:rsidR="00D31CE2">
        <w:rPr>
          <w:rFonts w:ascii="Times New Roman" w:hAnsi="Times New Roman" w:cs="Times New Roman"/>
          <w:sz w:val="28"/>
          <w:szCs w:val="28"/>
        </w:rPr>
        <w:t xml:space="preserve">. Первоначальное применение МСФО 9. </w:t>
      </w:r>
      <w:r w:rsidR="00D31CE2">
        <w:rPr>
          <w:rFonts w:ascii="Times New Roman CYR" w:hAnsi="Times New Roman CYR" w:cs="Times New Roman CYR"/>
          <w:sz w:val="28"/>
          <w:szCs w:val="28"/>
        </w:rPr>
        <w:t xml:space="preserve">[Электронный ресурс] // URL: </w:t>
      </w:r>
      <w:r w:rsidR="00D31CE2">
        <w:rPr>
          <w:rFonts w:ascii="Times New Roman" w:hAnsi="Times New Roman" w:cs="Times New Roman"/>
          <w:sz w:val="28"/>
          <w:szCs w:val="28"/>
        </w:rPr>
        <w:t>/</w:t>
      </w:r>
      <w:r w:rsidR="00D31CE2" w:rsidRPr="00D31CE2">
        <w:rPr>
          <w:rFonts w:ascii="Times New Roman" w:hAnsi="Times New Roman" w:cs="Times New Roman"/>
          <w:sz w:val="28"/>
          <w:szCs w:val="28"/>
        </w:rPr>
        <w:t>https://www.ipbr.org/accounting/ias/ias-practice/180305-nizkov/</w:t>
      </w:r>
      <w:r w:rsidR="00D31CE2">
        <w:rPr>
          <w:rFonts w:ascii="Times New Roman" w:hAnsi="Times New Roman" w:cs="Times New Roman"/>
          <w:sz w:val="28"/>
          <w:szCs w:val="28"/>
        </w:rPr>
        <w:t xml:space="preserve"> (дата обращения 25.05.2020)</w:t>
      </w:r>
    </w:p>
    <w:p w:rsidR="002D3331" w:rsidRDefault="002D3331" w:rsidP="002D33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НаумоваМ.П. Как бизнес готовится к переходу на МСФО 9 – 2017-12-14.</w:t>
      </w:r>
    </w:p>
    <w:p w:rsidR="00607B66" w:rsidRPr="00D31CE2" w:rsidRDefault="00607B66" w:rsidP="00607B66">
      <w:pPr>
        <w:spacing w:after="0" w:line="360" w:lineRule="auto"/>
        <w:ind w:firstLine="709"/>
        <w:jc w:val="both"/>
        <w:rPr>
          <w:rFonts w:ascii="Times New Roman" w:hAnsi="Times New Roman" w:cs="Times New Roman"/>
          <w:sz w:val="28"/>
          <w:szCs w:val="28"/>
        </w:rPr>
      </w:pPr>
    </w:p>
    <w:sectPr w:rsidR="00607B66" w:rsidRPr="00D31CE2" w:rsidSect="00B937DB">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67237F"/>
    <w:rsid w:val="00095912"/>
    <w:rsid w:val="000E38C2"/>
    <w:rsid w:val="00175D69"/>
    <w:rsid w:val="001B19F5"/>
    <w:rsid w:val="001D3B09"/>
    <w:rsid w:val="002749F5"/>
    <w:rsid w:val="002B06C1"/>
    <w:rsid w:val="002C5FDD"/>
    <w:rsid w:val="002D3331"/>
    <w:rsid w:val="00320A44"/>
    <w:rsid w:val="003C5317"/>
    <w:rsid w:val="00467BCA"/>
    <w:rsid w:val="005D36D9"/>
    <w:rsid w:val="00607B66"/>
    <w:rsid w:val="00665FC8"/>
    <w:rsid w:val="0067237F"/>
    <w:rsid w:val="00695F4C"/>
    <w:rsid w:val="006B4E6C"/>
    <w:rsid w:val="0076140C"/>
    <w:rsid w:val="007C5B94"/>
    <w:rsid w:val="00801CED"/>
    <w:rsid w:val="00872409"/>
    <w:rsid w:val="00894994"/>
    <w:rsid w:val="0092499D"/>
    <w:rsid w:val="0099254E"/>
    <w:rsid w:val="00A7728D"/>
    <w:rsid w:val="00AC76FC"/>
    <w:rsid w:val="00B0128A"/>
    <w:rsid w:val="00B0481F"/>
    <w:rsid w:val="00B937DB"/>
    <w:rsid w:val="00B943B7"/>
    <w:rsid w:val="00BD414E"/>
    <w:rsid w:val="00BF5B83"/>
    <w:rsid w:val="00C5511B"/>
    <w:rsid w:val="00C959DC"/>
    <w:rsid w:val="00CA4850"/>
    <w:rsid w:val="00CE43B9"/>
    <w:rsid w:val="00D31CE2"/>
    <w:rsid w:val="00FC57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7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1175</Words>
  <Characters>6702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Загрядская</dc:creator>
  <cp:lastModifiedBy>Елена Загрядская</cp:lastModifiedBy>
  <cp:revision>4</cp:revision>
  <dcterms:created xsi:type="dcterms:W3CDTF">2020-05-27T06:11:00Z</dcterms:created>
  <dcterms:modified xsi:type="dcterms:W3CDTF">2020-05-27T06:25:00Z</dcterms:modified>
</cp:coreProperties>
</file>