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AAB" w:rsidRDefault="003A4AAB" w:rsidP="003A4AAB">
      <w:pPr>
        <w:pStyle w:val="Textbody"/>
        <w:suppressAutoHyphens w:val="0"/>
        <w:spacing w:after="0"/>
        <w:ind w:firstLine="709"/>
        <w:jc w:val="right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Студент магистратуры </w:t>
      </w:r>
      <w:r w:rsidR="00F40429">
        <w:rPr>
          <w:rFonts w:ascii="Times New Roman" w:hAnsi="Times New Roman" w:cs="Times New Roman"/>
          <w:b/>
          <w:color w:val="000000"/>
        </w:rPr>
        <w:t xml:space="preserve">А.А. </w:t>
      </w:r>
      <w:proofErr w:type="spellStart"/>
      <w:r w:rsidR="00F40429">
        <w:rPr>
          <w:rFonts w:ascii="Times New Roman" w:hAnsi="Times New Roman" w:cs="Times New Roman"/>
          <w:b/>
          <w:color w:val="000000"/>
        </w:rPr>
        <w:t>Пивоварчик</w:t>
      </w:r>
      <w:proofErr w:type="spellEnd"/>
    </w:p>
    <w:p w:rsidR="003A4AAB" w:rsidRDefault="003A4AAB" w:rsidP="003A4AAB">
      <w:pPr>
        <w:pStyle w:val="Textbody"/>
        <w:suppressAutoHyphens w:val="0"/>
        <w:spacing w:after="0"/>
        <w:ind w:firstLine="709"/>
        <w:jc w:val="right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(ФГБОУ ВО </w:t>
      </w:r>
      <w:proofErr w:type="spellStart"/>
      <w:r>
        <w:rPr>
          <w:rFonts w:ascii="Times New Roman" w:hAnsi="Times New Roman" w:cs="Times New Roman"/>
          <w:color w:val="000000"/>
        </w:rPr>
        <w:t>СПбГАУ</w:t>
      </w:r>
      <w:proofErr w:type="spellEnd"/>
      <w:r>
        <w:rPr>
          <w:rFonts w:ascii="Times New Roman" w:hAnsi="Times New Roman" w:cs="Times New Roman"/>
          <w:color w:val="000000"/>
        </w:rPr>
        <w:t>),</w:t>
      </w:r>
    </w:p>
    <w:p w:rsidR="003A4AAB" w:rsidRDefault="003A4AAB" w:rsidP="003A4AAB">
      <w:pPr>
        <w:pStyle w:val="Textbody"/>
        <w:suppressAutoHyphens w:val="0"/>
        <w:spacing w:after="0"/>
        <w:ind w:firstLine="709"/>
        <w:jc w:val="right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канд. с-х. наук, доцент </w:t>
      </w:r>
      <w:r>
        <w:rPr>
          <w:rFonts w:ascii="Times New Roman" w:hAnsi="Times New Roman" w:cs="Times New Roman"/>
          <w:b/>
          <w:color w:val="000000"/>
        </w:rPr>
        <w:t>О. В. ОСИПОВА</w:t>
      </w:r>
    </w:p>
    <w:p w:rsidR="003A4AAB" w:rsidRDefault="003A4AAB" w:rsidP="003A4AAB">
      <w:pPr>
        <w:pStyle w:val="Textbody"/>
        <w:suppressAutoHyphens w:val="0"/>
        <w:spacing w:after="0"/>
        <w:ind w:firstLine="709"/>
        <w:jc w:val="right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(ФГБОУ ВО </w:t>
      </w:r>
      <w:proofErr w:type="spellStart"/>
      <w:r>
        <w:rPr>
          <w:rFonts w:ascii="Times New Roman" w:hAnsi="Times New Roman" w:cs="Times New Roman"/>
          <w:color w:val="000000"/>
        </w:rPr>
        <w:t>СПбГАУ</w:t>
      </w:r>
      <w:proofErr w:type="spellEnd"/>
      <w:r>
        <w:rPr>
          <w:rFonts w:ascii="Times New Roman" w:hAnsi="Times New Roman" w:cs="Times New Roman"/>
          <w:color w:val="000000"/>
        </w:rPr>
        <w:t>)</w:t>
      </w:r>
    </w:p>
    <w:p w:rsidR="0004593B" w:rsidRDefault="0004593B" w:rsidP="0004593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93B" w:rsidRDefault="0004593B" w:rsidP="0004593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429" w:rsidRDefault="00783182" w:rsidP="0004593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МЕХАНИЗМ СОЦИАЛЬНОЙ ЗАЩИТЫ </w:t>
      </w:r>
      <w:r w:rsidR="00C851EB">
        <w:rPr>
          <w:rFonts w:ascii="Times New Roman" w:hAnsi="Times New Roman" w:cs="Times New Roman"/>
          <w:b/>
          <w:sz w:val="28"/>
          <w:szCs w:val="28"/>
        </w:rPr>
        <w:t>МАЛООБЕ</w:t>
      </w:r>
      <w:r w:rsidR="00397089">
        <w:rPr>
          <w:rFonts w:ascii="Times New Roman" w:hAnsi="Times New Roman" w:cs="Times New Roman"/>
          <w:b/>
          <w:sz w:val="28"/>
          <w:szCs w:val="28"/>
        </w:rPr>
        <w:t>СПЕ</w:t>
      </w:r>
      <w:r w:rsidR="00C851EB">
        <w:rPr>
          <w:rFonts w:ascii="Times New Roman" w:hAnsi="Times New Roman" w:cs="Times New Roman"/>
          <w:b/>
          <w:sz w:val="28"/>
          <w:szCs w:val="28"/>
        </w:rPr>
        <w:t>ЧЕННЫ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C851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ГРАЖ</w:t>
      </w:r>
      <w:r w:rsidR="00397089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АН</w:t>
      </w:r>
      <w:r w:rsidR="00C851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0"/>
    <w:p w:rsidR="00F40429" w:rsidRDefault="00F40429" w:rsidP="0004593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429" w:rsidRDefault="00F40429" w:rsidP="0004593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AAB" w:rsidRPr="003A4AAB" w:rsidRDefault="003A4AAB" w:rsidP="0092272D">
      <w:pPr>
        <w:spacing w:line="240" w:lineRule="auto"/>
        <w:jc w:val="both"/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</w:pPr>
      <w:r w:rsidRPr="003A4AAB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Осипова О.В. © Кандидат сельскохозяйственных наук, доцент </w:t>
      </w:r>
      <w:bookmarkStart w:id="1" w:name="site-name"/>
      <w:bookmarkEnd w:id="1"/>
      <w:r w:rsidRPr="003A4AAB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кафедры технологий управления, </w:t>
      </w:r>
      <w:hyperlink r:id="rId9" w:history="1">
        <w:r w:rsidRPr="003A4AAB">
          <w:rPr>
            <w:rFonts w:ascii="Times New Roman" w:hAnsi="Times New Roman" w:cs="Times New Roman"/>
            <w:sz w:val="28"/>
            <w:highlight w:val="white"/>
          </w:rPr>
          <w:t>Санкт-Петербургский государственный аграрный университет</w:t>
        </w:r>
      </w:hyperlink>
      <w:r w:rsidRPr="003A4AAB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 </w:t>
      </w:r>
    </w:p>
    <w:p w:rsidR="003A4AAB" w:rsidRPr="003A4AAB" w:rsidRDefault="00F40429" w:rsidP="0092272D">
      <w:pPr>
        <w:spacing w:line="240" w:lineRule="auto"/>
        <w:jc w:val="both"/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</w:pPr>
      <w:proofErr w:type="spellStart"/>
      <w:r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>Пивоварчик</w:t>
      </w:r>
      <w:proofErr w:type="spellEnd"/>
      <w:r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 А.А.</w:t>
      </w:r>
      <w:r w:rsidR="003A4AAB" w:rsidRPr="003A4AAB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 © Магистрант, направление подготовки Государственное и муниципальное управления, </w:t>
      </w:r>
      <w:hyperlink r:id="rId10" w:history="1">
        <w:r w:rsidR="003A4AAB" w:rsidRPr="003A4AAB">
          <w:rPr>
            <w:rFonts w:ascii="Times New Roman" w:hAnsi="Times New Roman" w:cs="Times New Roman"/>
            <w:sz w:val="28"/>
            <w:highlight w:val="white"/>
          </w:rPr>
          <w:t>Санкт-Петербургский государственный аграрный университет</w:t>
        </w:r>
      </w:hyperlink>
      <w:r w:rsidR="003A4AAB" w:rsidRPr="003A4AAB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 </w:t>
      </w:r>
    </w:p>
    <w:p w:rsidR="009029E4" w:rsidRPr="00783182" w:rsidRDefault="0004593B" w:rsidP="009F1AE2">
      <w:pPr>
        <w:suppressAutoHyphens/>
        <w:spacing w:after="0" w:line="270" w:lineRule="atLeast"/>
        <w:jc w:val="both"/>
        <w:textAlignment w:val="baseline"/>
        <w:rPr>
          <w:rFonts w:ascii="Times New Roman" w:eastAsia="NSimSun" w:hAnsi="Times New Roman" w:cs="Times New Roman"/>
          <w:color w:val="FF0000"/>
          <w:kern w:val="2"/>
          <w:sz w:val="28"/>
          <w:szCs w:val="28"/>
          <w:highlight w:val="white"/>
          <w:lang w:eastAsia="zh-CN" w:bidi="hi-IN"/>
        </w:rPr>
      </w:pPr>
      <w:r w:rsidRPr="001E5F8E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Аннотация: </w:t>
      </w:r>
      <w:r w:rsidR="009029E4" w:rsidRPr="00804365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 xml:space="preserve">Статья посвящена </w:t>
      </w:r>
      <w:r w:rsidR="00804365" w:rsidRPr="00804365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>механизму социальной защиты малообеспеченных граждан.</w:t>
      </w:r>
      <w:r w:rsidR="009029E4" w:rsidRPr="00804365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 xml:space="preserve"> Автором раскрываются основные концепции понимания бедности, критерии отнесения граждан к данной категории на </w:t>
      </w:r>
      <w:r w:rsidR="00804365" w:rsidRPr="00804365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>основании,</w:t>
      </w:r>
      <w:r w:rsidR="009029E4" w:rsidRPr="00804365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 xml:space="preserve"> как российского законодательства, так и международных актов. Дается анализ современного уровня материального обеспечения </w:t>
      </w:r>
      <w:r w:rsidR="00804365" w:rsidRPr="00804365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>малообеспеченных</w:t>
      </w:r>
      <w:r w:rsidR="009029E4" w:rsidRPr="00804365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 xml:space="preserve"> граждан, осуществляемый как в денежной, так и в натуральной форме.</w:t>
      </w:r>
    </w:p>
    <w:p w:rsidR="0004593B" w:rsidRPr="001E5F8E" w:rsidRDefault="0004593B" w:rsidP="009F1AE2">
      <w:pPr>
        <w:suppressAutoHyphens/>
        <w:spacing w:after="0" w:line="270" w:lineRule="atLeast"/>
        <w:jc w:val="both"/>
        <w:textAlignment w:val="baseline"/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</w:pPr>
    </w:p>
    <w:p w:rsidR="0004593B" w:rsidRPr="001E5F8E" w:rsidRDefault="0004593B" w:rsidP="009F1AE2">
      <w:pPr>
        <w:suppressAutoHyphens/>
        <w:spacing w:after="0" w:line="270" w:lineRule="atLeast"/>
        <w:jc w:val="both"/>
        <w:textAlignment w:val="baseline"/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</w:pPr>
      <w:r w:rsidRPr="001E5F8E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Ключевые слова: </w:t>
      </w:r>
      <w:r w:rsidR="009029E4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>б</w:t>
      </w:r>
      <w:r w:rsidR="009029E4" w:rsidRPr="009029E4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>едность, социальное обеспечение, прожиточный минимум, социальные стандарты, достойный уровень жизни</w:t>
      </w:r>
    </w:p>
    <w:p w:rsidR="0004593B" w:rsidRPr="0004593B" w:rsidRDefault="0004593B" w:rsidP="009F1AE2">
      <w:pPr>
        <w:jc w:val="both"/>
        <w:rPr>
          <w:rFonts w:ascii="Times New Roman" w:hAnsi="Times New Roman" w:cs="Times New Roman"/>
          <w:sz w:val="24"/>
        </w:rPr>
      </w:pP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 xml:space="preserve">За последние несколько лет численность малообеспеченных граждан в Российской Федерации резко увеличилась. Согласно официальным данным Федеральной службы государственной статистики (Росстат), из десяти россиян два человека относится к категории «малообеспеченных» [11]. Для сравнения можно отметить, что в странах третьего мира (Африка, Индия) этот показатель составляет три человека на десять граждан [4, с. 37]. 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 xml:space="preserve">Причинами такой негативной тенденции стали ухудшение экономической ситуации в стране, обострение внутриполитических отношений (из-за разногласий между ведущими партиями РФ – Единая России, КПРФ, ЛДПР) и международных связей (с США, Турцией, Египтом), снижение торговой активности государства ввиду введения </w:t>
      </w:r>
      <w:proofErr w:type="spellStart"/>
      <w:r w:rsidRPr="00804365">
        <w:rPr>
          <w:rFonts w:ascii="Times New Roman" w:eastAsia="Calibri" w:hAnsi="Times New Roman" w:cs="Times New Roman"/>
          <w:sz w:val="28"/>
          <w:lang w:eastAsia="en-US"/>
        </w:rPr>
        <w:t>санкционных</w:t>
      </w:r>
      <w:proofErr w:type="spellEnd"/>
      <w:r w:rsidRPr="00804365">
        <w:rPr>
          <w:rFonts w:ascii="Times New Roman" w:eastAsia="Calibri" w:hAnsi="Times New Roman" w:cs="Times New Roman"/>
          <w:sz w:val="28"/>
          <w:lang w:eastAsia="en-US"/>
        </w:rPr>
        <w:t xml:space="preserve"> и </w:t>
      </w:r>
      <w:proofErr w:type="spellStart"/>
      <w:r w:rsidRPr="00804365">
        <w:rPr>
          <w:rFonts w:ascii="Times New Roman" w:eastAsia="Calibri" w:hAnsi="Times New Roman" w:cs="Times New Roman"/>
          <w:sz w:val="28"/>
          <w:lang w:eastAsia="en-US"/>
        </w:rPr>
        <w:t>контрсанкционных</w:t>
      </w:r>
      <w:proofErr w:type="spellEnd"/>
      <w:r w:rsidRPr="00804365">
        <w:rPr>
          <w:rFonts w:ascii="Times New Roman" w:eastAsia="Calibri" w:hAnsi="Times New Roman" w:cs="Times New Roman"/>
          <w:sz w:val="28"/>
          <w:lang w:eastAsia="en-US"/>
        </w:rPr>
        <w:t xml:space="preserve"> мер. 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lastRenderedPageBreak/>
        <w:t xml:space="preserve">Негативным образом на экономике России отразилась пандемия-2020. Страна, не ожидавшая масштабного заболевания, оказалась не подготовленной к стагнации большей части промышленных производств, остановке работы организаций и учреждений, предоставляющих услуги населению в различных отраслях народного хозяйства. Национальная валюта, и так находящаяся в состоянии нестабильности, резко покачнулась в отрицательную сторону, что привело к росту уровня инфляции и, как следствие стремительному увеличению цен на продовольственные и непродовольственные товары, повышению тарифов на </w:t>
      </w:r>
      <w:proofErr w:type="spellStart"/>
      <w:r w:rsidRPr="00804365">
        <w:rPr>
          <w:rFonts w:ascii="Times New Roman" w:eastAsia="Calibri" w:hAnsi="Times New Roman" w:cs="Times New Roman"/>
          <w:sz w:val="28"/>
          <w:lang w:eastAsia="en-US"/>
        </w:rPr>
        <w:t>горючесмазочные</w:t>
      </w:r>
      <w:proofErr w:type="spellEnd"/>
      <w:r w:rsidRPr="00804365">
        <w:rPr>
          <w:rFonts w:ascii="Times New Roman" w:eastAsia="Calibri" w:hAnsi="Times New Roman" w:cs="Times New Roman"/>
          <w:sz w:val="28"/>
          <w:lang w:eastAsia="en-US"/>
        </w:rPr>
        <w:t xml:space="preserve"> материалы [6, с. 48]. 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Как результат, многие граждане России оказались в условиях выживания, а необходимость повышения эффективность социальной защиты малообеспеченных граждан во всех регионах государства, входящих в его состав, стала остроактуальной.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Предваряя исследование возможностей повышения эффективности социальной защиты малообеспеченных граждан, необходимо определить, какая категория граждан является в Российской Федерации, согласно действующему законодательству.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Согласно законодательству России, именно Федеральному закону РФ «О государственной социальной помощи» от 17.07.1999 № 178-ФЗ (статья 1), под малоимущими гражданами понимается категория населения, чей месячный доход намного меньше прожиточного минимума (по состоянию на 01.09.2020 – менее 11012 рублей), они получают помощь от государства в виде разнообразных пособий и льгот [2]. К малообеспеченным гражданам относятся малоимущие семьи, одинокие пенсионеры и все те россияне, которые попадают под категорию социально незащищенных слоев населения [2].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 xml:space="preserve">Согласно официальным данным Министерства экономического развития России, за период с 2017 года по 2019 год численность граждан, находящихся за чертой бедности, увеличилось с 15% до 20%, а число малообеспеченных россиян возросло с 23% </w:t>
      </w:r>
      <w:proofErr w:type="gramStart"/>
      <w:r w:rsidRPr="00804365">
        <w:rPr>
          <w:rFonts w:ascii="Times New Roman" w:eastAsia="Calibri" w:hAnsi="Times New Roman" w:cs="Times New Roman"/>
          <w:sz w:val="28"/>
          <w:lang w:eastAsia="en-US"/>
        </w:rPr>
        <w:t>до</w:t>
      </w:r>
      <w:proofErr w:type="gramEnd"/>
      <w:r w:rsidRPr="00804365">
        <w:rPr>
          <w:rFonts w:ascii="Times New Roman" w:eastAsia="Calibri" w:hAnsi="Times New Roman" w:cs="Times New Roman"/>
          <w:sz w:val="28"/>
          <w:lang w:eastAsia="en-US"/>
        </w:rPr>
        <w:t xml:space="preserve"> 28% (рисунок 1) [10].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804365" w:rsidRPr="00804365" w:rsidRDefault="00804365" w:rsidP="0080436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noProof/>
          <w:sz w:val="28"/>
        </w:rPr>
        <w:lastRenderedPageBreak/>
        <w:drawing>
          <wp:inline distT="0" distB="0" distL="0" distR="0" wp14:anchorId="26DCEDE3" wp14:editId="049ED24B">
            <wp:extent cx="6143625" cy="30289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04365" w:rsidRPr="00804365" w:rsidRDefault="00804365" w:rsidP="0080436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Рисунок 1 - Статистика численности граждан, находящихся за чертой бедности и малообеспеченных граждан в России за 2017-2019 годы, % [10]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Из рисунка 1 видно, что за последние три года численность граждан, находящихся за чертой бедности, и малообеспеченных граждан в России составила практически 50% от всего населения государства, что отрицательно характеризует экономическое развитие страны. Наиболее критическая ситуация сложилась в Дальневосточном и Приволжском федеральных округах (рисунок 3) [10].</w:t>
      </w:r>
    </w:p>
    <w:p w:rsidR="00804365" w:rsidRPr="00804365" w:rsidRDefault="00804365" w:rsidP="0080436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noProof/>
          <w:sz w:val="28"/>
        </w:rPr>
        <w:drawing>
          <wp:inline distT="0" distB="0" distL="0" distR="0" wp14:anchorId="78117364" wp14:editId="5084B19F">
            <wp:extent cx="6257925" cy="3200400"/>
            <wp:effectExtent l="0" t="0" r="9525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04365" w:rsidRPr="00804365" w:rsidRDefault="00804365" w:rsidP="0080436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Рисунок 2 - Динамика численности малообеспеченных граждан по российским федеральным округам за период с 2017 года по 2019 год, % [10]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lastRenderedPageBreak/>
        <w:t>Из рисунка 2 видно, что в течение последних трех лет стабильно увеличивалась численность малообеспеченных граждан в Северо-Западном, Приволжском, Уральском, Сибирском, Дальневосточном федеральном округах. Однако прослеживается тенденция к уменьшению числа малообеспеченных граждан в Центральном, Южном, Северо-Кавказском федеральных округах. Такая ситуация во многом связана с особенностями распределения средств федерального бюджета в России (центральные регионы России в стране являются приоритетными и получают дотации в большем размере, чем субъекты, находящиеся в удалении от центра) [10].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При этом обеспечение социальной защиты населения является конституционным правом граждан государства, подтверждающим гражданственность и конституционность [1] существующего политического строя, поэтому для предотвращения усугубления сложившейся ситуации Правительством РФ предпринимаются конкретные меры для поддержания социально незащищенных слоев населения (рисунок 3) [5, с. 71].</w:t>
      </w:r>
    </w:p>
    <w:p w:rsidR="00804365" w:rsidRPr="00804365" w:rsidRDefault="00804365" w:rsidP="0080436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noProof/>
          <w:sz w:val="28"/>
        </w:rPr>
        <w:drawing>
          <wp:inline distT="0" distB="0" distL="0" distR="0" wp14:anchorId="20418465" wp14:editId="0C80C85F">
            <wp:extent cx="5381625" cy="1914525"/>
            <wp:effectExtent l="0" t="57150" r="0" b="104775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804365" w:rsidRPr="00804365" w:rsidRDefault="00804365" w:rsidP="0080436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Рисунок 3 - Система социальной защиты малообеспеченных граждан в Российской Федерации [5, с. 71]</w:t>
      </w:r>
    </w:p>
    <w:p w:rsidR="00804365" w:rsidRPr="00804365" w:rsidRDefault="00804365" w:rsidP="0080436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Как видно из представленного рисунка, система социальной защиты малообеспеченных граждан в Российской Федерации включает четыре основных блока мер, среди которых социальное обеспечение, социальные гарантии, социальное страхование и социальная поддержка. Каждый из блоков социальной защиты требует финансирования со стороны государства, объемы которого за последние три года представлены в таблице (таблица 1).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Таблица 1 - Объемы финансирования социальной защиты малообеспеченных граждан в России за последние три года [8]</w:t>
      </w: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923"/>
        <w:gridCol w:w="992"/>
        <w:gridCol w:w="993"/>
        <w:gridCol w:w="1628"/>
        <w:gridCol w:w="1559"/>
      </w:tblGrid>
      <w:tr w:rsidR="00804365" w:rsidRPr="00804365" w:rsidTr="002946CF">
        <w:tc>
          <w:tcPr>
            <w:tcW w:w="3261" w:type="dxa"/>
            <w:vMerge w:val="restart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Показатель, млрд. руб.</w:t>
            </w:r>
          </w:p>
        </w:tc>
        <w:tc>
          <w:tcPr>
            <w:tcW w:w="2908" w:type="dxa"/>
            <w:gridSpan w:val="3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Года</w:t>
            </w:r>
          </w:p>
        </w:tc>
        <w:tc>
          <w:tcPr>
            <w:tcW w:w="3187" w:type="dxa"/>
            <w:gridSpan w:val="2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 xml:space="preserve">Изменение в процентах (в %) 2019 </w:t>
            </w:r>
            <w:proofErr w:type="gramStart"/>
            <w:r w:rsidRPr="00804365"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  <w:r w:rsidRPr="00804365"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804365" w:rsidRPr="00804365" w:rsidTr="002946CF">
        <w:tc>
          <w:tcPr>
            <w:tcW w:w="3261" w:type="dxa"/>
            <w:vMerge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2017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2017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2018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 xml:space="preserve">Социальное обеспечение 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113,4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115,6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117,8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103,9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101,9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Социальные гарантии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56,7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54,3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48,2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85,0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88,8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 xml:space="preserve">Социальное страхование 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20,3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19,8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17,6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86,7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88,9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Социальная поддержка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95,4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95,6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97,8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102,5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102,3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285,8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285,3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281,4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98,5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98,6</w:t>
            </w:r>
          </w:p>
        </w:tc>
      </w:tr>
    </w:tbl>
    <w:p w:rsid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Из таблицы 1 видно, что за последние три года снизились объемы средств, выделяемых государством на социальные гарантии малообеспеченных граждан, а также социальное страхование, но при этом увеличился объем федеральной помощи, направляемой на социальное обеспечение в целом и социальную поддержку малообеспеченных граждан.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В таблице (таблица 2) рассмотрены статистические показатели распределения федеральной дотационной помощи на обеспечение функционирования механизма социальной защиты по российским федеральным округам за 2017-2019 годы [8].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Таблица 2 - Статистические показатели распределения федеральной дотационной помощи на обеспечение функционирования механизма социальной защиты по российским федеральным округам за последние три года [8]</w:t>
      </w: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923"/>
        <w:gridCol w:w="992"/>
        <w:gridCol w:w="993"/>
        <w:gridCol w:w="1628"/>
        <w:gridCol w:w="1559"/>
      </w:tblGrid>
      <w:tr w:rsidR="00804365" w:rsidRPr="00804365" w:rsidTr="002946CF">
        <w:tc>
          <w:tcPr>
            <w:tcW w:w="3261" w:type="dxa"/>
            <w:vMerge w:val="restart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Показатель, млрд. руб.</w:t>
            </w:r>
          </w:p>
        </w:tc>
        <w:tc>
          <w:tcPr>
            <w:tcW w:w="2908" w:type="dxa"/>
            <w:gridSpan w:val="3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Года</w:t>
            </w:r>
          </w:p>
        </w:tc>
        <w:tc>
          <w:tcPr>
            <w:tcW w:w="3187" w:type="dxa"/>
            <w:gridSpan w:val="2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 xml:space="preserve">Изменение в процентах (в %) 2019 </w:t>
            </w:r>
            <w:proofErr w:type="gramStart"/>
            <w:r w:rsidRPr="00804365"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  <w:r w:rsidRPr="00804365"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804365" w:rsidRPr="00804365" w:rsidTr="002946CF">
        <w:tc>
          <w:tcPr>
            <w:tcW w:w="3261" w:type="dxa"/>
            <w:vMerge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2017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2017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2018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 xml:space="preserve">Центральный 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56,7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58,9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60,1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105,9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102,0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 xml:space="preserve">Северо-Западный 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64,8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58,8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46,0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70,9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78,2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 xml:space="preserve">Южный 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20,8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22,3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24,5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117,8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109,9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 xml:space="preserve">Северо-Кавказский 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25,6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26,7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28,9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112,9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108,2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 xml:space="preserve">Приволжский 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30,1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31,2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32,4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107,6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103,8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Уральский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34,5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35,6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37,8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109,6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106,2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 xml:space="preserve">Сибирский 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29,8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30,1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31,1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104,4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103,3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 xml:space="preserve">Дальневосточный 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23,5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21,7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20,6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87,7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94,9</w:t>
            </w:r>
          </w:p>
        </w:tc>
      </w:tr>
      <w:tr w:rsidR="00804365" w:rsidRPr="00804365" w:rsidTr="002946CF">
        <w:tc>
          <w:tcPr>
            <w:tcW w:w="3261" w:type="dxa"/>
          </w:tcPr>
          <w:p w:rsidR="00804365" w:rsidRPr="00804365" w:rsidRDefault="00804365" w:rsidP="0080436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92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285,8</w:t>
            </w:r>
          </w:p>
        </w:tc>
        <w:tc>
          <w:tcPr>
            <w:tcW w:w="992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285,3</w:t>
            </w:r>
          </w:p>
        </w:tc>
        <w:tc>
          <w:tcPr>
            <w:tcW w:w="993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281,4</w:t>
            </w:r>
          </w:p>
        </w:tc>
        <w:tc>
          <w:tcPr>
            <w:tcW w:w="1628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98,5</w:t>
            </w:r>
          </w:p>
        </w:tc>
        <w:tc>
          <w:tcPr>
            <w:tcW w:w="1559" w:type="dxa"/>
          </w:tcPr>
          <w:p w:rsidR="00804365" w:rsidRPr="00804365" w:rsidRDefault="00804365" w:rsidP="008043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365">
              <w:rPr>
                <w:rFonts w:ascii="Times New Roman" w:hAnsi="Times New Roman" w:cs="Times New Roman"/>
                <w:sz w:val="24"/>
              </w:rPr>
              <w:t>98,6</w:t>
            </w:r>
          </w:p>
        </w:tc>
      </w:tr>
    </w:tbl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lastRenderedPageBreak/>
        <w:t xml:space="preserve">Из таблицы 2 видно, что в течение последних трех лет снизились объемы федеральной поддержки социальной защиты малообеспеченных граждан Северо-Западном и </w:t>
      </w:r>
      <w:proofErr w:type="gramStart"/>
      <w:r w:rsidRPr="00804365">
        <w:rPr>
          <w:rFonts w:ascii="Times New Roman" w:eastAsia="Calibri" w:hAnsi="Times New Roman" w:cs="Times New Roman"/>
          <w:sz w:val="28"/>
          <w:lang w:eastAsia="en-US"/>
        </w:rPr>
        <w:t>Дальневосточном</w:t>
      </w:r>
      <w:proofErr w:type="gramEnd"/>
      <w:r w:rsidRPr="00804365">
        <w:rPr>
          <w:rFonts w:ascii="Times New Roman" w:eastAsia="Calibri" w:hAnsi="Times New Roman" w:cs="Times New Roman"/>
          <w:sz w:val="28"/>
          <w:lang w:eastAsia="en-US"/>
        </w:rPr>
        <w:t xml:space="preserve"> федеральных округах. При этом в Центральном, Северо-Кавказском, Приволжском, Уральском, Сибирском федеральном округах объемы финансирования социальной защиты возросли.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На рисунке (рисунок 4) рассмотрены приоритетные сферы финансирования социальной защиты малообеспеченных граждан [7].</w:t>
      </w:r>
    </w:p>
    <w:p w:rsidR="00804365" w:rsidRPr="00804365" w:rsidRDefault="00804365" w:rsidP="0080436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noProof/>
          <w:sz w:val="28"/>
        </w:rPr>
        <w:drawing>
          <wp:inline distT="0" distB="0" distL="0" distR="0" wp14:anchorId="0789AECA" wp14:editId="480322F2">
            <wp:extent cx="60579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04365" w:rsidRPr="00804365" w:rsidRDefault="00804365" w:rsidP="0080436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Рисунок 4 - Приоритетные сферы финансирования социальной защиты малообеспеченных граждан по федеральным округам России за последние три года, %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Из рисунка 4 видно, что независимо от объемов финансирования, выделяемых федеральным бюджетом на обеспечение функционирования механизма социальной защиты малообеспеченных граждан, приоритетными направлениями распределения сре</w:t>
      </w:r>
      <w:proofErr w:type="gramStart"/>
      <w:r w:rsidRPr="00804365">
        <w:rPr>
          <w:rFonts w:ascii="Times New Roman" w:eastAsia="Calibri" w:hAnsi="Times New Roman" w:cs="Times New Roman"/>
          <w:sz w:val="28"/>
          <w:lang w:eastAsia="en-US"/>
        </w:rPr>
        <w:t>дств ст</w:t>
      </w:r>
      <w:proofErr w:type="gramEnd"/>
      <w:r w:rsidRPr="00804365">
        <w:rPr>
          <w:rFonts w:ascii="Times New Roman" w:eastAsia="Calibri" w:hAnsi="Times New Roman" w:cs="Times New Roman"/>
          <w:sz w:val="28"/>
          <w:lang w:eastAsia="en-US"/>
        </w:rPr>
        <w:t>али следующие национальные проекты «Здравоохранение», «Демография», «Доступная среда» и «Институты третьего возраста (для граждан пожилого возраста)». Однако в течение 2017-2019 годов в отношении институтов третьего возраста прослеживалось снижение распределений объемов денежных сре</w:t>
      </w:r>
      <w:proofErr w:type="gramStart"/>
      <w:r w:rsidRPr="00804365">
        <w:rPr>
          <w:rFonts w:ascii="Times New Roman" w:eastAsia="Calibri" w:hAnsi="Times New Roman" w:cs="Times New Roman"/>
          <w:sz w:val="28"/>
          <w:lang w:eastAsia="en-US"/>
        </w:rPr>
        <w:t>дств в ср</w:t>
      </w:r>
      <w:proofErr w:type="gramEnd"/>
      <w:r w:rsidRPr="00804365">
        <w:rPr>
          <w:rFonts w:ascii="Times New Roman" w:eastAsia="Calibri" w:hAnsi="Times New Roman" w:cs="Times New Roman"/>
          <w:sz w:val="28"/>
          <w:lang w:eastAsia="en-US"/>
        </w:rPr>
        <w:t>авнении с другими приоритетными направлениями национальных политики в сфере социальной защиты малообеспеченных граждан [7].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lastRenderedPageBreak/>
        <w:t>Так как программы «Здравоохранение», «Демография», «Доступная среда» и «Институты третьего возраста (для граждан пожилого возраста)» являются приоритетными в системе социальной защиты малообеспеченных граждан, необходимо конкретизировать, какие направления социальной помощи они включают [7].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«Здравоохранение»: создание условий для увеличения продолжительности жизни малообеспеченных граждан к 2024 году до 78 лет (обеспечение льготными медикаментами категорий граждан, в них нуждающихся, предоставление медицинской помощи на льготных условиях, предоставление санаторного лечения и другое);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«Демография»: повышение естественного прироста населения за счет обеспечения благоприятных условий жизни для малообеспеченной категории граждан (программы льготного жилья, льготные условия для оплаты коммунальных услуг и услуг ЖКХ и тому подобное);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«Доступная среда»: создание и поддержание условий полноценной жизни для инвалидов, детей-инвалидов, граждан с ограниченными возможностями здоровья (пандусы, комфортная городская среда, подъезды для колясочников, льготные медикаменты и другое – все те направления, которые попадают под программу «Территория заботы»);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 xml:space="preserve">«Институты третьего возраста (для граждан пожилого возраста)»: создание возможностей для трудоустройства одиноких пенсионеров в возрастной категории старше 65 лет для мужчин и 60 лет – для женщин (например, программы «С компьютером </w:t>
      </w:r>
      <w:proofErr w:type="gramStart"/>
      <w:r w:rsidRPr="00804365">
        <w:rPr>
          <w:rFonts w:ascii="Times New Roman" w:eastAsia="Calibri" w:hAnsi="Times New Roman" w:cs="Times New Roman"/>
          <w:sz w:val="28"/>
          <w:lang w:eastAsia="en-US"/>
        </w:rPr>
        <w:t>на</w:t>
      </w:r>
      <w:proofErr w:type="gramEnd"/>
      <w:r w:rsidRPr="00804365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proofErr w:type="gramStart"/>
      <w:r w:rsidRPr="00804365">
        <w:rPr>
          <w:rFonts w:ascii="Times New Roman" w:eastAsia="Calibri" w:hAnsi="Times New Roman" w:cs="Times New Roman"/>
          <w:sz w:val="28"/>
          <w:lang w:eastAsia="en-US"/>
        </w:rPr>
        <w:t>ты</w:t>
      </w:r>
      <w:proofErr w:type="gramEnd"/>
      <w:r w:rsidRPr="00804365">
        <w:rPr>
          <w:rFonts w:ascii="Times New Roman" w:eastAsia="Calibri" w:hAnsi="Times New Roman" w:cs="Times New Roman"/>
          <w:sz w:val="28"/>
          <w:lang w:eastAsia="en-US"/>
        </w:rPr>
        <w:t>», «Я и компьютер»).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В перспективах регионального развития государства в области социальной защиты малообеспеченных граждан до 2024 года реализация таких программ, как дому, такие, как «Социальный туризм», «Коллаж, как разновидность арт-технологии», «Школа безопасности», «</w:t>
      </w:r>
      <w:proofErr w:type="spellStart"/>
      <w:r w:rsidRPr="00804365">
        <w:rPr>
          <w:rFonts w:ascii="Times New Roman" w:eastAsia="Calibri" w:hAnsi="Times New Roman" w:cs="Times New Roman"/>
          <w:sz w:val="28"/>
          <w:lang w:eastAsia="en-US"/>
        </w:rPr>
        <w:t>Гарденотерапия</w:t>
      </w:r>
      <w:proofErr w:type="spellEnd"/>
      <w:r w:rsidRPr="00804365">
        <w:rPr>
          <w:rFonts w:ascii="Times New Roman" w:eastAsia="Calibri" w:hAnsi="Times New Roman" w:cs="Times New Roman"/>
          <w:sz w:val="28"/>
          <w:lang w:eastAsia="en-US"/>
        </w:rPr>
        <w:t>», «</w:t>
      </w:r>
      <w:proofErr w:type="spellStart"/>
      <w:r w:rsidRPr="00804365">
        <w:rPr>
          <w:rFonts w:ascii="Times New Roman" w:eastAsia="Calibri" w:hAnsi="Times New Roman" w:cs="Times New Roman"/>
          <w:sz w:val="28"/>
          <w:lang w:eastAsia="en-US"/>
        </w:rPr>
        <w:t>Анималотерапия</w:t>
      </w:r>
      <w:proofErr w:type="spellEnd"/>
      <w:r w:rsidRPr="00804365">
        <w:rPr>
          <w:rFonts w:ascii="Times New Roman" w:eastAsia="Calibri" w:hAnsi="Times New Roman" w:cs="Times New Roman"/>
          <w:sz w:val="28"/>
          <w:lang w:eastAsia="en-US"/>
        </w:rPr>
        <w:t>», «</w:t>
      </w:r>
      <w:proofErr w:type="spellStart"/>
      <w:r w:rsidRPr="00804365">
        <w:rPr>
          <w:rFonts w:ascii="Times New Roman" w:eastAsia="Calibri" w:hAnsi="Times New Roman" w:cs="Times New Roman"/>
          <w:sz w:val="28"/>
          <w:lang w:eastAsia="en-US"/>
        </w:rPr>
        <w:t>Изотерапия</w:t>
      </w:r>
      <w:proofErr w:type="spellEnd"/>
      <w:r w:rsidRPr="00804365">
        <w:rPr>
          <w:rFonts w:ascii="Times New Roman" w:eastAsia="Calibri" w:hAnsi="Times New Roman" w:cs="Times New Roman"/>
          <w:sz w:val="28"/>
          <w:lang w:eastAsia="en-US"/>
        </w:rPr>
        <w:t>», «Пальчиковая гимнастика», «Музыкотерапия» [7].</w:t>
      </w:r>
    </w:p>
    <w:p w:rsidR="00074C6E" w:rsidRDefault="00074C6E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lastRenderedPageBreak/>
        <w:t xml:space="preserve">Другим важнейшим направлением развития социальной защиты малообеспеченных граждан в федеральных округах Российской Федерации является комплексная помощь детям-инвалидам и детям с ограниченными возможностями здоровья в целях профилактики </w:t>
      </w:r>
      <w:proofErr w:type="spellStart"/>
      <w:r w:rsidRPr="00804365">
        <w:rPr>
          <w:rFonts w:ascii="Times New Roman" w:eastAsia="Calibri" w:hAnsi="Times New Roman" w:cs="Times New Roman"/>
          <w:sz w:val="28"/>
          <w:lang w:eastAsia="en-US"/>
        </w:rPr>
        <w:t>инвалидизации</w:t>
      </w:r>
      <w:proofErr w:type="spellEnd"/>
      <w:r w:rsidRPr="00804365">
        <w:rPr>
          <w:rFonts w:ascii="Times New Roman" w:eastAsia="Calibri" w:hAnsi="Times New Roman" w:cs="Times New Roman"/>
          <w:sz w:val="28"/>
          <w:lang w:eastAsia="en-US"/>
        </w:rPr>
        <w:t xml:space="preserve"> и наиболее ранней социализации особенных детей [7].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На основании вышесказанного можно сказать, что региональный опыт управления социальной защитой в Российской Федерации на уровне субъектов государства отличается неравномерностью. Данная ситуация связана с некоторыми особенностями социальной политики государства, заключающейся в следующем [7, с. 61]:</w:t>
      </w:r>
    </w:p>
    <w:p w:rsidR="00804365" w:rsidRPr="00804365" w:rsidRDefault="00804365" w:rsidP="00804365">
      <w:pPr>
        <w:numPr>
          <w:ilvl w:val="0"/>
          <w:numId w:val="24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неравномерность распределения средств федерального бюджета на обеспечение функционирования механизма социальной защиты малообеспеченных граждан;</w:t>
      </w:r>
    </w:p>
    <w:p w:rsidR="00804365" w:rsidRPr="00804365" w:rsidRDefault="00804365" w:rsidP="00804365">
      <w:pPr>
        <w:numPr>
          <w:ilvl w:val="0"/>
          <w:numId w:val="24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приоритетность развития определенных направлений социальной защиты малообеспеченных граждан;</w:t>
      </w:r>
    </w:p>
    <w:p w:rsidR="00804365" w:rsidRPr="00804365" w:rsidRDefault="00804365" w:rsidP="00804365">
      <w:pPr>
        <w:numPr>
          <w:ilvl w:val="0"/>
          <w:numId w:val="24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неразвитость системы социального страхования малообеспеченных граждан.</w:t>
      </w:r>
    </w:p>
    <w:p w:rsidR="00804365" w:rsidRPr="00804365" w:rsidRDefault="00804365" w:rsidP="008043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804365">
        <w:rPr>
          <w:rFonts w:ascii="Times New Roman" w:eastAsia="Calibri" w:hAnsi="Times New Roman" w:cs="Times New Roman"/>
          <w:sz w:val="28"/>
          <w:lang w:eastAsia="en-US"/>
        </w:rPr>
        <w:t>Следовательно, для того, чтобы уравнять субъекты Российской Федерации в реализации политики социальной защиты малообеспеченных граждан, необходимо повышение действенности и участия Правительства РФ в ее осуществлении, в том числе, выражающегося в усилении действий надзорных органов власти, модернизации механизмов распределения средств федерального бюджета.</w:t>
      </w:r>
    </w:p>
    <w:p w:rsidR="00783182" w:rsidRDefault="00783182" w:rsidP="00454F91">
      <w:pPr>
        <w:pStyle w:val="a4"/>
        <w:spacing w:line="30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47B" w:rsidRDefault="0045647B" w:rsidP="00454F91">
      <w:pPr>
        <w:pStyle w:val="a4"/>
        <w:spacing w:line="30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47B" w:rsidRDefault="0045647B" w:rsidP="00454F91">
      <w:pPr>
        <w:pStyle w:val="a4"/>
        <w:spacing w:line="30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47B" w:rsidRDefault="0045647B" w:rsidP="00454F91">
      <w:pPr>
        <w:pStyle w:val="a4"/>
        <w:spacing w:line="30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47B" w:rsidRDefault="0045647B" w:rsidP="00454F91">
      <w:pPr>
        <w:pStyle w:val="a4"/>
        <w:spacing w:line="30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47B" w:rsidRDefault="0045647B" w:rsidP="00454F91">
      <w:pPr>
        <w:pStyle w:val="a4"/>
        <w:spacing w:line="30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47B" w:rsidRDefault="0045647B" w:rsidP="00454F91">
      <w:pPr>
        <w:pStyle w:val="a4"/>
        <w:spacing w:line="30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47B" w:rsidRDefault="0045647B" w:rsidP="00454F91">
      <w:pPr>
        <w:pStyle w:val="a4"/>
        <w:spacing w:line="30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74C6E" w:rsidRPr="00454F91" w:rsidRDefault="00074C6E" w:rsidP="00454F91">
      <w:pPr>
        <w:pStyle w:val="a4"/>
        <w:spacing w:line="30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83182" w:rsidRDefault="00783182" w:rsidP="00DD0291">
      <w:pPr>
        <w:pStyle w:val="a4"/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09BA" w:rsidRPr="001C6B2F" w:rsidRDefault="001C6B2F" w:rsidP="001C6B2F">
      <w:pPr>
        <w:pStyle w:val="a4"/>
        <w:tabs>
          <w:tab w:val="left" w:pos="2670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B2F"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</w:p>
    <w:p w:rsidR="001C6B2F" w:rsidRPr="001C6B2F" w:rsidRDefault="001C6B2F" w:rsidP="001C6B2F">
      <w:pPr>
        <w:pStyle w:val="a4"/>
        <w:tabs>
          <w:tab w:val="left" w:pos="267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74C6E" w:rsidRPr="00074C6E" w:rsidRDefault="00074C6E" w:rsidP="00074C6E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Конституция РФ от 12.12.1993 // Российская газета. 1993. (ред. от 20.07.2020).</w:t>
      </w:r>
    </w:p>
    <w:p w:rsidR="00074C6E" w:rsidRPr="00074C6E" w:rsidRDefault="00074C6E" w:rsidP="00074C6E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РФ «О государственной социальной помощи» от 17.07.1999 № 178-ФЗ // Российская газета. 1999. (ред. от 24.04.2020).</w:t>
      </w:r>
    </w:p>
    <w:p w:rsidR="00074C6E" w:rsidRPr="00074C6E" w:rsidRDefault="00074C6E" w:rsidP="00074C6E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Малофеев</w:t>
      </w:r>
      <w:proofErr w:type="spellEnd"/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И.В. </w:t>
      </w:r>
      <w:proofErr w:type="gramStart"/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Социальная</w:t>
      </w:r>
      <w:proofErr w:type="gramEnd"/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инноватика</w:t>
      </w:r>
      <w:proofErr w:type="spellEnd"/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перспективы модернизации социального обслуживания населения. Монография. – М.: ИПК ДСЗН, 2019. – 54 с.</w:t>
      </w:r>
    </w:p>
    <w:p w:rsidR="00074C6E" w:rsidRPr="00074C6E" w:rsidRDefault="00074C6E" w:rsidP="00074C6E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Платонова Н.М., Платонов М.Ю., Инновации в социальной работе: учебное пособие. – М.: Академия, 2019. – 234 с.</w:t>
      </w:r>
    </w:p>
    <w:p w:rsidR="00074C6E" w:rsidRPr="00074C6E" w:rsidRDefault="00074C6E" w:rsidP="00074C6E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Сигида</w:t>
      </w:r>
      <w:proofErr w:type="spellEnd"/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Е.А., Лукьянова И.Е., Теория и методология практики </w:t>
      </w:r>
      <w:proofErr w:type="gramStart"/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медико-социальной</w:t>
      </w:r>
      <w:proofErr w:type="gramEnd"/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работы. Монография. – М.: Инфра-М, 2020. – 134 с. </w:t>
      </w:r>
    </w:p>
    <w:p w:rsidR="00074C6E" w:rsidRPr="00074C6E" w:rsidRDefault="00074C6E" w:rsidP="00074C6E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Скворцова И.П. Социальная политика региона: теория и практика. Учебное пособие. – М.: </w:t>
      </w:r>
      <w:proofErr w:type="spellStart"/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, 2019. – 155 с.</w:t>
      </w:r>
    </w:p>
    <w:p w:rsidR="00074C6E" w:rsidRPr="00074C6E" w:rsidRDefault="00074C6E" w:rsidP="00074C6E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Государственная программа Российской Федерации «Социальная поддержка граждан» // Департамент демографической политики и социальной защиты населения Министерства труда и социальной защиты Российской Федерации (Минтруда России). [Электронный ресурс]. Режим доступа: https://mintrud.gov.ru/ministry (дата обращения 28.09.2020).</w:t>
      </w:r>
    </w:p>
    <w:p w:rsidR="00074C6E" w:rsidRPr="00074C6E" w:rsidRDefault="00074C6E" w:rsidP="00074C6E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Объем финансирования системы социальной защиты в России // Правительство РФ. [Электронный ресурс]. Режим доступа: http://government.ru/ (дата обращения 27.09.2020).</w:t>
      </w:r>
    </w:p>
    <w:p w:rsidR="00074C6E" w:rsidRPr="00074C6E" w:rsidRDefault="00074C6E" w:rsidP="00074C6E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Правовое регулирование социальной защиты малообеспеченных граждан // Консультант Плюс. [Электронный ресурс]. Режим доступа: http://www.consultant.ru/ (дата обращения 28.09.2020).</w:t>
      </w:r>
    </w:p>
    <w:p w:rsidR="00074C6E" w:rsidRPr="00074C6E" w:rsidRDefault="00074C6E" w:rsidP="00074C6E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Статистика уровня жизни в России // Министерство экономического развития России. [Электронный ресурс]. Режим доступа: https://www.economy.gov.ru/ (дата обращения 28.09.2020).</w:t>
      </w:r>
    </w:p>
    <w:p w:rsidR="00074C6E" w:rsidRPr="00074C6E" w:rsidRDefault="00074C6E" w:rsidP="00074C6E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6E">
        <w:rPr>
          <w:rFonts w:ascii="Times New Roman" w:eastAsia="Calibri" w:hAnsi="Times New Roman" w:cs="Times New Roman"/>
          <w:sz w:val="24"/>
          <w:szCs w:val="24"/>
          <w:lang w:eastAsia="en-US"/>
        </w:rPr>
        <w:t>Численность малообеспеченных граждан в Российской Федерации // Федеральная служба государственной статистики России. [Электронный ресурс]. Режим доступа: https://rosstat.gov.ru/ (дата обращения 29.09.2020).</w:t>
      </w:r>
    </w:p>
    <w:p w:rsidR="000869E0" w:rsidRPr="000C51BF" w:rsidRDefault="000869E0" w:rsidP="00074C6E">
      <w:pPr>
        <w:pStyle w:val="Textbody"/>
        <w:shd w:val="clear" w:color="auto" w:fill="FFFFFF"/>
        <w:suppressAutoHyphens w:val="0"/>
        <w:spacing w:after="0"/>
        <w:ind w:firstLine="709"/>
        <w:jc w:val="both"/>
        <w:rPr>
          <w:rFonts w:ascii="Times New Roman" w:hAnsi="Times New Roman" w:cs="Times New Roman"/>
        </w:rPr>
      </w:pPr>
    </w:p>
    <w:sectPr w:rsidR="000869E0" w:rsidRPr="000C51BF" w:rsidSect="00804365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5C8" w:rsidRDefault="00B975C8" w:rsidP="0049696C">
      <w:pPr>
        <w:spacing w:after="0" w:line="240" w:lineRule="auto"/>
      </w:pPr>
      <w:r>
        <w:separator/>
      </w:r>
    </w:p>
  </w:endnote>
  <w:endnote w:type="continuationSeparator" w:id="0">
    <w:p w:rsidR="00B975C8" w:rsidRDefault="00B975C8" w:rsidP="00496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5C8" w:rsidRDefault="00B975C8" w:rsidP="0049696C">
      <w:pPr>
        <w:spacing w:after="0" w:line="240" w:lineRule="auto"/>
      </w:pPr>
      <w:r>
        <w:separator/>
      </w:r>
    </w:p>
  </w:footnote>
  <w:footnote w:type="continuationSeparator" w:id="0">
    <w:p w:rsidR="00B975C8" w:rsidRDefault="00B975C8" w:rsidP="00496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2690"/>
    <w:multiLevelType w:val="hybridMultilevel"/>
    <w:tmpl w:val="574219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B859F8"/>
    <w:multiLevelType w:val="multilevel"/>
    <w:tmpl w:val="AD901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5813C5D"/>
    <w:multiLevelType w:val="hybridMultilevel"/>
    <w:tmpl w:val="1728D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C48A3"/>
    <w:multiLevelType w:val="multilevel"/>
    <w:tmpl w:val="B20AC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330A54"/>
    <w:multiLevelType w:val="multilevel"/>
    <w:tmpl w:val="C0C0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D5514B"/>
    <w:multiLevelType w:val="multilevel"/>
    <w:tmpl w:val="E718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72D3399"/>
    <w:multiLevelType w:val="multilevel"/>
    <w:tmpl w:val="4C36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80636FA"/>
    <w:multiLevelType w:val="multilevel"/>
    <w:tmpl w:val="A4840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9684119"/>
    <w:multiLevelType w:val="multilevel"/>
    <w:tmpl w:val="3E92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A2E582A"/>
    <w:multiLevelType w:val="multilevel"/>
    <w:tmpl w:val="165E6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BDC4B2E"/>
    <w:multiLevelType w:val="multilevel"/>
    <w:tmpl w:val="F36C3B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2B2469"/>
    <w:multiLevelType w:val="multilevel"/>
    <w:tmpl w:val="1254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A6F65D3"/>
    <w:multiLevelType w:val="multilevel"/>
    <w:tmpl w:val="3B8CC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DBD353F"/>
    <w:multiLevelType w:val="multilevel"/>
    <w:tmpl w:val="F09C3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FFA0DC6"/>
    <w:multiLevelType w:val="multilevel"/>
    <w:tmpl w:val="28EE8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525E4C"/>
    <w:multiLevelType w:val="multilevel"/>
    <w:tmpl w:val="BE844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91E3D22"/>
    <w:multiLevelType w:val="multilevel"/>
    <w:tmpl w:val="FA122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F745413"/>
    <w:multiLevelType w:val="hybridMultilevel"/>
    <w:tmpl w:val="3B1611FA"/>
    <w:lvl w:ilvl="0" w:tplc="D44ACC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2345C42"/>
    <w:multiLevelType w:val="multilevel"/>
    <w:tmpl w:val="1BA4A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CC7D62"/>
    <w:multiLevelType w:val="multilevel"/>
    <w:tmpl w:val="E84C5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07379C6"/>
    <w:multiLevelType w:val="multilevel"/>
    <w:tmpl w:val="E916971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669953DE"/>
    <w:multiLevelType w:val="multilevel"/>
    <w:tmpl w:val="3FCC0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7D0A63"/>
    <w:multiLevelType w:val="multilevel"/>
    <w:tmpl w:val="53E8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2BD0BA2"/>
    <w:multiLevelType w:val="multilevel"/>
    <w:tmpl w:val="F9E80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8D84A17"/>
    <w:multiLevelType w:val="multilevel"/>
    <w:tmpl w:val="3222A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21"/>
  </w:num>
  <w:num w:numId="4">
    <w:abstractNumId w:val="14"/>
  </w:num>
  <w:num w:numId="5">
    <w:abstractNumId w:val="20"/>
  </w:num>
  <w:num w:numId="6">
    <w:abstractNumId w:val="4"/>
  </w:num>
  <w:num w:numId="7">
    <w:abstractNumId w:val="24"/>
  </w:num>
  <w:num w:numId="8">
    <w:abstractNumId w:val="18"/>
  </w:num>
  <w:num w:numId="9">
    <w:abstractNumId w:val="11"/>
  </w:num>
  <w:num w:numId="10">
    <w:abstractNumId w:val="19"/>
  </w:num>
  <w:num w:numId="11">
    <w:abstractNumId w:val="16"/>
  </w:num>
  <w:num w:numId="12">
    <w:abstractNumId w:val="7"/>
  </w:num>
  <w:num w:numId="13">
    <w:abstractNumId w:val="10"/>
  </w:num>
  <w:num w:numId="14">
    <w:abstractNumId w:val="5"/>
  </w:num>
  <w:num w:numId="15">
    <w:abstractNumId w:val="9"/>
  </w:num>
  <w:num w:numId="16">
    <w:abstractNumId w:val="6"/>
  </w:num>
  <w:num w:numId="17">
    <w:abstractNumId w:val="13"/>
  </w:num>
  <w:num w:numId="18">
    <w:abstractNumId w:val="8"/>
  </w:num>
  <w:num w:numId="19">
    <w:abstractNumId w:val="12"/>
  </w:num>
  <w:num w:numId="20">
    <w:abstractNumId w:val="15"/>
  </w:num>
  <w:num w:numId="21">
    <w:abstractNumId w:val="23"/>
  </w:num>
  <w:num w:numId="22">
    <w:abstractNumId w:val="22"/>
  </w:num>
  <w:num w:numId="23">
    <w:abstractNumId w:val="1"/>
  </w:num>
  <w:num w:numId="24">
    <w:abstractNumId w:val="17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71"/>
    <w:rsid w:val="000017E3"/>
    <w:rsid w:val="00001859"/>
    <w:rsid w:val="00014491"/>
    <w:rsid w:val="00020300"/>
    <w:rsid w:val="00024727"/>
    <w:rsid w:val="000403D2"/>
    <w:rsid w:val="0004182F"/>
    <w:rsid w:val="00041A49"/>
    <w:rsid w:val="0004593B"/>
    <w:rsid w:val="00054AA5"/>
    <w:rsid w:val="00057BF8"/>
    <w:rsid w:val="00057F7F"/>
    <w:rsid w:val="00060786"/>
    <w:rsid w:val="000667E6"/>
    <w:rsid w:val="00070520"/>
    <w:rsid w:val="00073997"/>
    <w:rsid w:val="00074C6E"/>
    <w:rsid w:val="00075EC6"/>
    <w:rsid w:val="000844C2"/>
    <w:rsid w:val="000864E8"/>
    <w:rsid w:val="000869E0"/>
    <w:rsid w:val="0008761F"/>
    <w:rsid w:val="00087FAA"/>
    <w:rsid w:val="0009482A"/>
    <w:rsid w:val="000A0BFF"/>
    <w:rsid w:val="000A2DC7"/>
    <w:rsid w:val="000A454F"/>
    <w:rsid w:val="000B7D88"/>
    <w:rsid w:val="000C51BF"/>
    <w:rsid w:val="000C5B5C"/>
    <w:rsid w:val="000D7C2F"/>
    <w:rsid w:val="000E6748"/>
    <w:rsid w:val="000F1DEA"/>
    <w:rsid w:val="000F2F57"/>
    <w:rsid w:val="000F4368"/>
    <w:rsid w:val="0010080F"/>
    <w:rsid w:val="0011001D"/>
    <w:rsid w:val="00110ABB"/>
    <w:rsid w:val="00123C5D"/>
    <w:rsid w:val="00124319"/>
    <w:rsid w:val="001260D0"/>
    <w:rsid w:val="00131F74"/>
    <w:rsid w:val="001326B5"/>
    <w:rsid w:val="0013635E"/>
    <w:rsid w:val="001407C5"/>
    <w:rsid w:val="00145B65"/>
    <w:rsid w:val="0014745A"/>
    <w:rsid w:val="001479B8"/>
    <w:rsid w:val="001521D2"/>
    <w:rsid w:val="00155233"/>
    <w:rsid w:val="00155B83"/>
    <w:rsid w:val="00161980"/>
    <w:rsid w:val="00161B3B"/>
    <w:rsid w:val="00162F74"/>
    <w:rsid w:val="001700C4"/>
    <w:rsid w:val="00174907"/>
    <w:rsid w:val="00177D46"/>
    <w:rsid w:val="001800D8"/>
    <w:rsid w:val="0018251D"/>
    <w:rsid w:val="00182B66"/>
    <w:rsid w:val="00183561"/>
    <w:rsid w:val="001910BE"/>
    <w:rsid w:val="001A2A87"/>
    <w:rsid w:val="001B2DB9"/>
    <w:rsid w:val="001B6F8F"/>
    <w:rsid w:val="001C1585"/>
    <w:rsid w:val="001C2983"/>
    <w:rsid w:val="001C409B"/>
    <w:rsid w:val="001C4A93"/>
    <w:rsid w:val="001C5A7E"/>
    <w:rsid w:val="001C6B2F"/>
    <w:rsid w:val="001D13E4"/>
    <w:rsid w:val="001D4CD6"/>
    <w:rsid w:val="001E3585"/>
    <w:rsid w:val="001E522A"/>
    <w:rsid w:val="001E5F8E"/>
    <w:rsid w:val="001F19A7"/>
    <w:rsid w:val="001F1D4B"/>
    <w:rsid w:val="001F2AA2"/>
    <w:rsid w:val="00202B96"/>
    <w:rsid w:val="00206C58"/>
    <w:rsid w:val="00224140"/>
    <w:rsid w:val="00224BB6"/>
    <w:rsid w:val="00227EE1"/>
    <w:rsid w:val="00227F37"/>
    <w:rsid w:val="002304C7"/>
    <w:rsid w:val="00234D4A"/>
    <w:rsid w:val="002403C0"/>
    <w:rsid w:val="00256BCA"/>
    <w:rsid w:val="002609D9"/>
    <w:rsid w:val="002677C8"/>
    <w:rsid w:val="00270B77"/>
    <w:rsid w:val="00280ADC"/>
    <w:rsid w:val="00283AE1"/>
    <w:rsid w:val="00286F75"/>
    <w:rsid w:val="00287F60"/>
    <w:rsid w:val="00290687"/>
    <w:rsid w:val="0029276D"/>
    <w:rsid w:val="00297013"/>
    <w:rsid w:val="002B1638"/>
    <w:rsid w:val="002B22AF"/>
    <w:rsid w:val="002B382E"/>
    <w:rsid w:val="002B437C"/>
    <w:rsid w:val="002C54F1"/>
    <w:rsid w:val="002C7DC4"/>
    <w:rsid w:val="002D3938"/>
    <w:rsid w:val="002D6E48"/>
    <w:rsid w:val="002E07B8"/>
    <w:rsid w:val="002E399A"/>
    <w:rsid w:val="002E79A1"/>
    <w:rsid w:val="002F791E"/>
    <w:rsid w:val="002F796B"/>
    <w:rsid w:val="003027A8"/>
    <w:rsid w:val="00307BE9"/>
    <w:rsid w:val="0031090D"/>
    <w:rsid w:val="00311B53"/>
    <w:rsid w:val="00317666"/>
    <w:rsid w:val="003177E5"/>
    <w:rsid w:val="00321D18"/>
    <w:rsid w:val="00331AE8"/>
    <w:rsid w:val="003404E5"/>
    <w:rsid w:val="00343D1C"/>
    <w:rsid w:val="00347DB7"/>
    <w:rsid w:val="00350C73"/>
    <w:rsid w:val="0035321A"/>
    <w:rsid w:val="003575BB"/>
    <w:rsid w:val="003602E6"/>
    <w:rsid w:val="00363AB0"/>
    <w:rsid w:val="003758F5"/>
    <w:rsid w:val="00380149"/>
    <w:rsid w:val="00393097"/>
    <w:rsid w:val="00397089"/>
    <w:rsid w:val="003A33D0"/>
    <w:rsid w:val="003A4AAB"/>
    <w:rsid w:val="003B1C38"/>
    <w:rsid w:val="003B4CAA"/>
    <w:rsid w:val="003C0379"/>
    <w:rsid w:val="003D1AB3"/>
    <w:rsid w:val="003D5DFB"/>
    <w:rsid w:val="003D60A1"/>
    <w:rsid w:val="003D6FCF"/>
    <w:rsid w:val="003D7F7A"/>
    <w:rsid w:val="003E2266"/>
    <w:rsid w:val="003F0368"/>
    <w:rsid w:val="003F2BB5"/>
    <w:rsid w:val="00400217"/>
    <w:rsid w:val="00400995"/>
    <w:rsid w:val="00425505"/>
    <w:rsid w:val="00430695"/>
    <w:rsid w:val="00443289"/>
    <w:rsid w:val="0044518F"/>
    <w:rsid w:val="0045201E"/>
    <w:rsid w:val="00454F91"/>
    <w:rsid w:val="0045647B"/>
    <w:rsid w:val="00456728"/>
    <w:rsid w:val="00463C23"/>
    <w:rsid w:val="00464E9F"/>
    <w:rsid w:val="00487C33"/>
    <w:rsid w:val="00495747"/>
    <w:rsid w:val="004965F7"/>
    <w:rsid w:val="0049696C"/>
    <w:rsid w:val="004A3E72"/>
    <w:rsid w:val="004A63C3"/>
    <w:rsid w:val="004A75B2"/>
    <w:rsid w:val="004C215B"/>
    <w:rsid w:val="004C540B"/>
    <w:rsid w:val="004D2634"/>
    <w:rsid w:val="004D35E2"/>
    <w:rsid w:val="004D3D74"/>
    <w:rsid w:val="004D6B8D"/>
    <w:rsid w:val="004E2CD8"/>
    <w:rsid w:val="004E5AD0"/>
    <w:rsid w:val="004E5CCB"/>
    <w:rsid w:val="004E77D6"/>
    <w:rsid w:val="004F48A8"/>
    <w:rsid w:val="00503D97"/>
    <w:rsid w:val="00504120"/>
    <w:rsid w:val="005118AC"/>
    <w:rsid w:val="005174A7"/>
    <w:rsid w:val="0052665C"/>
    <w:rsid w:val="0052715D"/>
    <w:rsid w:val="005403B9"/>
    <w:rsid w:val="00544C97"/>
    <w:rsid w:val="00552FFE"/>
    <w:rsid w:val="005540DF"/>
    <w:rsid w:val="00556670"/>
    <w:rsid w:val="00565031"/>
    <w:rsid w:val="00567204"/>
    <w:rsid w:val="005726E8"/>
    <w:rsid w:val="00573342"/>
    <w:rsid w:val="0058454C"/>
    <w:rsid w:val="00587E85"/>
    <w:rsid w:val="005C1C7C"/>
    <w:rsid w:val="005C577D"/>
    <w:rsid w:val="005D15DC"/>
    <w:rsid w:val="005D2452"/>
    <w:rsid w:val="005D3FAA"/>
    <w:rsid w:val="005D6A47"/>
    <w:rsid w:val="005D712A"/>
    <w:rsid w:val="005E3733"/>
    <w:rsid w:val="005E5410"/>
    <w:rsid w:val="005F2369"/>
    <w:rsid w:val="00601072"/>
    <w:rsid w:val="006036C5"/>
    <w:rsid w:val="00620BD6"/>
    <w:rsid w:val="00624971"/>
    <w:rsid w:val="00626616"/>
    <w:rsid w:val="00627B78"/>
    <w:rsid w:val="0063032B"/>
    <w:rsid w:val="00632AC6"/>
    <w:rsid w:val="006363AB"/>
    <w:rsid w:val="0064004C"/>
    <w:rsid w:val="00643BFE"/>
    <w:rsid w:val="006459E0"/>
    <w:rsid w:val="0065126E"/>
    <w:rsid w:val="00660E13"/>
    <w:rsid w:val="006631EF"/>
    <w:rsid w:val="00671594"/>
    <w:rsid w:val="00672CB1"/>
    <w:rsid w:val="00675040"/>
    <w:rsid w:val="006869A3"/>
    <w:rsid w:val="00690908"/>
    <w:rsid w:val="006927FA"/>
    <w:rsid w:val="0069479A"/>
    <w:rsid w:val="00694A2E"/>
    <w:rsid w:val="006970FB"/>
    <w:rsid w:val="006A187C"/>
    <w:rsid w:val="006A2393"/>
    <w:rsid w:val="006A66F1"/>
    <w:rsid w:val="006A7D72"/>
    <w:rsid w:val="006C1BBB"/>
    <w:rsid w:val="006C48B4"/>
    <w:rsid w:val="006C5B4C"/>
    <w:rsid w:val="006C6B8A"/>
    <w:rsid w:val="006D7246"/>
    <w:rsid w:val="006E352C"/>
    <w:rsid w:val="006E4A2E"/>
    <w:rsid w:val="006E4AD1"/>
    <w:rsid w:val="006E59D1"/>
    <w:rsid w:val="006E7AE6"/>
    <w:rsid w:val="006F2AC0"/>
    <w:rsid w:val="006F7271"/>
    <w:rsid w:val="00704ADB"/>
    <w:rsid w:val="00705E01"/>
    <w:rsid w:val="00707AAD"/>
    <w:rsid w:val="00707DF3"/>
    <w:rsid w:val="0071179E"/>
    <w:rsid w:val="007170CB"/>
    <w:rsid w:val="007176EF"/>
    <w:rsid w:val="00721091"/>
    <w:rsid w:val="00733E9C"/>
    <w:rsid w:val="007406E5"/>
    <w:rsid w:val="00751F0B"/>
    <w:rsid w:val="0075264A"/>
    <w:rsid w:val="00764E3C"/>
    <w:rsid w:val="0078299E"/>
    <w:rsid w:val="00783182"/>
    <w:rsid w:val="007902C7"/>
    <w:rsid w:val="00790491"/>
    <w:rsid w:val="00796403"/>
    <w:rsid w:val="007969E0"/>
    <w:rsid w:val="007973E2"/>
    <w:rsid w:val="00797D75"/>
    <w:rsid w:val="007A17B3"/>
    <w:rsid w:val="007B196D"/>
    <w:rsid w:val="007B1AB8"/>
    <w:rsid w:val="007B5A74"/>
    <w:rsid w:val="007B5D22"/>
    <w:rsid w:val="007C04CE"/>
    <w:rsid w:val="007C04F8"/>
    <w:rsid w:val="007C58F7"/>
    <w:rsid w:val="007D4E9F"/>
    <w:rsid w:val="007D4FDB"/>
    <w:rsid w:val="007D4FFB"/>
    <w:rsid w:val="007D75DA"/>
    <w:rsid w:val="007E232A"/>
    <w:rsid w:val="007E2BF9"/>
    <w:rsid w:val="007F11E4"/>
    <w:rsid w:val="007F2ECF"/>
    <w:rsid w:val="00804365"/>
    <w:rsid w:val="0080461C"/>
    <w:rsid w:val="00806584"/>
    <w:rsid w:val="00806935"/>
    <w:rsid w:val="0081140D"/>
    <w:rsid w:val="008164CC"/>
    <w:rsid w:val="00824F85"/>
    <w:rsid w:val="0083260D"/>
    <w:rsid w:val="00836E75"/>
    <w:rsid w:val="008379A4"/>
    <w:rsid w:val="0085321E"/>
    <w:rsid w:val="00862615"/>
    <w:rsid w:val="00862643"/>
    <w:rsid w:val="00870E87"/>
    <w:rsid w:val="008720E4"/>
    <w:rsid w:val="008749A9"/>
    <w:rsid w:val="00885178"/>
    <w:rsid w:val="008867AF"/>
    <w:rsid w:val="00890E7F"/>
    <w:rsid w:val="00891F2C"/>
    <w:rsid w:val="00892205"/>
    <w:rsid w:val="00892452"/>
    <w:rsid w:val="00892920"/>
    <w:rsid w:val="00892E26"/>
    <w:rsid w:val="008A28E1"/>
    <w:rsid w:val="008A4900"/>
    <w:rsid w:val="008B423F"/>
    <w:rsid w:val="008B6F4A"/>
    <w:rsid w:val="008C0DC9"/>
    <w:rsid w:val="008C5C27"/>
    <w:rsid w:val="008C78BE"/>
    <w:rsid w:val="008F12D4"/>
    <w:rsid w:val="009029E4"/>
    <w:rsid w:val="00906CB2"/>
    <w:rsid w:val="00912A8F"/>
    <w:rsid w:val="009205B0"/>
    <w:rsid w:val="0092272D"/>
    <w:rsid w:val="009330CA"/>
    <w:rsid w:val="0094210F"/>
    <w:rsid w:val="0094424A"/>
    <w:rsid w:val="00970477"/>
    <w:rsid w:val="00971C68"/>
    <w:rsid w:val="009739C1"/>
    <w:rsid w:val="00980948"/>
    <w:rsid w:val="00987BF8"/>
    <w:rsid w:val="00993D5F"/>
    <w:rsid w:val="009A1B12"/>
    <w:rsid w:val="009C5F2A"/>
    <w:rsid w:val="009D0709"/>
    <w:rsid w:val="009D6A45"/>
    <w:rsid w:val="009E01B5"/>
    <w:rsid w:val="009F1AE2"/>
    <w:rsid w:val="009F30BF"/>
    <w:rsid w:val="00A054C5"/>
    <w:rsid w:val="00A11160"/>
    <w:rsid w:val="00A21745"/>
    <w:rsid w:val="00A236A8"/>
    <w:rsid w:val="00A25F4C"/>
    <w:rsid w:val="00A31154"/>
    <w:rsid w:val="00A314E2"/>
    <w:rsid w:val="00A475FF"/>
    <w:rsid w:val="00A47D7A"/>
    <w:rsid w:val="00A50802"/>
    <w:rsid w:val="00A52703"/>
    <w:rsid w:val="00A62BA7"/>
    <w:rsid w:val="00A636A3"/>
    <w:rsid w:val="00A64238"/>
    <w:rsid w:val="00A65385"/>
    <w:rsid w:val="00A71B55"/>
    <w:rsid w:val="00A7368D"/>
    <w:rsid w:val="00A744EF"/>
    <w:rsid w:val="00A81662"/>
    <w:rsid w:val="00A82EEE"/>
    <w:rsid w:val="00AA7184"/>
    <w:rsid w:val="00AA7497"/>
    <w:rsid w:val="00AC732A"/>
    <w:rsid w:val="00AE14F9"/>
    <w:rsid w:val="00AE1C9C"/>
    <w:rsid w:val="00AE3C8C"/>
    <w:rsid w:val="00AE52B7"/>
    <w:rsid w:val="00AE622F"/>
    <w:rsid w:val="00AF037D"/>
    <w:rsid w:val="00B06D09"/>
    <w:rsid w:val="00B146AF"/>
    <w:rsid w:val="00B23C94"/>
    <w:rsid w:val="00B23E9B"/>
    <w:rsid w:val="00B24473"/>
    <w:rsid w:val="00B34F13"/>
    <w:rsid w:val="00B36B05"/>
    <w:rsid w:val="00B409BA"/>
    <w:rsid w:val="00B516AB"/>
    <w:rsid w:val="00B560AB"/>
    <w:rsid w:val="00B62042"/>
    <w:rsid w:val="00B634E4"/>
    <w:rsid w:val="00B72785"/>
    <w:rsid w:val="00B74739"/>
    <w:rsid w:val="00B7510D"/>
    <w:rsid w:val="00B771F0"/>
    <w:rsid w:val="00B779BB"/>
    <w:rsid w:val="00B86637"/>
    <w:rsid w:val="00B90912"/>
    <w:rsid w:val="00B92ED0"/>
    <w:rsid w:val="00B94CAE"/>
    <w:rsid w:val="00B975C8"/>
    <w:rsid w:val="00BA58FB"/>
    <w:rsid w:val="00BA6514"/>
    <w:rsid w:val="00BB13F3"/>
    <w:rsid w:val="00BB23B6"/>
    <w:rsid w:val="00BB4083"/>
    <w:rsid w:val="00BB4896"/>
    <w:rsid w:val="00BB5A19"/>
    <w:rsid w:val="00BC0644"/>
    <w:rsid w:val="00BC2EDE"/>
    <w:rsid w:val="00BC783B"/>
    <w:rsid w:val="00BD070D"/>
    <w:rsid w:val="00BD36F0"/>
    <w:rsid w:val="00BD469C"/>
    <w:rsid w:val="00BD7CD9"/>
    <w:rsid w:val="00BE0AE4"/>
    <w:rsid w:val="00BF2439"/>
    <w:rsid w:val="00C11896"/>
    <w:rsid w:val="00C13484"/>
    <w:rsid w:val="00C14903"/>
    <w:rsid w:val="00C2093A"/>
    <w:rsid w:val="00C21114"/>
    <w:rsid w:val="00C2120B"/>
    <w:rsid w:val="00C2216D"/>
    <w:rsid w:val="00C27365"/>
    <w:rsid w:val="00C3143C"/>
    <w:rsid w:val="00C461C2"/>
    <w:rsid w:val="00C54F90"/>
    <w:rsid w:val="00C60E0A"/>
    <w:rsid w:val="00C7463A"/>
    <w:rsid w:val="00C775DC"/>
    <w:rsid w:val="00C851EB"/>
    <w:rsid w:val="00C93061"/>
    <w:rsid w:val="00C9549E"/>
    <w:rsid w:val="00C97DC7"/>
    <w:rsid w:val="00CA1EEB"/>
    <w:rsid w:val="00CA26FE"/>
    <w:rsid w:val="00CA783F"/>
    <w:rsid w:val="00CB0762"/>
    <w:rsid w:val="00CB2403"/>
    <w:rsid w:val="00CB36B1"/>
    <w:rsid w:val="00CB6B8F"/>
    <w:rsid w:val="00CB6FAC"/>
    <w:rsid w:val="00CC5195"/>
    <w:rsid w:val="00CC6436"/>
    <w:rsid w:val="00CD363B"/>
    <w:rsid w:val="00CE375B"/>
    <w:rsid w:val="00CE5544"/>
    <w:rsid w:val="00CF2599"/>
    <w:rsid w:val="00CF2E10"/>
    <w:rsid w:val="00D033EB"/>
    <w:rsid w:val="00D25AB3"/>
    <w:rsid w:val="00D34E8E"/>
    <w:rsid w:val="00D37246"/>
    <w:rsid w:val="00D40485"/>
    <w:rsid w:val="00D43B76"/>
    <w:rsid w:val="00D47AA6"/>
    <w:rsid w:val="00D57475"/>
    <w:rsid w:val="00D60EDD"/>
    <w:rsid w:val="00D61748"/>
    <w:rsid w:val="00D633DC"/>
    <w:rsid w:val="00D70D20"/>
    <w:rsid w:val="00D725E0"/>
    <w:rsid w:val="00D74CC6"/>
    <w:rsid w:val="00D84573"/>
    <w:rsid w:val="00D93024"/>
    <w:rsid w:val="00DA00A5"/>
    <w:rsid w:val="00DA0F0A"/>
    <w:rsid w:val="00DA4B87"/>
    <w:rsid w:val="00DA5C84"/>
    <w:rsid w:val="00DB38EB"/>
    <w:rsid w:val="00DC3B14"/>
    <w:rsid w:val="00DC4B0E"/>
    <w:rsid w:val="00DC5258"/>
    <w:rsid w:val="00DD0175"/>
    <w:rsid w:val="00DD0291"/>
    <w:rsid w:val="00DD124D"/>
    <w:rsid w:val="00DD22A6"/>
    <w:rsid w:val="00DD2A56"/>
    <w:rsid w:val="00DE2DB6"/>
    <w:rsid w:val="00DE390D"/>
    <w:rsid w:val="00E01143"/>
    <w:rsid w:val="00E11A29"/>
    <w:rsid w:val="00E12F98"/>
    <w:rsid w:val="00E203CD"/>
    <w:rsid w:val="00E2168E"/>
    <w:rsid w:val="00E43D7F"/>
    <w:rsid w:val="00E47829"/>
    <w:rsid w:val="00E47EF4"/>
    <w:rsid w:val="00E516A7"/>
    <w:rsid w:val="00E54168"/>
    <w:rsid w:val="00E54B51"/>
    <w:rsid w:val="00E55754"/>
    <w:rsid w:val="00E572E0"/>
    <w:rsid w:val="00E57EC6"/>
    <w:rsid w:val="00E720DA"/>
    <w:rsid w:val="00E7602B"/>
    <w:rsid w:val="00E760FC"/>
    <w:rsid w:val="00E816FE"/>
    <w:rsid w:val="00E820A6"/>
    <w:rsid w:val="00E91008"/>
    <w:rsid w:val="00E923B4"/>
    <w:rsid w:val="00E93116"/>
    <w:rsid w:val="00E94D8B"/>
    <w:rsid w:val="00EA45AC"/>
    <w:rsid w:val="00EB191B"/>
    <w:rsid w:val="00EB44A2"/>
    <w:rsid w:val="00EC25B9"/>
    <w:rsid w:val="00EE4C5E"/>
    <w:rsid w:val="00EF50BD"/>
    <w:rsid w:val="00EF5858"/>
    <w:rsid w:val="00EF58B1"/>
    <w:rsid w:val="00F00699"/>
    <w:rsid w:val="00F025A2"/>
    <w:rsid w:val="00F02811"/>
    <w:rsid w:val="00F079FC"/>
    <w:rsid w:val="00F1114C"/>
    <w:rsid w:val="00F157D6"/>
    <w:rsid w:val="00F3294A"/>
    <w:rsid w:val="00F343E2"/>
    <w:rsid w:val="00F3772F"/>
    <w:rsid w:val="00F40429"/>
    <w:rsid w:val="00F45E0E"/>
    <w:rsid w:val="00F461C8"/>
    <w:rsid w:val="00F6059A"/>
    <w:rsid w:val="00F61528"/>
    <w:rsid w:val="00F62DBB"/>
    <w:rsid w:val="00F63061"/>
    <w:rsid w:val="00F72AF9"/>
    <w:rsid w:val="00F75006"/>
    <w:rsid w:val="00F849CA"/>
    <w:rsid w:val="00F86572"/>
    <w:rsid w:val="00F875E4"/>
    <w:rsid w:val="00F94249"/>
    <w:rsid w:val="00F951C9"/>
    <w:rsid w:val="00F97F6E"/>
    <w:rsid w:val="00FA10C1"/>
    <w:rsid w:val="00FA22EB"/>
    <w:rsid w:val="00FA6D33"/>
    <w:rsid w:val="00FA76BF"/>
    <w:rsid w:val="00FC382D"/>
    <w:rsid w:val="00FD0338"/>
    <w:rsid w:val="00FE0C55"/>
    <w:rsid w:val="00FF172F"/>
    <w:rsid w:val="00FF3296"/>
    <w:rsid w:val="00FF486B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14C"/>
  </w:style>
  <w:style w:type="paragraph" w:styleId="1">
    <w:name w:val="heading 1"/>
    <w:basedOn w:val="a"/>
    <w:next w:val="a"/>
    <w:link w:val="10"/>
    <w:uiPriority w:val="9"/>
    <w:qFormat/>
    <w:rsid w:val="00B146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F30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10A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D574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30B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10AB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D574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495747"/>
    <w:pPr>
      <w:ind w:left="720"/>
      <w:contextualSpacing/>
    </w:pPr>
  </w:style>
  <w:style w:type="paragraph" w:styleId="a4">
    <w:name w:val="No Spacing"/>
    <w:uiPriority w:val="1"/>
    <w:qFormat/>
    <w:rsid w:val="00B516A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96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696C"/>
  </w:style>
  <w:style w:type="paragraph" w:styleId="a7">
    <w:name w:val="footer"/>
    <w:basedOn w:val="a"/>
    <w:link w:val="a8"/>
    <w:uiPriority w:val="99"/>
    <w:unhideWhenUsed/>
    <w:rsid w:val="00496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696C"/>
  </w:style>
  <w:style w:type="character" w:styleId="a9">
    <w:name w:val="Placeholder Text"/>
    <w:basedOn w:val="a0"/>
    <w:uiPriority w:val="99"/>
    <w:semiHidden/>
    <w:rsid w:val="00BB23B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BB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23B6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F865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66">
    <w:name w:val="c66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B72785"/>
  </w:style>
  <w:style w:type="character" w:customStyle="1" w:styleId="c5">
    <w:name w:val="c5"/>
    <w:basedOn w:val="a0"/>
    <w:rsid w:val="00B72785"/>
  </w:style>
  <w:style w:type="paragraph" w:customStyle="1" w:styleId="c18">
    <w:name w:val="c18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">
    <w:name w:val="c73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9">
    <w:name w:val="c59"/>
    <w:basedOn w:val="a0"/>
    <w:rsid w:val="00B72785"/>
  </w:style>
  <w:style w:type="paragraph" w:customStyle="1" w:styleId="c41">
    <w:name w:val="c41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B72785"/>
  </w:style>
  <w:style w:type="character" w:customStyle="1" w:styleId="apple-converted-space">
    <w:name w:val="apple-converted-space"/>
    <w:basedOn w:val="a0"/>
    <w:rsid w:val="00B72785"/>
  </w:style>
  <w:style w:type="character" w:customStyle="1" w:styleId="c4">
    <w:name w:val="c4"/>
    <w:basedOn w:val="a0"/>
    <w:rsid w:val="00B72785"/>
  </w:style>
  <w:style w:type="character" w:customStyle="1" w:styleId="c50">
    <w:name w:val="c50"/>
    <w:basedOn w:val="a0"/>
    <w:rsid w:val="00B72785"/>
  </w:style>
  <w:style w:type="paragraph" w:customStyle="1" w:styleId="c68">
    <w:name w:val="c68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B72785"/>
  </w:style>
  <w:style w:type="paragraph" w:customStyle="1" w:styleId="c8">
    <w:name w:val="c8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">
    <w:name w:val="c55"/>
    <w:basedOn w:val="a0"/>
    <w:rsid w:val="00B72785"/>
  </w:style>
  <w:style w:type="character" w:customStyle="1" w:styleId="c13">
    <w:name w:val="c13"/>
    <w:basedOn w:val="a0"/>
    <w:rsid w:val="00B72785"/>
  </w:style>
  <w:style w:type="character" w:customStyle="1" w:styleId="c14">
    <w:name w:val="c14"/>
    <w:basedOn w:val="a0"/>
    <w:rsid w:val="00B72785"/>
  </w:style>
  <w:style w:type="character" w:customStyle="1" w:styleId="c33">
    <w:name w:val="c33"/>
    <w:basedOn w:val="a0"/>
    <w:rsid w:val="00B72785"/>
  </w:style>
  <w:style w:type="character" w:customStyle="1" w:styleId="c19">
    <w:name w:val="c19"/>
    <w:basedOn w:val="a0"/>
    <w:rsid w:val="00B72785"/>
  </w:style>
  <w:style w:type="character" w:customStyle="1" w:styleId="c7">
    <w:name w:val="c7"/>
    <w:basedOn w:val="a0"/>
    <w:rsid w:val="00B72785"/>
  </w:style>
  <w:style w:type="paragraph" w:customStyle="1" w:styleId="c61">
    <w:name w:val="c61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B72785"/>
  </w:style>
  <w:style w:type="character" w:customStyle="1" w:styleId="c2">
    <w:name w:val="c2"/>
    <w:basedOn w:val="a0"/>
    <w:rsid w:val="00B72785"/>
  </w:style>
  <w:style w:type="character" w:customStyle="1" w:styleId="c25">
    <w:name w:val="c25"/>
    <w:basedOn w:val="a0"/>
    <w:rsid w:val="00B72785"/>
  </w:style>
  <w:style w:type="paragraph" w:customStyle="1" w:styleId="c84">
    <w:name w:val="c84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2">
    <w:name w:val="c52"/>
    <w:basedOn w:val="a0"/>
    <w:rsid w:val="00B72785"/>
  </w:style>
  <w:style w:type="character" w:styleId="ad">
    <w:name w:val="Hyperlink"/>
    <w:basedOn w:val="a0"/>
    <w:uiPriority w:val="99"/>
    <w:unhideWhenUsed/>
    <w:rsid w:val="00B72785"/>
    <w:rPr>
      <w:color w:val="0000FF"/>
      <w:u w:val="single"/>
    </w:rPr>
  </w:style>
  <w:style w:type="paragraph" w:customStyle="1" w:styleId="c3">
    <w:name w:val="c3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B72785"/>
  </w:style>
  <w:style w:type="character" w:customStyle="1" w:styleId="c53">
    <w:name w:val="c53"/>
    <w:basedOn w:val="a0"/>
    <w:rsid w:val="00B72785"/>
  </w:style>
  <w:style w:type="paragraph" w:customStyle="1" w:styleId="c72">
    <w:name w:val="c72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B72785"/>
  </w:style>
  <w:style w:type="character" w:customStyle="1" w:styleId="c49">
    <w:name w:val="c49"/>
    <w:basedOn w:val="a0"/>
    <w:rsid w:val="00B72785"/>
  </w:style>
  <w:style w:type="paragraph" w:styleId="ae">
    <w:name w:val="Normal (Web)"/>
    <w:basedOn w:val="a"/>
    <w:uiPriority w:val="99"/>
    <w:unhideWhenUsed/>
    <w:rsid w:val="00110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a0"/>
    <w:rsid w:val="00110ABB"/>
  </w:style>
  <w:style w:type="character" w:styleId="af">
    <w:name w:val="Strong"/>
    <w:basedOn w:val="a0"/>
    <w:uiPriority w:val="22"/>
    <w:qFormat/>
    <w:rsid w:val="00D57475"/>
    <w:rPr>
      <w:b/>
      <w:bCs/>
    </w:rPr>
  </w:style>
  <w:style w:type="paragraph" w:customStyle="1" w:styleId="sg-text">
    <w:name w:val="sg-text"/>
    <w:basedOn w:val="a"/>
    <w:rsid w:val="0089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азвание объекта1"/>
    <w:basedOn w:val="a0"/>
    <w:rsid w:val="009F30BF"/>
  </w:style>
  <w:style w:type="paragraph" w:customStyle="1" w:styleId="recar">
    <w:name w:val="recar"/>
    <w:basedOn w:val="a"/>
    <w:rsid w:val="009F3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">
    <w:name w:val="b-share"/>
    <w:basedOn w:val="a0"/>
    <w:rsid w:val="009F30BF"/>
  </w:style>
  <w:style w:type="character" w:customStyle="1" w:styleId="b-share-form-button">
    <w:name w:val="b-share-form-button"/>
    <w:basedOn w:val="a0"/>
    <w:rsid w:val="009F30BF"/>
  </w:style>
  <w:style w:type="character" w:customStyle="1" w:styleId="b-share-icon">
    <w:name w:val="b-share-icon"/>
    <w:basedOn w:val="a0"/>
    <w:rsid w:val="009F30BF"/>
  </w:style>
  <w:style w:type="character" w:customStyle="1" w:styleId="mw-headline">
    <w:name w:val="mw-headline"/>
    <w:basedOn w:val="a0"/>
    <w:rsid w:val="00D70D20"/>
  </w:style>
  <w:style w:type="character" w:customStyle="1" w:styleId="mw-editsection">
    <w:name w:val="mw-editsection"/>
    <w:basedOn w:val="a0"/>
    <w:rsid w:val="00D70D20"/>
  </w:style>
  <w:style w:type="character" w:customStyle="1" w:styleId="mw-editsection-bracket">
    <w:name w:val="mw-editsection-bracket"/>
    <w:basedOn w:val="a0"/>
    <w:rsid w:val="00D70D20"/>
  </w:style>
  <w:style w:type="character" w:customStyle="1" w:styleId="mw-editsection-divider">
    <w:name w:val="mw-editsection-divider"/>
    <w:basedOn w:val="a0"/>
    <w:rsid w:val="00D70D20"/>
  </w:style>
  <w:style w:type="paragraph" w:customStyle="1" w:styleId="error">
    <w:name w:val="error"/>
    <w:basedOn w:val="a"/>
    <w:rsid w:val="00D7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lapse-refs">
    <w:name w:val="collapse-refs"/>
    <w:basedOn w:val="a"/>
    <w:rsid w:val="00D7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cite-backlink">
    <w:name w:val="mw-cite-backlink"/>
    <w:basedOn w:val="a0"/>
    <w:rsid w:val="00D70D20"/>
  </w:style>
  <w:style w:type="character" w:customStyle="1" w:styleId="cite-accessibility-label">
    <w:name w:val="cite-accessibility-label"/>
    <w:basedOn w:val="a0"/>
    <w:rsid w:val="00D70D20"/>
  </w:style>
  <w:style w:type="character" w:customStyle="1" w:styleId="reference-text">
    <w:name w:val="reference-text"/>
    <w:basedOn w:val="a0"/>
    <w:rsid w:val="00D70D20"/>
  </w:style>
  <w:style w:type="character" w:customStyle="1" w:styleId="ref-info">
    <w:name w:val="ref-info"/>
    <w:basedOn w:val="a0"/>
    <w:rsid w:val="00D70D20"/>
  </w:style>
  <w:style w:type="character" w:customStyle="1" w:styleId="citation">
    <w:name w:val="citation"/>
    <w:basedOn w:val="a0"/>
    <w:rsid w:val="00D70D20"/>
  </w:style>
  <w:style w:type="character" w:customStyle="1" w:styleId="nowrap">
    <w:name w:val="nowrap"/>
    <w:basedOn w:val="a0"/>
    <w:rsid w:val="00D70D20"/>
  </w:style>
  <w:style w:type="character" w:customStyle="1" w:styleId="portal-box">
    <w:name w:val="portal-box"/>
    <w:basedOn w:val="a0"/>
    <w:rsid w:val="00D70D20"/>
  </w:style>
  <w:style w:type="character" w:customStyle="1" w:styleId="wikidict-ref">
    <w:name w:val="wikidict-ref"/>
    <w:basedOn w:val="a0"/>
    <w:rsid w:val="00D70D20"/>
  </w:style>
  <w:style w:type="character" w:customStyle="1" w:styleId="wikisource-ref">
    <w:name w:val="wikisource-ref"/>
    <w:basedOn w:val="a0"/>
    <w:rsid w:val="00D70D20"/>
  </w:style>
  <w:style w:type="character" w:customStyle="1" w:styleId="wikicommons-ref">
    <w:name w:val="wikicommons-ref"/>
    <w:basedOn w:val="a0"/>
    <w:rsid w:val="00D70D20"/>
  </w:style>
  <w:style w:type="character" w:customStyle="1" w:styleId="wikinews-ref">
    <w:name w:val="wikinews-ref"/>
    <w:basedOn w:val="a0"/>
    <w:rsid w:val="00D70D20"/>
  </w:style>
  <w:style w:type="character" w:customStyle="1" w:styleId="10">
    <w:name w:val="Заголовок 1 Знак"/>
    <w:basedOn w:val="a0"/>
    <w:link w:val="1"/>
    <w:uiPriority w:val="9"/>
    <w:rsid w:val="00B14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wp-caption-text">
    <w:name w:val="wp-caption-text"/>
    <w:basedOn w:val="a"/>
    <w:rsid w:val="00B14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0"/>
    <w:uiPriority w:val="20"/>
    <w:qFormat/>
    <w:rsid w:val="00FE0C55"/>
    <w:rPr>
      <w:i/>
      <w:iCs/>
    </w:rPr>
  </w:style>
  <w:style w:type="paragraph" w:customStyle="1" w:styleId="af1">
    <w:name w:val="Стандарт"/>
    <w:basedOn w:val="a"/>
    <w:link w:val="af2"/>
    <w:qFormat/>
    <w:rsid w:val="00627B78"/>
    <w:pPr>
      <w:spacing w:after="0" w:line="360" w:lineRule="auto"/>
      <w:ind w:firstLine="709"/>
    </w:pPr>
    <w:rPr>
      <w:rFonts w:ascii="Times New Roman" w:eastAsiaTheme="minorHAnsi" w:hAnsi="Times New Roman"/>
      <w:sz w:val="28"/>
      <w:lang w:eastAsia="en-US"/>
    </w:rPr>
  </w:style>
  <w:style w:type="character" w:customStyle="1" w:styleId="af2">
    <w:name w:val="Стандарт Знак"/>
    <w:basedOn w:val="a0"/>
    <w:link w:val="af1"/>
    <w:rsid w:val="00627B78"/>
    <w:rPr>
      <w:rFonts w:ascii="Times New Roman" w:eastAsiaTheme="minorHAnsi" w:hAnsi="Times New Roman"/>
      <w:sz w:val="28"/>
      <w:lang w:eastAsia="en-US"/>
    </w:rPr>
  </w:style>
  <w:style w:type="paragraph" w:customStyle="1" w:styleId="Textbody">
    <w:name w:val="Text body"/>
    <w:basedOn w:val="a"/>
    <w:rsid w:val="00F461C8"/>
    <w:pPr>
      <w:suppressAutoHyphens/>
      <w:spacing w:after="140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table" w:customStyle="1" w:styleId="12">
    <w:name w:val="Сетка таблицы1"/>
    <w:basedOn w:val="a1"/>
    <w:next w:val="ac"/>
    <w:uiPriority w:val="59"/>
    <w:rsid w:val="0080436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14C"/>
  </w:style>
  <w:style w:type="paragraph" w:styleId="1">
    <w:name w:val="heading 1"/>
    <w:basedOn w:val="a"/>
    <w:next w:val="a"/>
    <w:link w:val="10"/>
    <w:uiPriority w:val="9"/>
    <w:qFormat/>
    <w:rsid w:val="00B146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F30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10A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D574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30B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10AB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D574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495747"/>
    <w:pPr>
      <w:ind w:left="720"/>
      <w:contextualSpacing/>
    </w:pPr>
  </w:style>
  <w:style w:type="paragraph" w:styleId="a4">
    <w:name w:val="No Spacing"/>
    <w:uiPriority w:val="1"/>
    <w:qFormat/>
    <w:rsid w:val="00B516A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96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696C"/>
  </w:style>
  <w:style w:type="paragraph" w:styleId="a7">
    <w:name w:val="footer"/>
    <w:basedOn w:val="a"/>
    <w:link w:val="a8"/>
    <w:uiPriority w:val="99"/>
    <w:unhideWhenUsed/>
    <w:rsid w:val="00496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696C"/>
  </w:style>
  <w:style w:type="character" w:styleId="a9">
    <w:name w:val="Placeholder Text"/>
    <w:basedOn w:val="a0"/>
    <w:uiPriority w:val="99"/>
    <w:semiHidden/>
    <w:rsid w:val="00BB23B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BB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23B6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F865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66">
    <w:name w:val="c66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B72785"/>
  </w:style>
  <w:style w:type="character" w:customStyle="1" w:styleId="c5">
    <w:name w:val="c5"/>
    <w:basedOn w:val="a0"/>
    <w:rsid w:val="00B72785"/>
  </w:style>
  <w:style w:type="paragraph" w:customStyle="1" w:styleId="c18">
    <w:name w:val="c18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">
    <w:name w:val="c73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9">
    <w:name w:val="c59"/>
    <w:basedOn w:val="a0"/>
    <w:rsid w:val="00B72785"/>
  </w:style>
  <w:style w:type="paragraph" w:customStyle="1" w:styleId="c41">
    <w:name w:val="c41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B72785"/>
  </w:style>
  <w:style w:type="character" w:customStyle="1" w:styleId="apple-converted-space">
    <w:name w:val="apple-converted-space"/>
    <w:basedOn w:val="a0"/>
    <w:rsid w:val="00B72785"/>
  </w:style>
  <w:style w:type="character" w:customStyle="1" w:styleId="c4">
    <w:name w:val="c4"/>
    <w:basedOn w:val="a0"/>
    <w:rsid w:val="00B72785"/>
  </w:style>
  <w:style w:type="character" w:customStyle="1" w:styleId="c50">
    <w:name w:val="c50"/>
    <w:basedOn w:val="a0"/>
    <w:rsid w:val="00B72785"/>
  </w:style>
  <w:style w:type="paragraph" w:customStyle="1" w:styleId="c68">
    <w:name w:val="c68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B72785"/>
  </w:style>
  <w:style w:type="paragraph" w:customStyle="1" w:styleId="c8">
    <w:name w:val="c8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">
    <w:name w:val="c55"/>
    <w:basedOn w:val="a0"/>
    <w:rsid w:val="00B72785"/>
  </w:style>
  <w:style w:type="character" w:customStyle="1" w:styleId="c13">
    <w:name w:val="c13"/>
    <w:basedOn w:val="a0"/>
    <w:rsid w:val="00B72785"/>
  </w:style>
  <w:style w:type="character" w:customStyle="1" w:styleId="c14">
    <w:name w:val="c14"/>
    <w:basedOn w:val="a0"/>
    <w:rsid w:val="00B72785"/>
  </w:style>
  <w:style w:type="character" w:customStyle="1" w:styleId="c33">
    <w:name w:val="c33"/>
    <w:basedOn w:val="a0"/>
    <w:rsid w:val="00B72785"/>
  </w:style>
  <w:style w:type="character" w:customStyle="1" w:styleId="c19">
    <w:name w:val="c19"/>
    <w:basedOn w:val="a0"/>
    <w:rsid w:val="00B72785"/>
  </w:style>
  <w:style w:type="character" w:customStyle="1" w:styleId="c7">
    <w:name w:val="c7"/>
    <w:basedOn w:val="a0"/>
    <w:rsid w:val="00B72785"/>
  </w:style>
  <w:style w:type="paragraph" w:customStyle="1" w:styleId="c61">
    <w:name w:val="c61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B72785"/>
  </w:style>
  <w:style w:type="character" w:customStyle="1" w:styleId="c2">
    <w:name w:val="c2"/>
    <w:basedOn w:val="a0"/>
    <w:rsid w:val="00B72785"/>
  </w:style>
  <w:style w:type="character" w:customStyle="1" w:styleId="c25">
    <w:name w:val="c25"/>
    <w:basedOn w:val="a0"/>
    <w:rsid w:val="00B72785"/>
  </w:style>
  <w:style w:type="paragraph" w:customStyle="1" w:styleId="c84">
    <w:name w:val="c84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2">
    <w:name w:val="c52"/>
    <w:basedOn w:val="a0"/>
    <w:rsid w:val="00B72785"/>
  </w:style>
  <w:style w:type="character" w:styleId="ad">
    <w:name w:val="Hyperlink"/>
    <w:basedOn w:val="a0"/>
    <w:uiPriority w:val="99"/>
    <w:unhideWhenUsed/>
    <w:rsid w:val="00B72785"/>
    <w:rPr>
      <w:color w:val="0000FF"/>
      <w:u w:val="single"/>
    </w:rPr>
  </w:style>
  <w:style w:type="paragraph" w:customStyle="1" w:styleId="c3">
    <w:name w:val="c3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B72785"/>
  </w:style>
  <w:style w:type="character" w:customStyle="1" w:styleId="c53">
    <w:name w:val="c53"/>
    <w:basedOn w:val="a0"/>
    <w:rsid w:val="00B72785"/>
  </w:style>
  <w:style w:type="paragraph" w:customStyle="1" w:styleId="c72">
    <w:name w:val="c72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B72785"/>
  </w:style>
  <w:style w:type="character" w:customStyle="1" w:styleId="c49">
    <w:name w:val="c49"/>
    <w:basedOn w:val="a0"/>
    <w:rsid w:val="00B72785"/>
  </w:style>
  <w:style w:type="paragraph" w:styleId="ae">
    <w:name w:val="Normal (Web)"/>
    <w:basedOn w:val="a"/>
    <w:uiPriority w:val="99"/>
    <w:unhideWhenUsed/>
    <w:rsid w:val="00110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a0"/>
    <w:rsid w:val="00110ABB"/>
  </w:style>
  <w:style w:type="character" w:styleId="af">
    <w:name w:val="Strong"/>
    <w:basedOn w:val="a0"/>
    <w:uiPriority w:val="22"/>
    <w:qFormat/>
    <w:rsid w:val="00D57475"/>
    <w:rPr>
      <w:b/>
      <w:bCs/>
    </w:rPr>
  </w:style>
  <w:style w:type="paragraph" w:customStyle="1" w:styleId="sg-text">
    <w:name w:val="sg-text"/>
    <w:basedOn w:val="a"/>
    <w:rsid w:val="0089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азвание объекта1"/>
    <w:basedOn w:val="a0"/>
    <w:rsid w:val="009F30BF"/>
  </w:style>
  <w:style w:type="paragraph" w:customStyle="1" w:styleId="recar">
    <w:name w:val="recar"/>
    <w:basedOn w:val="a"/>
    <w:rsid w:val="009F3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">
    <w:name w:val="b-share"/>
    <w:basedOn w:val="a0"/>
    <w:rsid w:val="009F30BF"/>
  </w:style>
  <w:style w:type="character" w:customStyle="1" w:styleId="b-share-form-button">
    <w:name w:val="b-share-form-button"/>
    <w:basedOn w:val="a0"/>
    <w:rsid w:val="009F30BF"/>
  </w:style>
  <w:style w:type="character" w:customStyle="1" w:styleId="b-share-icon">
    <w:name w:val="b-share-icon"/>
    <w:basedOn w:val="a0"/>
    <w:rsid w:val="009F30BF"/>
  </w:style>
  <w:style w:type="character" w:customStyle="1" w:styleId="mw-headline">
    <w:name w:val="mw-headline"/>
    <w:basedOn w:val="a0"/>
    <w:rsid w:val="00D70D20"/>
  </w:style>
  <w:style w:type="character" w:customStyle="1" w:styleId="mw-editsection">
    <w:name w:val="mw-editsection"/>
    <w:basedOn w:val="a0"/>
    <w:rsid w:val="00D70D20"/>
  </w:style>
  <w:style w:type="character" w:customStyle="1" w:styleId="mw-editsection-bracket">
    <w:name w:val="mw-editsection-bracket"/>
    <w:basedOn w:val="a0"/>
    <w:rsid w:val="00D70D20"/>
  </w:style>
  <w:style w:type="character" w:customStyle="1" w:styleId="mw-editsection-divider">
    <w:name w:val="mw-editsection-divider"/>
    <w:basedOn w:val="a0"/>
    <w:rsid w:val="00D70D20"/>
  </w:style>
  <w:style w:type="paragraph" w:customStyle="1" w:styleId="error">
    <w:name w:val="error"/>
    <w:basedOn w:val="a"/>
    <w:rsid w:val="00D7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lapse-refs">
    <w:name w:val="collapse-refs"/>
    <w:basedOn w:val="a"/>
    <w:rsid w:val="00D7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cite-backlink">
    <w:name w:val="mw-cite-backlink"/>
    <w:basedOn w:val="a0"/>
    <w:rsid w:val="00D70D20"/>
  </w:style>
  <w:style w:type="character" w:customStyle="1" w:styleId="cite-accessibility-label">
    <w:name w:val="cite-accessibility-label"/>
    <w:basedOn w:val="a0"/>
    <w:rsid w:val="00D70D20"/>
  </w:style>
  <w:style w:type="character" w:customStyle="1" w:styleId="reference-text">
    <w:name w:val="reference-text"/>
    <w:basedOn w:val="a0"/>
    <w:rsid w:val="00D70D20"/>
  </w:style>
  <w:style w:type="character" w:customStyle="1" w:styleId="ref-info">
    <w:name w:val="ref-info"/>
    <w:basedOn w:val="a0"/>
    <w:rsid w:val="00D70D20"/>
  </w:style>
  <w:style w:type="character" w:customStyle="1" w:styleId="citation">
    <w:name w:val="citation"/>
    <w:basedOn w:val="a0"/>
    <w:rsid w:val="00D70D20"/>
  </w:style>
  <w:style w:type="character" w:customStyle="1" w:styleId="nowrap">
    <w:name w:val="nowrap"/>
    <w:basedOn w:val="a0"/>
    <w:rsid w:val="00D70D20"/>
  </w:style>
  <w:style w:type="character" w:customStyle="1" w:styleId="portal-box">
    <w:name w:val="portal-box"/>
    <w:basedOn w:val="a0"/>
    <w:rsid w:val="00D70D20"/>
  </w:style>
  <w:style w:type="character" w:customStyle="1" w:styleId="wikidict-ref">
    <w:name w:val="wikidict-ref"/>
    <w:basedOn w:val="a0"/>
    <w:rsid w:val="00D70D20"/>
  </w:style>
  <w:style w:type="character" w:customStyle="1" w:styleId="wikisource-ref">
    <w:name w:val="wikisource-ref"/>
    <w:basedOn w:val="a0"/>
    <w:rsid w:val="00D70D20"/>
  </w:style>
  <w:style w:type="character" w:customStyle="1" w:styleId="wikicommons-ref">
    <w:name w:val="wikicommons-ref"/>
    <w:basedOn w:val="a0"/>
    <w:rsid w:val="00D70D20"/>
  </w:style>
  <w:style w:type="character" w:customStyle="1" w:styleId="wikinews-ref">
    <w:name w:val="wikinews-ref"/>
    <w:basedOn w:val="a0"/>
    <w:rsid w:val="00D70D20"/>
  </w:style>
  <w:style w:type="character" w:customStyle="1" w:styleId="10">
    <w:name w:val="Заголовок 1 Знак"/>
    <w:basedOn w:val="a0"/>
    <w:link w:val="1"/>
    <w:uiPriority w:val="9"/>
    <w:rsid w:val="00B14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wp-caption-text">
    <w:name w:val="wp-caption-text"/>
    <w:basedOn w:val="a"/>
    <w:rsid w:val="00B14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0"/>
    <w:uiPriority w:val="20"/>
    <w:qFormat/>
    <w:rsid w:val="00FE0C55"/>
    <w:rPr>
      <w:i/>
      <w:iCs/>
    </w:rPr>
  </w:style>
  <w:style w:type="paragraph" w:customStyle="1" w:styleId="af1">
    <w:name w:val="Стандарт"/>
    <w:basedOn w:val="a"/>
    <w:link w:val="af2"/>
    <w:qFormat/>
    <w:rsid w:val="00627B78"/>
    <w:pPr>
      <w:spacing w:after="0" w:line="360" w:lineRule="auto"/>
      <w:ind w:firstLine="709"/>
    </w:pPr>
    <w:rPr>
      <w:rFonts w:ascii="Times New Roman" w:eastAsiaTheme="minorHAnsi" w:hAnsi="Times New Roman"/>
      <w:sz w:val="28"/>
      <w:lang w:eastAsia="en-US"/>
    </w:rPr>
  </w:style>
  <w:style w:type="character" w:customStyle="1" w:styleId="af2">
    <w:name w:val="Стандарт Знак"/>
    <w:basedOn w:val="a0"/>
    <w:link w:val="af1"/>
    <w:rsid w:val="00627B78"/>
    <w:rPr>
      <w:rFonts w:ascii="Times New Roman" w:eastAsiaTheme="minorHAnsi" w:hAnsi="Times New Roman"/>
      <w:sz w:val="28"/>
      <w:lang w:eastAsia="en-US"/>
    </w:rPr>
  </w:style>
  <w:style w:type="paragraph" w:customStyle="1" w:styleId="Textbody">
    <w:name w:val="Text body"/>
    <w:basedOn w:val="a"/>
    <w:rsid w:val="00F461C8"/>
    <w:pPr>
      <w:suppressAutoHyphens/>
      <w:spacing w:after="140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table" w:customStyle="1" w:styleId="12">
    <w:name w:val="Сетка таблицы1"/>
    <w:basedOn w:val="a1"/>
    <w:next w:val="ac"/>
    <w:uiPriority w:val="59"/>
    <w:rsid w:val="0080436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3962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09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297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4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3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15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92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25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99019">
          <w:marLeft w:val="0"/>
          <w:marRight w:val="14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2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042956">
          <w:marLeft w:val="0"/>
          <w:marRight w:val="143"/>
          <w:marTop w:val="143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914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922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39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0123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910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9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4510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45609">
          <w:marLeft w:val="150"/>
          <w:marRight w:val="150"/>
          <w:marTop w:val="150"/>
          <w:marBottom w:val="150"/>
          <w:divBdr>
            <w:top w:val="single" w:sz="6" w:space="8" w:color="DDDDDD"/>
            <w:left w:val="single" w:sz="6" w:space="3" w:color="DDDDDD"/>
            <w:bottom w:val="single" w:sz="6" w:space="0" w:color="DDDDDD"/>
            <w:right w:val="single" w:sz="6" w:space="3" w:color="DDDDDD"/>
          </w:divBdr>
        </w:div>
        <w:div w:id="573665025">
          <w:marLeft w:val="150"/>
          <w:marRight w:val="150"/>
          <w:marTop w:val="150"/>
          <w:marBottom w:val="150"/>
          <w:divBdr>
            <w:top w:val="single" w:sz="6" w:space="8" w:color="DDDDDD"/>
            <w:left w:val="single" w:sz="6" w:space="3" w:color="DDDDDD"/>
            <w:bottom w:val="single" w:sz="6" w:space="0" w:color="DDDDDD"/>
            <w:right w:val="single" w:sz="6" w:space="3" w:color="DDDDDD"/>
          </w:divBdr>
        </w:div>
      </w:divsChild>
    </w:div>
    <w:div w:id="20622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2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53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37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Data" Target="diagrams/data1.xml"/><Relationship Id="rId1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diagramQuickStyle" Target="diagrams/quickStyle1.xml"/><Relationship Id="rId10" Type="http://schemas.openxmlformats.org/officeDocument/2006/relationships/hyperlink" Target="http://spbgau.ru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pbgau.ru/" TargetMode="External"/><Relationship Id="rId14" Type="http://schemas.openxmlformats.org/officeDocument/2006/relationships/diagramLayout" Target="diagrams/layou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За чертой бедности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</c:v>
                </c:pt>
                <c:pt idx="1">
                  <c:v>17.8</c:v>
                </c:pt>
                <c:pt idx="2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Малообеспеченные граждане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23</c:v>
                </c:pt>
                <c:pt idx="1">
                  <c:v>25.6</c:v>
                </c:pt>
                <c:pt idx="2">
                  <c:v>28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44301312"/>
        <c:axId val="44356352"/>
        <c:axId val="0"/>
      </c:bar3DChart>
      <c:catAx>
        <c:axId val="44301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44356352"/>
        <c:crosses val="autoZero"/>
        <c:auto val="1"/>
        <c:lblAlgn val="ctr"/>
        <c:lblOffset val="100"/>
        <c:noMultiLvlLbl val="0"/>
      </c:catAx>
      <c:valAx>
        <c:axId val="443563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44301312"/>
        <c:crosses val="autoZero"/>
        <c:crossBetween val="between"/>
      </c:valAx>
    </c:plotArea>
    <c:legend>
      <c:legendPos val="r"/>
      <c:legendEntry>
        <c:idx val="2"/>
        <c:delete val="1"/>
      </c:legendEntry>
      <c:layout/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Центральный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2.2999999999999998</c:v>
                </c:pt>
                <c:pt idx="1">
                  <c:v>2.1</c:v>
                </c:pt>
                <c:pt idx="2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Северо-Западный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3.2</c:v>
                </c:pt>
                <c:pt idx="1">
                  <c:v>3.3</c:v>
                </c:pt>
                <c:pt idx="2">
                  <c:v>3.5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Южный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3.6</c:v>
                </c:pt>
                <c:pt idx="1">
                  <c:v>3.4</c:v>
                </c:pt>
                <c:pt idx="2">
                  <c:v>3.2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Северо-Кавказский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3.9</c:v>
                </c:pt>
                <c:pt idx="1">
                  <c:v>3.7</c:v>
                </c:pt>
                <c:pt idx="2">
                  <c:v>3.4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Приволжский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4.0999999999999996</c:v>
                </c:pt>
                <c:pt idx="1">
                  <c:v>4.3</c:v>
                </c:pt>
                <c:pt idx="2">
                  <c:v>6.4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Уральский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Лист1!$G$2:$G$5</c:f>
              <c:numCache>
                <c:formatCode>General</c:formatCode>
                <c:ptCount val="4"/>
                <c:pt idx="0">
                  <c:v>1.3</c:v>
                </c:pt>
                <c:pt idx="1">
                  <c:v>1.5</c:v>
                </c:pt>
                <c:pt idx="2">
                  <c:v>1.7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Сибирский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Лист1!$H$2:$H$5</c:f>
              <c:numCache>
                <c:formatCode>General</c:formatCode>
                <c:ptCount val="4"/>
                <c:pt idx="0">
                  <c:v>0.3</c:v>
                </c:pt>
                <c:pt idx="1">
                  <c:v>0.5</c:v>
                </c:pt>
                <c:pt idx="2">
                  <c:v>0.7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Дальневосточный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Лист1!$I$2:$I$5</c:f>
              <c:numCache>
                <c:formatCode>General</c:formatCode>
                <c:ptCount val="4"/>
                <c:pt idx="0">
                  <c:v>4.3</c:v>
                </c:pt>
                <c:pt idx="1">
                  <c:v>6.8</c:v>
                </c:pt>
                <c:pt idx="2">
                  <c:v>7.1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50710400"/>
        <c:axId val="50711936"/>
        <c:axId val="0"/>
      </c:bar3DChart>
      <c:catAx>
        <c:axId val="507104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50711936"/>
        <c:crosses val="autoZero"/>
        <c:auto val="1"/>
        <c:lblAlgn val="ctr"/>
        <c:lblOffset val="100"/>
        <c:noMultiLvlLbl val="0"/>
      </c:catAx>
      <c:valAx>
        <c:axId val="507119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50710400"/>
        <c:crosses val="autoZero"/>
        <c:crossBetween val="between"/>
      </c:valAx>
    </c:plotArea>
    <c:legend>
      <c:legendPos val="r"/>
      <c:layout/>
      <c:overlay val="0"/>
      <c:txPr>
        <a:bodyPr/>
        <a:lstStyle/>
        <a:p>
          <a:pPr>
            <a:defRPr sz="12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9"/>
    </mc:Choice>
    <mc:Fallback>
      <c:style val="39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Здравоохранение</c:v>
                </c:pt>
                <c:pt idx="1">
                  <c:v>Демография</c:v>
                </c:pt>
                <c:pt idx="2">
                  <c:v>Доступная среда</c:v>
                </c:pt>
                <c:pt idx="3">
                  <c:v>Третий возраст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23.4</c:v>
                </c:pt>
                <c:pt idx="1">
                  <c:v>19.8</c:v>
                </c:pt>
                <c:pt idx="2">
                  <c:v>40.5</c:v>
                </c:pt>
                <c:pt idx="3">
                  <c:v>16.3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Здравоохранение</c:v>
                </c:pt>
                <c:pt idx="1">
                  <c:v>Демография</c:v>
                </c:pt>
                <c:pt idx="2">
                  <c:v>Доступная среда</c:v>
                </c:pt>
                <c:pt idx="3">
                  <c:v>Третий возраст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25.6</c:v>
                </c:pt>
                <c:pt idx="1">
                  <c:v>21.3</c:v>
                </c:pt>
                <c:pt idx="2">
                  <c:v>41.1</c:v>
                </c:pt>
                <c:pt idx="3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Здравоохранение</c:v>
                </c:pt>
                <c:pt idx="1">
                  <c:v>Демография</c:v>
                </c:pt>
                <c:pt idx="2">
                  <c:v>Доступная среда</c:v>
                </c:pt>
                <c:pt idx="3">
                  <c:v>Третий возраст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27.8</c:v>
                </c:pt>
                <c:pt idx="1">
                  <c:v>22.4</c:v>
                </c:pt>
                <c:pt idx="2">
                  <c:v>43.3</c:v>
                </c:pt>
                <c:pt idx="3">
                  <c:v>6.5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55124736"/>
        <c:axId val="55126272"/>
        <c:axId val="0"/>
      </c:bar3DChart>
      <c:catAx>
        <c:axId val="55124736"/>
        <c:scaling>
          <c:orientation val="minMax"/>
        </c:scaling>
        <c:delete val="0"/>
        <c:axPos val="b"/>
        <c:majorTickMark val="out"/>
        <c:minorTickMark val="none"/>
        <c:tickLblPos val="nextTo"/>
        <c:crossAx val="55126272"/>
        <c:crosses val="autoZero"/>
        <c:auto val="1"/>
        <c:lblAlgn val="ctr"/>
        <c:lblOffset val="100"/>
        <c:noMultiLvlLbl val="0"/>
      </c:catAx>
      <c:valAx>
        <c:axId val="551262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512473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47AAC5-954B-41BD-A311-8B1633EA1A2B}" type="doc">
      <dgm:prSet loTypeId="urn:microsoft.com/office/officeart/2009/3/layout/HorizontalOrganizationChart" loCatId="hierarchy" qsTypeId="urn:microsoft.com/office/officeart/2005/8/quickstyle/simple3" qsCatId="simple" csTypeId="urn:microsoft.com/office/officeart/2005/8/colors/accent5_2" csCatId="accent5" phldr="1"/>
      <dgm:spPr/>
      <dgm:t>
        <a:bodyPr/>
        <a:lstStyle/>
        <a:p>
          <a:endParaRPr lang="ru-RU"/>
        </a:p>
      </dgm:t>
    </dgm:pt>
    <dgm:pt modelId="{6A865F64-77BC-499E-A9A9-06635F1E855F}">
      <dgm:prSet phldrT="[Текст]" custT="1"/>
      <dgm:spPr>
        <a:xfrm>
          <a:off x="2151329" y="150611"/>
          <a:ext cx="1183741" cy="591870"/>
        </a:xfrm>
      </dgm:spPr>
      <dgm:t>
        <a:bodyPr/>
        <a:lstStyle/>
        <a:p>
          <a:r>
            <a:rPr lang="ru-RU" sz="14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Социальная защита </a:t>
          </a:r>
        </a:p>
      </dgm:t>
    </dgm:pt>
    <dgm:pt modelId="{8BED24EA-04F7-4EF3-ACF9-1250A2F1F03B}" type="parTrans" cxnId="{FE35D017-1E8F-40BE-95D8-BDA0EAA1EA79}">
      <dgm:prSet/>
      <dgm:spPr/>
      <dgm:t>
        <a:bodyPr/>
        <a:lstStyle/>
        <a:p>
          <a:endParaRPr lang="ru-RU"/>
        </a:p>
      </dgm:t>
    </dgm:pt>
    <dgm:pt modelId="{17BB9E33-64C8-4D80-93E3-E94C5EB0D52C}" type="sibTrans" cxnId="{FE35D017-1E8F-40BE-95D8-BDA0EAA1EA79}">
      <dgm:prSet/>
      <dgm:spPr/>
      <dgm:t>
        <a:bodyPr/>
        <a:lstStyle/>
        <a:p>
          <a:endParaRPr lang="ru-RU"/>
        </a:p>
      </dgm:t>
    </dgm:pt>
    <dgm:pt modelId="{91F9BD0F-1056-4540-8956-72BEE430D721}">
      <dgm:prSet phldrT="[Текст]" custT="1"/>
      <dgm:spPr>
        <a:xfrm>
          <a:off x="2837" y="991067"/>
          <a:ext cx="1183741" cy="591870"/>
        </a:xfrm>
      </dgm:spPr>
      <dgm:t>
        <a:bodyPr/>
        <a:lstStyle/>
        <a:p>
          <a:r>
            <a:rPr lang="ru-RU" sz="14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Социальное обеспечение </a:t>
          </a:r>
        </a:p>
      </dgm:t>
    </dgm:pt>
    <dgm:pt modelId="{7D777762-85A3-4AC4-88A8-34B3EC7B6104}" type="parTrans" cxnId="{53D515C0-F0C5-436B-9B11-153A219EB468}">
      <dgm:prSet/>
      <dgm:spPr>
        <a:xfrm>
          <a:off x="594708" y="742482"/>
          <a:ext cx="2148491" cy="248585"/>
        </a:xfrm>
      </dgm:spPr>
      <dgm:t>
        <a:bodyPr/>
        <a:lstStyle/>
        <a:p>
          <a:endParaRPr lang="ru-RU"/>
        </a:p>
      </dgm:t>
    </dgm:pt>
    <dgm:pt modelId="{F921FC33-253E-4038-BF77-EA6F12956198}" type="sibTrans" cxnId="{53D515C0-F0C5-436B-9B11-153A219EB468}">
      <dgm:prSet/>
      <dgm:spPr/>
      <dgm:t>
        <a:bodyPr/>
        <a:lstStyle/>
        <a:p>
          <a:endParaRPr lang="ru-RU"/>
        </a:p>
      </dgm:t>
    </dgm:pt>
    <dgm:pt modelId="{C2394ED4-CBBE-4E1D-A83A-8141A00D1BBA}">
      <dgm:prSet phldrT="[Текст]" custT="1"/>
      <dgm:spPr>
        <a:xfrm>
          <a:off x="1435165" y="991067"/>
          <a:ext cx="1183741" cy="591870"/>
        </a:xfrm>
      </dgm:spPr>
      <dgm:t>
        <a:bodyPr/>
        <a:lstStyle/>
        <a:p>
          <a:r>
            <a:rPr lang="ru-RU" sz="14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Социальные гарантии</a:t>
          </a:r>
        </a:p>
      </dgm:t>
    </dgm:pt>
    <dgm:pt modelId="{E84B7AA0-6D58-43D7-8431-274976724A0E}" type="parTrans" cxnId="{7BFB5D1D-84BD-4968-ACFA-0C68963B90BA}">
      <dgm:prSet/>
      <dgm:spPr>
        <a:xfrm>
          <a:off x="2027036" y="742482"/>
          <a:ext cx="716163" cy="248585"/>
        </a:xfrm>
      </dgm:spPr>
      <dgm:t>
        <a:bodyPr/>
        <a:lstStyle/>
        <a:p>
          <a:endParaRPr lang="ru-RU"/>
        </a:p>
      </dgm:t>
    </dgm:pt>
    <dgm:pt modelId="{43BC3CC9-98DE-489F-8FF5-8B6A0E66C8CC}" type="sibTrans" cxnId="{7BFB5D1D-84BD-4968-ACFA-0C68963B90BA}">
      <dgm:prSet/>
      <dgm:spPr/>
      <dgm:t>
        <a:bodyPr/>
        <a:lstStyle/>
        <a:p>
          <a:endParaRPr lang="ru-RU"/>
        </a:p>
      </dgm:t>
    </dgm:pt>
    <dgm:pt modelId="{CD62A412-866A-4071-9678-F73B1FA5DF57}">
      <dgm:prSet phldrT="[Текст]" custT="1"/>
      <dgm:spPr>
        <a:xfrm>
          <a:off x="2867492" y="991067"/>
          <a:ext cx="1183741" cy="591870"/>
        </a:xfrm>
      </dgm:spPr>
      <dgm:t>
        <a:bodyPr/>
        <a:lstStyle/>
        <a:p>
          <a:r>
            <a:rPr lang="ru-RU" sz="14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Социальное страхование</a:t>
          </a:r>
        </a:p>
      </dgm:t>
    </dgm:pt>
    <dgm:pt modelId="{3723E6A3-D3CE-49C6-9B1A-BEFA53E818E1}" type="parTrans" cxnId="{7CCF869A-4F26-49B0-A109-56C189B6E8E3}">
      <dgm:prSet/>
      <dgm:spPr>
        <a:xfrm>
          <a:off x="2743200" y="742482"/>
          <a:ext cx="716163" cy="248585"/>
        </a:xfrm>
      </dgm:spPr>
      <dgm:t>
        <a:bodyPr/>
        <a:lstStyle/>
        <a:p>
          <a:endParaRPr lang="ru-RU"/>
        </a:p>
      </dgm:t>
    </dgm:pt>
    <dgm:pt modelId="{A0AE68A0-FF65-4EDC-9699-98DA72F29B6F}" type="sibTrans" cxnId="{7CCF869A-4F26-49B0-A109-56C189B6E8E3}">
      <dgm:prSet/>
      <dgm:spPr/>
      <dgm:t>
        <a:bodyPr/>
        <a:lstStyle/>
        <a:p>
          <a:endParaRPr lang="ru-RU"/>
        </a:p>
      </dgm:t>
    </dgm:pt>
    <dgm:pt modelId="{61E2CE7D-6F5E-4008-81A5-DDA92CCEFE89}">
      <dgm:prSet custT="1"/>
      <dgm:spPr>
        <a:xfrm>
          <a:off x="4299820" y="991067"/>
          <a:ext cx="1183741" cy="591870"/>
        </a:xfrm>
      </dgm:spPr>
      <dgm:t>
        <a:bodyPr/>
        <a:lstStyle/>
        <a:p>
          <a:r>
            <a:rPr lang="ru-RU" sz="14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Социальная поддержка</a:t>
          </a:r>
          <a:endParaRPr lang="ru-RU" sz="120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CA006D08-2C80-4A87-B6BF-F1CAB6D5D5C7}" type="parTrans" cxnId="{7FD09D45-1315-40CB-937B-C01291373F3A}">
      <dgm:prSet/>
      <dgm:spPr>
        <a:xfrm>
          <a:off x="2743200" y="742482"/>
          <a:ext cx="2148491" cy="248585"/>
        </a:xfrm>
      </dgm:spPr>
      <dgm:t>
        <a:bodyPr/>
        <a:lstStyle/>
        <a:p>
          <a:endParaRPr lang="ru-RU"/>
        </a:p>
      </dgm:t>
    </dgm:pt>
    <dgm:pt modelId="{0850E3AF-81DD-46DC-96DB-1089663E4CFD}" type="sibTrans" cxnId="{7FD09D45-1315-40CB-937B-C01291373F3A}">
      <dgm:prSet/>
      <dgm:spPr/>
      <dgm:t>
        <a:bodyPr/>
        <a:lstStyle/>
        <a:p>
          <a:endParaRPr lang="ru-RU"/>
        </a:p>
      </dgm:t>
    </dgm:pt>
    <dgm:pt modelId="{78D6B7A6-EAD5-4D81-88DD-D8BD3CC384CA}" type="pres">
      <dgm:prSet presAssocID="{7347AAC5-954B-41BD-A311-8B1633EA1A2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5D205477-2939-4825-8870-B6605C975CAF}" type="pres">
      <dgm:prSet presAssocID="{6A865F64-77BC-499E-A9A9-06635F1E855F}" presName="hierRoot1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38E0A72B-0BAE-46CE-9182-938F05F72BAB}" type="pres">
      <dgm:prSet presAssocID="{6A865F64-77BC-499E-A9A9-06635F1E855F}" presName="rootComposite1" presStyleCnt="0"/>
      <dgm:spPr/>
      <dgm:t>
        <a:bodyPr/>
        <a:lstStyle/>
        <a:p>
          <a:endParaRPr lang="ru-RU"/>
        </a:p>
      </dgm:t>
    </dgm:pt>
    <dgm:pt modelId="{3BD8D7DF-A57E-4C29-839C-001A49E6151D}" type="pres">
      <dgm:prSet presAssocID="{6A865F64-77BC-499E-A9A9-06635F1E855F}" presName="rootText1" presStyleLbl="node0" presStyleIdx="0" presStyleCnt="1" custAng="16200000" custScaleY="31297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4D2156B-1100-4879-A796-D7FE59A3D06A}" type="pres">
      <dgm:prSet presAssocID="{6A865F64-77BC-499E-A9A9-06635F1E855F}" presName="rootConnector1" presStyleLbl="node1" presStyleIdx="0" presStyleCnt="0"/>
      <dgm:spPr/>
      <dgm:t>
        <a:bodyPr/>
        <a:lstStyle/>
        <a:p>
          <a:endParaRPr lang="ru-RU"/>
        </a:p>
      </dgm:t>
    </dgm:pt>
    <dgm:pt modelId="{9A974ABD-54D9-407E-B6BD-B6781CC02B79}" type="pres">
      <dgm:prSet presAssocID="{6A865F64-77BC-499E-A9A9-06635F1E855F}" presName="hierChild2" presStyleCnt="0"/>
      <dgm:spPr/>
      <dgm:t>
        <a:bodyPr/>
        <a:lstStyle/>
        <a:p>
          <a:endParaRPr lang="ru-RU"/>
        </a:p>
      </dgm:t>
    </dgm:pt>
    <dgm:pt modelId="{F3F4B41B-8F5C-4A5E-8883-03C12FE402EF}" type="pres">
      <dgm:prSet presAssocID="{7D777762-85A3-4AC4-88A8-34B3EC7B6104}" presName="Name64" presStyleLbl="parChTrans1D2" presStyleIdx="0" presStyleCnt="4"/>
      <dgm:spPr/>
      <dgm:t>
        <a:bodyPr/>
        <a:lstStyle/>
        <a:p>
          <a:endParaRPr lang="ru-RU"/>
        </a:p>
      </dgm:t>
    </dgm:pt>
    <dgm:pt modelId="{15085F69-FFCE-4921-BDCB-BA3D758C649F}" type="pres">
      <dgm:prSet presAssocID="{91F9BD0F-1056-4540-8956-72BEE430D721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504BC3CA-0A76-42BC-9F78-0CCD71BCA6A1}" type="pres">
      <dgm:prSet presAssocID="{91F9BD0F-1056-4540-8956-72BEE430D721}" presName="rootComposite" presStyleCnt="0"/>
      <dgm:spPr/>
      <dgm:t>
        <a:bodyPr/>
        <a:lstStyle/>
        <a:p>
          <a:endParaRPr lang="ru-RU"/>
        </a:p>
      </dgm:t>
    </dgm:pt>
    <dgm:pt modelId="{3E4F5720-1466-4345-8A35-9C10E4E8D0E4}" type="pres">
      <dgm:prSet presAssocID="{91F9BD0F-1056-4540-8956-72BEE430D721}" presName="rootText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11EACFB-CB3C-4D2A-86AB-985145D3601B}" type="pres">
      <dgm:prSet presAssocID="{91F9BD0F-1056-4540-8956-72BEE430D721}" presName="rootConnector" presStyleLbl="node2" presStyleIdx="0" presStyleCnt="4"/>
      <dgm:spPr/>
      <dgm:t>
        <a:bodyPr/>
        <a:lstStyle/>
        <a:p>
          <a:endParaRPr lang="ru-RU"/>
        </a:p>
      </dgm:t>
    </dgm:pt>
    <dgm:pt modelId="{B5A0D360-BA79-422E-87EB-31514CE57CCD}" type="pres">
      <dgm:prSet presAssocID="{91F9BD0F-1056-4540-8956-72BEE430D721}" presName="hierChild4" presStyleCnt="0"/>
      <dgm:spPr/>
      <dgm:t>
        <a:bodyPr/>
        <a:lstStyle/>
        <a:p>
          <a:endParaRPr lang="ru-RU"/>
        </a:p>
      </dgm:t>
    </dgm:pt>
    <dgm:pt modelId="{DE8516B0-B1B6-4AF7-BD1A-ACFDEA05BB95}" type="pres">
      <dgm:prSet presAssocID="{91F9BD0F-1056-4540-8956-72BEE430D721}" presName="hierChild5" presStyleCnt="0"/>
      <dgm:spPr/>
      <dgm:t>
        <a:bodyPr/>
        <a:lstStyle/>
        <a:p>
          <a:endParaRPr lang="ru-RU"/>
        </a:p>
      </dgm:t>
    </dgm:pt>
    <dgm:pt modelId="{599A31CD-FE25-4DF6-B37F-E9B03F51AC4A}" type="pres">
      <dgm:prSet presAssocID="{E84B7AA0-6D58-43D7-8431-274976724A0E}" presName="Name64" presStyleLbl="parChTrans1D2" presStyleIdx="1" presStyleCnt="4"/>
      <dgm:spPr/>
      <dgm:t>
        <a:bodyPr/>
        <a:lstStyle/>
        <a:p>
          <a:endParaRPr lang="ru-RU"/>
        </a:p>
      </dgm:t>
    </dgm:pt>
    <dgm:pt modelId="{B5147476-898F-4A46-BB6E-C9758CAF723E}" type="pres">
      <dgm:prSet presAssocID="{C2394ED4-CBBE-4E1D-A83A-8141A00D1BBA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BF558445-3645-40A6-A616-4C6F4D5CA092}" type="pres">
      <dgm:prSet presAssocID="{C2394ED4-CBBE-4E1D-A83A-8141A00D1BBA}" presName="rootComposite" presStyleCnt="0"/>
      <dgm:spPr/>
      <dgm:t>
        <a:bodyPr/>
        <a:lstStyle/>
        <a:p>
          <a:endParaRPr lang="ru-RU"/>
        </a:p>
      </dgm:t>
    </dgm:pt>
    <dgm:pt modelId="{092061F7-4544-4D96-AFC8-122E2A71D6A5}" type="pres">
      <dgm:prSet presAssocID="{C2394ED4-CBBE-4E1D-A83A-8141A00D1BBA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063F262-CF69-4126-9782-0C401439BD3C}" type="pres">
      <dgm:prSet presAssocID="{C2394ED4-CBBE-4E1D-A83A-8141A00D1BBA}" presName="rootConnector" presStyleLbl="node2" presStyleIdx="1" presStyleCnt="4"/>
      <dgm:spPr/>
      <dgm:t>
        <a:bodyPr/>
        <a:lstStyle/>
        <a:p>
          <a:endParaRPr lang="ru-RU"/>
        </a:p>
      </dgm:t>
    </dgm:pt>
    <dgm:pt modelId="{6F1F3303-8D4F-478A-AED0-8F57F1CF5E2B}" type="pres">
      <dgm:prSet presAssocID="{C2394ED4-CBBE-4E1D-A83A-8141A00D1BBA}" presName="hierChild4" presStyleCnt="0"/>
      <dgm:spPr/>
      <dgm:t>
        <a:bodyPr/>
        <a:lstStyle/>
        <a:p>
          <a:endParaRPr lang="ru-RU"/>
        </a:p>
      </dgm:t>
    </dgm:pt>
    <dgm:pt modelId="{DE3415E8-45E4-48DD-AE81-C3F356C667AC}" type="pres">
      <dgm:prSet presAssocID="{C2394ED4-CBBE-4E1D-A83A-8141A00D1BBA}" presName="hierChild5" presStyleCnt="0"/>
      <dgm:spPr/>
      <dgm:t>
        <a:bodyPr/>
        <a:lstStyle/>
        <a:p>
          <a:endParaRPr lang="ru-RU"/>
        </a:p>
      </dgm:t>
    </dgm:pt>
    <dgm:pt modelId="{96F2A1AA-D4B9-4D9F-A543-3E6A956A4F86}" type="pres">
      <dgm:prSet presAssocID="{3723E6A3-D3CE-49C6-9B1A-BEFA53E818E1}" presName="Name64" presStyleLbl="parChTrans1D2" presStyleIdx="2" presStyleCnt="4"/>
      <dgm:spPr/>
      <dgm:t>
        <a:bodyPr/>
        <a:lstStyle/>
        <a:p>
          <a:endParaRPr lang="ru-RU"/>
        </a:p>
      </dgm:t>
    </dgm:pt>
    <dgm:pt modelId="{E9CF4B0E-F2AA-40DA-BF38-B4EC976E7E8B}" type="pres">
      <dgm:prSet presAssocID="{CD62A412-866A-4071-9678-F73B1FA5DF57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09C85F43-2A27-4157-8B1F-4B9A79182AF1}" type="pres">
      <dgm:prSet presAssocID="{CD62A412-866A-4071-9678-F73B1FA5DF57}" presName="rootComposite" presStyleCnt="0"/>
      <dgm:spPr/>
      <dgm:t>
        <a:bodyPr/>
        <a:lstStyle/>
        <a:p>
          <a:endParaRPr lang="ru-RU"/>
        </a:p>
      </dgm:t>
    </dgm:pt>
    <dgm:pt modelId="{F5B00D8B-B0A6-4801-A40F-20A2949885DE}" type="pres">
      <dgm:prSet presAssocID="{CD62A412-866A-4071-9678-F73B1FA5DF57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0613478-BB3E-4558-B261-5C31DF29BB12}" type="pres">
      <dgm:prSet presAssocID="{CD62A412-866A-4071-9678-F73B1FA5DF57}" presName="rootConnector" presStyleLbl="node2" presStyleIdx="2" presStyleCnt="4"/>
      <dgm:spPr/>
      <dgm:t>
        <a:bodyPr/>
        <a:lstStyle/>
        <a:p>
          <a:endParaRPr lang="ru-RU"/>
        </a:p>
      </dgm:t>
    </dgm:pt>
    <dgm:pt modelId="{8E914E87-7BB5-4E29-90E6-BC80891F619F}" type="pres">
      <dgm:prSet presAssocID="{CD62A412-866A-4071-9678-F73B1FA5DF57}" presName="hierChild4" presStyleCnt="0"/>
      <dgm:spPr/>
      <dgm:t>
        <a:bodyPr/>
        <a:lstStyle/>
        <a:p>
          <a:endParaRPr lang="ru-RU"/>
        </a:p>
      </dgm:t>
    </dgm:pt>
    <dgm:pt modelId="{0F08785A-B22F-41CF-8FDC-F7CAB700DB59}" type="pres">
      <dgm:prSet presAssocID="{CD62A412-866A-4071-9678-F73B1FA5DF57}" presName="hierChild5" presStyleCnt="0"/>
      <dgm:spPr/>
      <dgm:t>
        <a:bodyPr/>
        <a:lstStyle/>
        <a:p>
          <a:endParaRPr lang="ru-RU"/>
        </a:p>
      </dgm:t>
    </dgm:pt>
    <dgm:pt modelId="{AEC8974D-9B19-4EF8-A397-9291A2F9D618}" type="pres">
      <dgm:prSet presAssocID="{CA006D08-2C80-4A87-B6BF-F1CAB6D5D5C7}" presName="Name64" presStyleLbl="parChTrans1D2" presStyleIdx="3" presStyleCnt="4"/>
      <dgm:spPr/>
      <dgm:t>
        <a:bodyPr/>
        <a:lstStyle/>
        <a:p>
          <a:endParaRPr lang="ru-RU"/>
        </a:p>
      </dgm:t>
    </dgm:pt>
    <dgm:pt modelId="{4EBCE6B6-79F8-4407-B888-0FBCD87DF40B}" type="pres">
      <dgm:prSet presAssocID="{61E2CE7D-6F5E-4008-81A5-DDA92CCEFE89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BAFCDE6A-2880-4F06-A0E9-537EA76F3A93}" type="pres">
      <dgm:prSet presAssocID="{61E2CE7D-6F5E-4008-81A5-DDA92CCEFE89}" presName="rootComposite" presStyleCnt="0"/>
      <dgm:spPr/>
      <dgm:t>
        <a:bodyPr/>
        <a:lstStyle/>
        <a:p>
          <a:endParaRPr lang="ru-RU"/>
        </a:p>
      </dgm:t>
    </dgm:pt>
    <dgm:pt modelId="{C1ED2C31-AD8D-4C17-BCC3-EA3B28F510BF}" type="pres">
      <dgm:prSet presAssocID="{61E2CE7D-6F5E-4008-81A5-DDA92CCEFE89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461EE23-1A03-48E4-B92C-B048523E1607}" type="pres">
      <dgm:prSet presAssocID="{61E2CE7D-6F5E-4008-81A5-DDA92CCEFE89}" presName="rootConnector" presStyleLbl="node2" presStyleIdx="3" presStyleCnt="4"/>
      <dgm:spPr/>
      <dgm:t>
        <a:bodyPr/>
        <a:lstStyle/>
        <a:p>
          <a:endParaRPr lang="ru-RU"/>
        </a:p>
      </dgm:t>
    </dgm:pt>
    <dgm:pt modelId="{A59B7EF6-8407-4A6C-A88C-0D5598AEE578}" type="pres">
      <dgm:prSet presAssocID="{61E2CE7D-6F5E-4008-81A5-DDA92CCEFE89}" presName="hierChild4" presStyleCnt="0"/>
      <dgm:spPr/>
      <dgm:t>
        <a:bodyPr/>
        <a:lstStyle/>
        <a:p>
          <a:endParaRPr lang="ru-RU"/>
        </a:p>
      </dgm:t>
    </dgm:pt>
    <dgm:pt modelId="{84EEBEE4-D638-407F-954C-052885A7C086}" type="pres">
      <dgm:prSet presAssocID="{61E2CE7D-6F5E-4008-81A5-DDA92CCEFE89}" presName="hierChild5" presStyleCnt="0"/>
      <dgm:spPr/>
      <dgm:t>
        <a:bodyPr/>
        <a:lstStyle/>
        <a:p>
          <a:endParaRPr lang="ru-RU"/>
        </a:p>
      </dgm:t>
    </dgm:pt>
    <dgm:pt modelId="{918F5E8F-55F3-48AC-9CFF-CF3B6839A87C}" type="pres">
      <dgm:prSet presAssocID="{6A865F64-77BC-499E-A9A9-06635F1E855F}" presName="hierChild3" presStyleCnt="0"/>
      <dgm:spPr/>
      <dgm:t>
        <a:bodyPr/>
        <a:lstStyle/>
        <a:p>
          <a:endParaRPr lang="ru-RU"/>
        </a:p>
      </dgm:t>
    </dgm:pt>
  </dgm:ptLst>
  <dgm:cxnLst>
    <dgm:cxn modelId="{A8558094-9215-4EE9-B3BC-EEC731D7545E}" type="presOf" srcId="{7D777762-85A3-4AC4-88A8-34B3EC7B6104}" destId="{F3F4B41B-8F5C-4A5E-8883-03C12FE402EF}" srcOrd="0" destOrd="0" presId="urn:microsoft.com/office/officeart/2009/3/layout/HorizontalOrganizationChart"/>
    <dgm:cxn modelId="{E6528307-6302-4500-B253-608175F20FEB}" type="presOf" srcId="{CD62A412-866A-4071-9678-F73B1FA5DF57}" destId="{F5B00D8B-B0A6-4801-A40F-20A2949885DE}" srcOrd="0" destOrd="0" presId="urn:microsoft.com/office/officeart/2009/3/layout/HorizontalOrganizationChart"/>
    <dgm:cxn modelId="{A6DD7B64-29E1-45AB-AEA1-B23DBAA54C06}" type="presOf" srcId="{61E2CE7D-6F5E-4008-81A5-DDA92CCEFE89}" destId="{7461EE23-1A03-48E4-B92C-B048523E1607}" srcOrd="1" destOrd="0" presId="urn:microsoft.com/office/officeart/2009/3/layout/HorizontalOrganizationChart"/>
    <dgm:cxn modelId="{D8DF1F0D-CDAF-41EC-B944-55BB043CCF92}" type="presOf" srcId="{CD62A412-866A-4071-9678-F73B1FA5DF57}" destId="{70613478-BB3E-4558-B261-5C31DF29BB12}" srcOrd="1" destOrd="0" presId="urn:microsoft.com/office/officeart/2009/3/layout/HorizontalOrganizationChart"/>
    <dgm:cxn modelId="{3AA4FEB9-031B-449A-9203-803150C658B1}" type="presOf" srcId="{91F9BD0F-1056-4540-8956-72BEE430D721}" destId="{211EACFB-CB3C-4D2A-86AB-985145D3601B}" srcOrd="1" destOrd="0" presId="urn:microsoft.com/office/officeart/2009/3/layout/HorizontalOrganizationChart"/>
    <dgm:cxn modelId="{637EAAC5-5BC7-48BC-B4AA-1B4A778CE4D6}" type="presOf" srcId="{91F9BD0F-1056-4540-8956-72BEE430D721}" destId="{3E4F5720-1466-4345-8A35-9C10E4E8D0E4}" srcOrd="0" destOrd="0" presId="urn:microsoft.com/office/officeart/2009/3/layout/HorizontalOrganizationChart"/>
    <dgm:cxn modelId="{E38EE7A2-E4CB-4F41-9B18-40530B588101}" type="presOf" srcId="{C2394ED4-CBBE-4E1D-A83A-8141A00D1BBA}" destId="{092061F7-4544-4D96-AFC8-122E2A71D6A5}" srcOrd="0" destOrd="0" presId="urn:microsoft.com/office/officeart/2009/3/layout/HorizontalOrganizationChart"/>
    <dgm:cxn modelId="{81BD778B-E284-4C95-81E4-CB7760AC55AD}" type="presOf" srcId="{3723E6A3-D3CE-49C6-9B1A-BEFA53E818E1}" destId="{96F2A1AA-D4B9-4D9F-A543-3E6A956A4F86}" srcOrd="0" destOrd="0" presId="urn:microsoft.com/office/officeart/2009/3/layout/HorizontalOrganizationChart"/>
    <dgm:cxn modelId="{E18DFEFD-C8BB-4311-B8B3-7433B18809F7}" type="presOf" srcId="{7347AAC5-954B-41BD-A311-8B1633EA1A2B}" destId="{78D6B7A6-EAD5-4D81-88DD-D8BD3CC384CA}" srcOrd="0" destOrd="0" presId="urn:microsoft.com/office/officeart/2009/3/layout/HorizontalOrganizationChart"/>
    <dgm:cxn modelId="{75379024-AD98-4F70-80C2-0781674F417C}" type="presOf" srcId="{6A865F64-77BC-499E-A9A9-06635F1E855F}" destId="{3BD8D7DF-A57E-4C29-839C-001A49E6151D}" srcOrd="0" destOrd="0" presId="urn:microsoft.com/office/officeart/2009/3/layout/HorizontalOrganizationChart"/>
    <dgm:cxn modelId="{138C4532-73FA-4A85-BE19-983D2A27B19F}" type="presOf" srcId="{6A865F64-77BC-499E-A9A9-06635F1E855F}" destId="{54D2156B-1100-4879-A796-D7FE59A3D06A}" srcOrd="1" destOrd="0" presId="urn:microsoft.com/office/officeart/2009/3/layout/HorizontalOrganizationChart"/>
    <dgm:cxn modelId="{1E7ABCE5-6484-4863-A82F-51A29D57A536}" type="presOf" srcId="{E84B7AA0-6D58-43D7-8431-274976724A0E}" destId="{599A31CD-FE25-4DF6-B37F-E9B03F51AC4A}" srcOrd="0" destOrd="0" presId="urn:microsoft.com/office/officeart/2009/3/layout/HorizontalOrganizationChart"/>
    <dgm:cxn modelId="{E4D99AC2-328D-4286-8E4F-96105678EE87}" type="presOf" srcId="{61E2CE7D-6F5E-4008-81A5-DDA92CCEFE89}" destId="{C1ED2C31-AD8D-4C17-BCC3-EA3B28F510BF}" srcOrd="0" destOrd="0" presId="urn:microsoft.com/office/officeart/2009/3/layout/HorizontalOrganizationChart"/>
    <dgm:cxn modelId="{7BFB5D1D-84BD-4968-ACFA-0C68963B90BA}" srcId="{6A865F64-77BC-499E-A9A9-06635F1E855F}" destId="{C2394ED4-CBBE-4E1D-A83A-8141A00D1BBA}" srcOrd="1" destOrd="0" parTransId="{E84B7AA0-6D58-43D7-8431-274976724A0E}" sibTransId="{43BC3CC9-98DE-489F-8FF5-8B6A0E66C8CC}"/>
    <dgm:cxn modelId="{7FD09D45-1315-40CB-937B-C01291373F3A}" srcId="{6A865F64-77BC-499E-A9A9-06635F1E855F}" destId="{61E2CE7D-6F5E-4008-81A5-DDA92CCEFE89}" srcOrd="3" destOrd="0" parTransId="{CA006D08-2C80-4A87-B6BF-F1CAB6D5D5C7}" sibTransId="{0850E3AF-81DD-46DC-96DB-1089663E4CFD}"/>
    <dgm:cxn modelId="{FE35D017-1E8F-40BE-95D8-BDA0EAA1EA79}" srcId="{7347AAC5-954B-41BD-A311-8B1633EA1A2B}" destId="{6A865F64-77BC-499E-A9A9-06635F1E855F}" srcOrd="0" destOrd="0" parTransId="{8BED24EA-04F7-4EF3-ACF9-1250A2F1F03B}" sibTransId="{17BB9E33-64C8-4D80-93E3-E94C5EB0D52C}"/>
    <dgm:cxn modelId="{7CCF869A-4F26-49B0-A109-56C189B6E8E3}" srcId="{6A865F64-77BC-499E-A9A9-06635F1E855F}" destId="{CD62A412-866A-4071-9678-F73B1FA5DF57}" srcOrd="2" destOrd="0" parTransId="{3723E6A3-D3CE-49C6-9B1A-BEFA53E818E1}" sibTransId="{A0AE68A0-FF65-4EDC-9699-98DA72F29B6F}"/>
    <dgm:cxn modelId="{53D515C0-F0C5-436B-9B11-153A219EB468}" srcId="{6A865F64-77BC-499E-A9A9-06635F1E855F}" destId="{91F9BD0F-1056-4540-8956-72BEE430D721}" srcOrd="0" destOrd="0" parTransId="{7D777762-85A3-4AC4-88A8-34B3EC7B6104}" sibTransId="{F921FC33-253E-4038-BF77-EA6F12956198}"/>
    <dgm:cxn modelId="{1D13B6CD-6443-49A6-A734-F30BFCB2EF0F}" type="presOf" srcId="{C2394ED4-CBBE-4E1D-A83A-8141A00D1BBA}" destId="{8063F262-CF69-4126-9782-0C401439BD3C}" srcOrd="1" destOrd="0" presId="urn:microsoft.com/office/officeart/2009/3/layout/HorizontalOrganizationChart"/>
    <dgm:cxn modelId="{BE9B3787-C7ED-4DA1-8ADA-D767A5C857D4}" type="presOf" srcId="{CA006D08-2C80-4A87-B6BF-F1CAB6D5D5C7}" destId="{AEC8974D-9B19-4EF8-A397-9291A2F9D618}" srcOrd="0" destOrd="0" presId="urn:microsoft.com/office/officeart/2009/3/layout/HorizontalOrganizationChart"/>
    <dgm:cxn modelId="{451E6BEA-49EB-458D-9DA5-FD76E7A81C36}" type="presParOf" srcId="{78D6B7A6-EAD5-4D81-88DD-D8BD3CC384CA}" destId="{5D205477-2939-4825-8870-B6605C975CAF}" srcOrd="0" destOrd="0" presId="urn:microsoft.com/office/officeart/2009/3/layout/HorizontalOrganizationChart"/>
    <dgm:cxn modelId="{202F0D18-7179-4F7D-AA43-3CC4C5BC9601}" type="presParOf" srcId="{5D205477-2939-4825-8870-B6605C975CAF}" destId="{38E0A72B-0BAE-46CE-9182-938F05F72BAB}" srcOrd="0" destOrd="0" presId="urn:microsoft.com/office/officeart/2009/3/layout/HorizontalOrganizationChart"/>
    <dgm:cxn modelId="{68B4E3F4-7DB0-439A-8CC3-326A20219C6E}" type="presParOf" srcId="{38E0A72B-0BAE-46CE-9182-938F05F72BAB}" destId="{3BD8D7DF-A57E-4C29-839C-001A49E6151D}" srcOrd="0" destOrd="0" presId="urn:microsoft.com/office/officeart/2009/3/layout/HorizontalOrganizationChart"/>
    <dgm:cxn modelId="{9EBD6A31-B77F-49A3-BD7D-0A5086661BA1}" type="presParOf" srcId="{38E0A72B-0BAE-46CE-9182-938F05F72BAB}" destId="{54D2156B-1100-4879-A796-D7FE59A3D06A}" srcOrd="1" destOrd="0" presId="urn:microsoft.com/office/officeart/2009/3/layout/HorizontalOrganizationChart"/>
    <dgm:cxn modelId="{7DCE8E65-8C84-49DD-8529-E434C4FC94F8}" type="presParOf" srcId="{5D205477-2939-4825-8870-B6605C975CAF}" destId="{9A974ABD-54D9-407E-B6BD-B6781CC02B79}" srcOrd="1" destOrd="0" presId="urn:microsoft.com/office/officeart/2009/3/layout/HorizontalOrganizationChart"/>
    <dgm:cxn modelId="{3A7D8909-7F08-4784-A173-7D7BBF34E9C3}" type="presParOf" srcId="{9A974ABD-54D9-407E-B6BD-B6781CC02B79}" destId="{F3F4B41B-8F5C-4A5E-8883-03C12FE402EF}" srcOrd="0" destOrd="0" presId="urn:microsoft.com/office/officeart/2009/3/layout/HorizontalOrganizationChart"/>
    <dgm:cxn modelId="{07100B7D-71FE-47BA-A224-52683A63346D}" type="presParOf" srcId="{9A974ABD-54D9-407E-B6BD-B6781CC02B79}" destId="{15085F69-FFCE-4921-BDCB-BA3D758C649F}" srcOrd="1" destOrd="0" presId="urn:microsoft.com/office/officeart/2009/3/layout/HorizontalOrganizationChart"/>
    <dgm:cxn modelId="{A1352493-BEC2-4776-AACB-C83028A5CB0C}" type="presParOf" srcId="{15085F69-FFCE-4921-BDCB-BA3D758C649F}" destId="{504BC3CA-0A76-42BC-9F78-0CCD71BCA6A1}" srcOrd="0" destOrd="0" presId="urn:microsoft.com/office/officeart/2009/3/layout/HorizontalOrganizationChart"/>
    <dgm:cxn modelId="{0C7705AF-9ABF-4217-A60D-709463BA7585}" type="presParOf" srcId="{504BC3CA-0A76-42BC-9F78-0CCD71BCA6A1}" destId="{3E4F5720-1466-4345-8A35-9C10E4E8D0E4}" srcOrd="0" destOrd="0" presId="urn:microsoft.com/office/officeart/2009/3/layout/HorizontalOrganizationChart"/>
    <dgm:cxn modelId="{514AE85E-DBFB-4509-B687-2F9C361300E4}" type="presParOf" srcId="{504BC3CA-0A76-42BC-9F78-0CCD71BCA6A1}" destId="{211EACFB-CB3C-4D2A-86AB-985145D3601B}" srcOrd="1" destOrd="0" presId="urn:microsoft.com/office/officeart/2009/3/layout/HorizontalOrganizationChart"/>
    <dgm:cxn modelId="{F67115AB-D768-4D93-A51C-2B77E4C99101}" type="presParOf" srcId="{15085F69-FFCE-4921-BDCB-BA3D758C649F}" destId="{B5A0D360-BA79-422E-87EB-31514CE57CCD}" srcOrd="1" destOrd="0" presId="urn:microsoft.com/office/officeart/2009/3/layout/HorizontalOrganizationChart"/>
    <dgm:cxn modelId="{3D67FF03-858D-44E7-91ED-370E088442E6}" type="presParOf" srcId="{15085F69-FFCE-4921-BDCB-BA3D758C649F}" destId="{DE8516B0-B1B6-4AF7-BD1A-ACFDEA05BB95}" srcOrd="2" destOrd="0" presId="urn:microsoft.com/office/officeart/2009/3/layout/HorizontalOrganizationChart"/>
    <dgm:cxn modelId="{99DFD68D-7211-4989-990C-CC30A15FF4B8}" type="presParOf" srcId="{9A974ABD-54D9-407E-B6BD-B6781CC02B79}" destId="{599A31CD-FE25-4DF6-B37F-E9B03F51AC4A}" srcOrd="2" destOrd="0" presId="urn:microsoft.com/office/officeart/2009/3/layout/HorizontalOrganizationChart"/>
    <dgm:cxn modelId="{EA4B8BB8-19FE-45D1-87C5-A384847F60A1}" type="presParOf" srcId="{9A974ABD-54D9-407E-B6BD-B6781CC02B79}" destId="{B5147476-898F-4A46-BB6E-C9758CAF723E}" srcOrd="3" destOrd="0" presId="urn:microsoft.com/office/officeart/2009/3/layout/HorizontalOrganizationChart"/>
    <dgm:cxn modelId="{1CF1FD90-0C01-4BC0-9CDF-54EB91E2AF75}" type="presParOf" srcId="{B5147476-898F-4A46-BB6E-C9758CAF723E}" destId="{BF558445-3645-40A6-A616-4C6F4D5CA092}" srcOrd="0" destOrd="0" presId="urn:microsoft.com/office/officeart/2009/3/layout/HorizontalOrganizationChart"/>
    <dgm:cxn modelId="{32B722D0-BBFB-4CD2-8B69-59D54690F59C}" type="presParOf" srcId="{BF558445-3645-40A6-A616-4C6F4D5CA092}" destId="{092061F7-4544-4D96-AFC8-122E2A71D6A5}" srcOrd="0" destOrd="0" presId="urn:microsoft.com/office/officeart/2009/3/layout/HorizontalOrganizationChart"/>
    <dgm:cxn modelId="{B5CAB9D9-3852-457D-916E-B26BBFE6AEE9}" type="presParOf" srcId="{BF558445-3645-40A6-A616-4C6F4D5CA092}" destId="{8063F262-CF69-4126-9782-0C401439BD3C}" srcOrd="1" destOrd="0" presId="urn:microsoft.com/office/officeart/2009/3/layout/HorizontalOrganizationChart"/>
    <dgm:cxn modelId="{11684B3C-BBB8-41F4-8BE8-40CA99C5F39B}" type="presParOf" srcId="{B5147476-898F-4A46-BB6E-C9758CAF723E}" destId="{6F1F3303-8D4F-478A-AED0-8F57F1CF5E2B}" srcOrd="1" destOrd="0" presId="urn:microsoft.com/office/officeart/2009/3/layout/HorizontalOrganizationChart"/>
    <dgm:cxn modelId="{DED4C687-B488-4455-9B28-7AD22036FBAD}" type="presParOf" srcId="{B5147476-898F-4A46-BB6E-C9758CAF723E}" destId="{DE3415E8-45E4-48DD-AE81-C3F356C667AC}" srcOrd="2" destOrd="0" presId="urn:microsoft.com/office/officeart/2009/3/layout/HorizontalOrganizationChart"/>
    <dgm:cxn modelId="{15A4CEF9-E65A-4BFC-8E3E-EF9364AF23FA}" type="presParOf" srcId="{9A974ABD-54D9-407E-B6BD-B6781CC02B79}" destId="{96F2A1AA-D4B9-4D9F-A543-3E6A956A4F86}" srcOrd="4" destOrd="0" presId="urn:microsoft.com/office/officeart/2009/3/layout/HorizontalOrganizationChart"/>
    <dgm:cxn modelId="{E28EA031-3754-46C4-99AB-2B2D7C3D67F4}" type="presParOf" srcId="{9A974ABD-54D9-407E-B6BD-B6781CC02B79}" destId="{E9CF4B0E-F2AA-40DA-BF38-B4EC976E7E8B}" srcOrd="5" destOrd="0" presId="urn:microsoft.com/office/officeart/2009/3/layout/HorizontalOrganizationChart"/>
    <dgm:cxn modelId="{6B0F583A-7CF6-4FD5-8BC9-784FEE90F11C}" type="presParOf" srcId="{E9CF4B0E-F2AA-40DA-BF38-B4EC976E7E8B}" destId="{09C85F43-2A27-4157-8B1F-4B9A79182AF1}" srcOrd="0" destOrd="0" presId="urn:microsoft.com/office/officeart/2009/3/layout/HorizontalOrganizationChart"/>
    <dgm:cxn modelId="{78AE0355-3221-4439-8594-33E29E021662}" type="presParOf" srcId="{09C85F43-2A27-4157-8B1F-4B9A79182AF1}" destId="{F5B00D8B-B0A6-4801-A40F-20A2949885DE}" srcOrd="0" destOrd="0" presId="urn:microsoft.com/office/officeart/2009/3/layout/HorizontalOrganizationChart"/>
    <dgm:cxn modelId="{E7178CCB-DB90-46F5-A83B-7BDDB5190A9C}" type="presParOf" srcId="{09C85F43-2A27-4157-8B1F-4B9A79182AF1}" destId="{70613478-BB3E-4558-B261-5C31DF29BB12}" srcOrd="1" destOrd="0" presId="urn:microsoft.com/office/officeart/2009/3/layout/HorizontalOrganizationChart"/>
    <dgm:cxn modelId="{6D42990C-4C80-46CB-98A5-7764F83FF43A}" type="presParOf" srcId="{E9CF4B0E-F2AA-40DA-BF38-B4EC976E7E8B}" destId="{8E914E87-7BB5-4E29-90E6-BC80891F619F}" srcOrd="1" destOrd="0" presId="urn:microsoft.com/office/officeart/2009/3/layout/HorizontalOrganizationChart"/>
    <dgm:cxn modelId="{09B12FDE-B0CC-4055-B098-AB2F36C95AC2}" type="presParOf" srcId="{E9CF4B0E-F2AA-40DA-BF38-B4EC976E7E8B}" destId="{0F08785A-B22F-41CF-8FDC-F7CAB700DB59}" srcOrd="2" destOrd="0" presId="urn:microsoft.com/office/officeart/2009/3/layout/HorizontalOrganizationChart"/>
    <dgm:cxn modelId="{A1D6AB8D-99B6-48E2-89B1-0FA2400E683A}" type="presParOf" srcId="{9A974ABD-54D9-407E-B6BD-B6781CC02B79}" destId="{AEC8974D-9B19-4EF8-A397-9291A2F9D618}" srcOrd="6" destOrd="0" presId="urn:microsoft.com/office/officeart/2009/3/layout/HorizontalOrganizationChart"/>
    <dgm:cxn modelId="{5F0CF147-7355-466F-A3B4-CE9C118FF3B0}" type="presParOf" srcId="{9A974ABD-54D9-407E-B6BD-B6781CC02B79}" destId="{4EBCE6B6-79F8-4407-B888-0FBCD87DF40B}" srcOrd="7" destOrd="0" presId="urn:microsoft.com/office/officeart/2009/3/layout/HorizontalOrganizationChart"/>
    <dgm:cxn modelId="{D525B94A-2C5B-4A53-8153-93A84A99512B}" type="presParOf" srcId="{4EBCE6B6-79F8-4407-B888-0FBCD87DF40B}" destId="{BAFCDE6A-2880-4F06-A0E9-537EA76F3A93}" srcOrd="0" destOrd="0" presId="urn:microsoft.com/office/officeart/2009/3/layout/HorizontalOrganizationChart"/>
    <dgm:cxn modelId="{045E67EF-070F-479E-B4E5-EFB1B67B82F0}" type="presParOf" srcId="{BAFCDE6A-2880-4F06-A0E9-537EA76F3A93}" destId="{C1ED2C31-AD8D-4C17-BCC3-EA3B28F510BF}" srcOrd="0" destOrd="0" presId="urn:microsoft.com/office/officeart/2009/3/layout/HorizontalOrganizationChart"/>
    <dgm:cxn modelId="{88BEC781-2513-4923-8CEA-612BD28597C2}" type="presParOf" srcId="{BAFCDE6A-2880-4F06-A0E9-537EA76F3A93}" destId="{7461EE23-1A03-48E4-B92C-B048523E1607}" srcOrd="1" destOrd="0" presId="urn:microsoft.com/office/officeart/2009/3/layout/HorizontalOrganizationChart"/>
    <dgm:cxn modelId="{E6FE9257-F98F-4163-8335-B1CE35A0A289}" type="presParOf" srcId="{4EBCE6B6-79F8-4407-B888-0FBCD87DF40B}" destId="{A59B7EF6-8407-4A6C-A88C-0D5598AEE578}" srcOrd="1" destOrd="0" presId="urn:microsoft.com/office/officeart/2009/3/layout/HorizontalOrganizationChart"/>
    <dgm:cxn modelId="{9E5FEC27-3BCC-4820-A45C-A00B1EAF4396}" type="presParOf" srcId="{4EBCE6B6-79F8-4407-B888-0FBCD87DF40B}" destId="{84EEBEE4-D638-407F-954C-052885A7C086}" srcOrd="2" destOrd="0" presId="urn:microsoft.com/office/officeart/2009/3/layout/HorizontalOrganizationChart"/>
    <dgm:cxn modelId="{1E5CC17B-724C-4AEC-97A7-30A5A98AB92E}" type="presParOf" srcId="{5D205477-2939-4825-8870-B6605C975CAF}" destId="{918F5E8F-55F3-48AC-9CFF-CF3B6839A87C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C8974D-9B19-4EF8-A397-9291A2F9D618}">
      <dsp:nvSpPr>
        <dsp:cNvPr id="0" name=""/>
        <dsp:cNvSpPr/>
      </dsp:nvSpPr>
      <dsp:spPr>
        <a:xfrm>
          <a:off x="2570921" y="957262"/>
          <a:ext cx="239781" cy="7732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9890" y="0"/>
              </a:lnTo>
              <a:lnTo>
                <a:pt x="119890" y="773296"/>
              </a:lnTo>
              <a:lnTo>
                <a:pt x="239781" y="773296"/>
              </a:lnTo>
            </a:path>
          </a:pathLst>
        </a:custGeom>
        <a:noFill/>
        <a:ln w="254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F2A1AA-D4B9-4D9F-A543-3E6A956A4F86}">
      <dsp:nvSpPr>
        <dsp:cNvPr id="0" name=""/>
        <dsp:cNvSpPr/>
      </dsp:nvSpPr>
      <dsp:spPr>
        <a:xfrm>
          <a:off x="2570921" y="957262"/>
          <a:ext cx="239781" cy="2577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9890" y="0"/>
              </a:lnTo>
              <a:lnTo>
                <a:pt x="119890" y="257765"/>
              </a:lnTo>
              <a:lnTo>
                <a:pt x="239781" y="257765"/>
              </a:lnTo>
            </a:path>
          </a:pathLst>
        </a:custGeom>
        <a:noFill/>
        <a:ln w="254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9A31CD-FE25-4DF6-B37F-E9B03F51AC4A}">
      <dsp:nvSpPr>
        <dsp:cNvPr id="0" name=""/>
        <dsp:cNvSpPr/>
      </dsp:nvSpPr>
      <dsp:spPr>
        <a:xfrm>
          <a:off x="2570921" y="699496"/>
          <a:ext cx="239781" cy="257765"/>
        </a:xfrm>
        <a:custGeom>
          <a:avLst/>
          <a:gdLst/>
          <a:ahLst/>
          <a:cxnLst/>
          <a:rect l="0" t="0" r="0" b="0"/>
          <a:pathLst>
            <a:path>
              <a:moveTo>
                <a:pt x="0" y="257765"/>
              </a:moveTo>
              <a:lnTo>
                <a:pt x="119890" y="257765"/>
              </a:lnTo>
              <a:lnTo>
                <a:pt x="119890" y="0"/>
              </a:lnTo>
              <a:lnTo>
                <a:pt x="239781" y="0"/>
              </a:lnTo>
            </a:path>
          </a:pathLst>
        </a:custGeom>
        <a:noFill/>
        <a:ln w="254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F4B41B-8F5C-4A5E-8883-03C12FE402EF}">
      <dsp:nvSpPr>
        <dsp:cNvPr id="0" name=""/>
        <dsp:cNvSpPr/>
      </dsp:nvSpPr>
      <dsp:spPr>
        <a:xfrm>
          <a:off x="2570921" y="183965"/>
          <a:ext cx="239781" cy="773296"/>
        </a:xfrm>
        <a:custGeom>
          <a:avLst/>
          <a:gdLst/>
          <a:ahLst/>
          <a:cxnLst/>
          <a:rect l="0" t="0" r="0" b="0"/>
          <a:pathLst>
            <a:path>
              <a:moveTo>
                <a:pt x="0" y="773296"/>
              </a:moveTo>
              <a:lnTo>
                <a:pt x="119890" y="773296"/>
              </a:lnTo>
              <a:lnTo>
                <a:pt x="119890" y="0"/>
              </a:lnTo>
              <a:lnTo>
                <a:pt x="239781" y="0"/>
              </a:lnTo>
            </a:path>
          </a:pathLst>
        </a:custGeom>
        <a:noFill/>
        <a:ln w="254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D8D7DF-A57E-4C29-839C-001A49E6151D}">
      <dsp:nvSpPr>
        <dsp:cNvPr id="0" name=""/>
        <dsp:cNvSpPr/>
      </dsp:nvSpPr>
      <dsp:spPr>
        <a:xfrm rot="16200000">
          <a:off x="1372012" y="385040"/>
          <a:ext cx="1198909" cy="1144443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Социальная защита </a:t>
          </a:r>
        </a:p>
      </dsp:txBody>
      <dsp:txXfrm>
        <a:off x="1372012" y="385040"/>
        <a:ext cx="1198909" cy="1144443"/>
      </dsp:txXfrm>
    </dsp:sp>
    <dsp:sp modelId="{3E4F5720-1466-4345-8A35-9C10E4E8D0E4}">
      <dsp:nvSpPr>
        <dsp:cNvPr id="0" name=""/>
        <dsp:cNvSpPr/>
      </dsp:nvSpPr>
      <dsp:spPr>
        <a:xfrm>
          <a:off x="2810703" y="1132"/>
          <a:ext cx="1198909" cy="365667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Социальное обеспечение </a:t>
          </a:r>
        </a:p>
      </dsp:txBody>
      <dsp:txXfrm>
        <a:off x="2810703" y="1132"/>
        <a:ext cx="1198909" cy="365667"/>
      </dsp:txXfrm>
    </dsp:sp>
    <dsp:sp modelId="{092061F7-4544-4D96-AFC8-122E2A71D6A5}">
      <dsp:nvSpPr>
        <dsp:cNvPr id="0" name=""/>
        <dsp:cNvSpPr/>
      </dsp:nvSpPr>
      <dsp:spPr>
        <a:xfrm>
          <a:off x="2810703" y="516663"/>
          <a:ext cx="1198909" cy="365667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Социальные гарантии</a:t>
          </a:r>
        </a:p>
      </dsp:txBody>
      <dsp:txXfrm>
        <a:off x="2810703" y="516663"/>
        <a:ext cx="1198909" cy="365667"/>
      </dsp:txXfrm>
    </dsp:sp>
    <dsp:sp modelId="{F5B00D8B-B0A6-4801-A40F-20A2949885DE}">
      <dsp:nvSpPr>
        <dsp:cNvPr id="0" name=""/>
        <dsp:cNvSpPr/>
      </dsp:nvSpPr>
      <dsp:spPr>
        <a:xfrm>
          <a:off x="2810703" y="1032194"/>
          <a:ext cx="1198909" cy="365667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Социальное страхование</a:t>
          </a:r>
        </a:p>
      </dsp:txBody>
      <dsp:txXfrm>
        <a:off x="2810703" y="1032194"/>
        <a:ext cx="1198909" cy="365667"/>
      </dsp:txXfrm>
    </dsp:sp>
    <dsp:sp modelId="{C1ED2C31-AD8D-4C17-BCC3-EA3B28F510BF}">
      <dsp:nvSpPr>
        <dsp:cNvPr id="0" name=""/>
        <dsp:cNvSpPr/>
      </dsp:nvSpPr>
      <dsp:spPr>
        <a:xfrm>
          <a:off x="2810703" y="1547725"/>
          <a:ext cx="1198909" cy="365667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Социальная поддержка</a:t>
          </a:r>
          <a:endParaRPr lang="ru-RU" sz="1200" kern="120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2810703" y="1547725"/>
        <a:ext cx="1198909" cy="36566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1CE72-3559-48E1-95CC-3A95C4542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9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Екатерина Витальевна Мудракова</cp:lastModifiedBy>
  <cp:revision>8</cp:revision>
  <cp:lastPrinted>2018-12-21T17:55:00Z</cp:lastPrinted>
  <dcterms:created xsi:type="dcterms:W3CDTF">2020-09-15T10:51:00Z</dcterms:created>
  <dcterms:modified xsi:type="dcterms:W3CDTF">2020-09-29T07:33:00Z</dcterms:modified>
</cp:coreProperties>
</file>