
<file path=[Content_Types].xml><?xml version="1.0" encoding="utf-8"?>
<Types xmlns="http://schemas.openxmlformats.org/package/2006/content-types">
  <Default ContentType="application/vnd.ms-excel.sheet.macroEnabled.12" Extension="xlsm"/>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drawingml.chart+xml" PartName="/word/charts/chart1.xml"/>
  <Override ContentType="application/vnd.openxmlformats-officedocument.drawingml.chart+xml" PartName="/word/charts/chart2.xml"/>
  <Override ContentType="application/vnd.openxmlformats-officedocument.drawingml.chart+xml" PartName="/word/charts/chart3.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36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r>
      <w:r w:rsidDel="00000000" w:rsidR="00000000" w:rsidRPr="00000000">
        <w:rPr>
          <w:rFonts w:ascii="Times New Roman" w:cs="Times New Roman" w:eastAsia="Times New Roman" w:hAnsi="Times New Roman"/>
          <w:b w:val="1"/>
          <w:sz w:val="28"/>
          <w:szCs w:val="28"/>
          <w:rtl w:val="0"/>
        </w:rPr>
        <w:t xml:space="preserve">УДК 371</w:t>
      </w:r>
    </w:p>
    <w:p w:rsidR="00000000" w:rsidDel="00000000" w:rsidP="00000000" w:rsidRDefault="00000000" w:rsidRPr="00000000" w14:paraId="00000001">
      <w:pPr>
        <w:spacing w:after="0" w:line="360" w:lineRule="auto"/>
        <w:contextualSpacing w:val="0"/>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Соболь Анна Вячеславовна </w:t>
      </w:r>
    </w:p>
    <w:p w:rsidR="00000000" w:rsidDel="00000000" w:rsidP="00000000" w:rsidRDefault="00000000" w:rsidRPr="00000000" w14:paraId="00000002">
      <w:pPr>
        <w:spacing w:after="0" w:line="360" w:lineRule="auto"/>
        <w:contextualSpacing w:val="0"/>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 Благовещенский государственный педагогический университет </w:t>
      </w:r>
    </w:p>
    <w:p w:rsidR="00000000" w:rsidDel="00000000" w:rsidP="00000000" w:rsidRDefault="00000000" w:rsidRPr="00000000" w14:paraId="00000003">
      <w:pPr>
        <w:spacing w:after="0" w:line="360" w:lineRule="auto"/>
        <w:contextualSpacing w:val="0"/>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 Благовещенск</w:t>
      </w:r>
    </w:p>
    <w:p w:rsidR="00000000" w:rsidDel="00000000" w:rsidP="00000000" w:rsidRDefault="00000000" w:rsidRPr="00000000" w14:paraId="00000004">
      <w:pPr>
        <w:spacing w:after="0" w:line="360" w:lineRule="auto"/>
        <w:contextualSpacing w:val="0"/>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Sable Annа V</w:t>
      </w:r>
    </w:p>
    <w:p w:rsidR="00000000" w:rsidDel="00000000" w:rsidP="00000000" w:rsidRDefault="00000000" w:rsidRPr="00000000" w14:paraId="00000005">
      <w:pPr>
        <w:spacing w:after="0" w:line="360" w:lineRule="auto"/>
        <w:contextualSpacing w:val="0"/>
        <w:jc w:val="right"/>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undergraduate, Blagoveschensk State Pedagogical University</w:t>
      </w:r>
    </w:p>
    <w:p w:rsidR="00000000" w:rsidDel="00000000" w:rsidP="00000000" w:rsidRDefault="00000000" w:rsidRPr="00000000" w14:paraId="00000006">
      <w:pPr>
        <w:spacing w:after="0" w:line="360" w:lineRule="auto"/>
        <w:contextualSpacing w:val="0"/>
        <w:jc w:val="right"/>
        <w:rPr>
          <w:rFonts w:ascii="Times New Roman" w:cs="Times New Roman" w:eastAsia="Times New Roman" w:hAnsi="Times New Roman"/>
          <w:sz w:val="28"/>
          <w:szCs w:val="28"/>
        </w:rPr>
      </w:pPr>
      <w:hyperlink r:id="rId6">
        <w:r w:rsidDel="00000000" w:rsidR="00000000" w:rsidRPr="00000000">
          <w:rPr>
            <w:rFonts w:ascii="Times New Roman" w:cs="Times New Roman" w:eastAsia="Times New Roman" w:hAnsi="Times New Roman"/>
            <w:color w:val="1155cc"/>
            <w:sz w:val="28"/>
            <w:szCs w:val="28"/>
            <w:u w:val="single"/>
            <w:rtl w:val="0"/>
          </w:rPr>
          <w:t xml:space="preserve">sobolanna1995@mail.ru</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7">
      <w:pPr>
        <w:spacing w:after="0" w:line="360" w:lineRule="auto"/>
        <w:contextualSpacing w:val="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36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Уроки литературного чтения как средство эстетического воспитания младших школьников</w:t>
      </w:r>
    </w:p>
    <w:p w:rsidR="00000000" w:rsidDel="00000000" w:rsidP="00000000" w:rsidRDefault="00000000" w:rsidRPr="00000000" w14:paraId="00000009">
      <w:pPr>
        <w:spacing w:after="0" w:line="36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Literary reading lessons as a means of aesthetic education of primary school children</w:t>
      </w:r>
    </w:p>
    <w:p w:rsidR="00000000" w:rsidDel="00000000" w:rsidP="00000000" w:rsidRDefault="00000000" w:rsidRPr="00000000" w14:paraId="0000000A">
      <w:pPr>
        <w:spacing w:after="0" w:line="360" w:lineRule="auto"/>
        <w:contextualSpacing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Аннотация.</w:t>
      </w:r>
      <w:r w:rsidDel="00000000" w:rsidR="00000000" w:rsidRPr="00000000">
        <w:rPr>
          <w:rFonts w:ascii="Times New Roman" w:cs="Times New Roman" w:eastAsia="Times New Roman" w:hAnsi="Times New Roman"/>
          <w:sz w:val="28"/>
          <w:szCs w:val="28"/>
          <w:rtl w:val="0"/>
        </w:rPr>
        <w:t xml:space="preserve"> В статье представлены результаты экспериментальной работы эстетическому воспитанию младших школьников на уроках литературного чтения. В итоге доказано, что эстетическое воспитание младших школьников на уроках литературного чтения будет эффективным, если использовать приёмы и упражнения, в основе которых лежит работа по изучению и использованию выразительных средств языка; вводить в уроки литературного чтения различные виды сочинения, предполагающие эстетическую деятельность младших школьников.</w:t>
      </w:r>
    </w:p>
    <w:p w:rsidR="00000000" w:rsidDel="00000000" w:rsidP="00000000" w:rsidRDefault="00000000" w:rsidRPr="00000000" w14:paraId="0000000C">
      <w:pPr>
        <w:spacing w:after="0" w:line="360" w:lineRule="auto"/>
        <w:ind w:firstLine="708"/>
        <w:contextualSpacing w:val="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Abstract. </w:t>
      </w:r>
      <w:r w:rsidDel="00000000" w:rsidR="00000000" w:rsidRPr="00000000">
        <w:rPr>
          <w:rFonts w:ascii="Times New Roman" w:cs="Times New Roman" w:eastAsia="Times New Roman" w:hAnsi="Times New Roman"/>
          <w:sz w:val="28"/>
          <w:szCs w:val="28"/>
          <w:rtl w:val="0"/>
        </w:rPr>
        <w:t xml:space="preserve">The article presents the results of experimental work on aesthetic education of primary school children at the lessons of literary reading. As a result, it is proved that the aesthetic education of younger students at the lessons of literary reading will be effective if you use techniques and exercises that are based on the work on the study and use of expressive means of language by younger students; to introduce various types of essays into the lessons of literary reading that involve the aesthetic activity of younger students.</w:t>
      </w:r>
      <w:r w:rsidDel="00000000" w:rsidR="00000000" w:rsidRPr="00000000">
        <w:rPr>
          <w:rtl w:val="0"/>
        </w:rPr>
      </w:r>
    </w:p>
    <w:p w:rsidR="00000000" w:rsidDel="00000000" w:rsidP="00000000" w:rsidRDefault="00000000" w:rsidRPr="00000000" w14:paraId="0000000D">
      <w:pPr>
        <w:spacing w:after="0" w:line="360" w:lineRule="auto"/>
        <w:ind w:firstLine="708"/>
        <w:contextualSpacing w:val="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E">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Ключевые слова:</w:t>
      </w:r>
      <w:r w:rsidDel="00000000" w:rsidR="00000000" w:rsidRPr="00000000">
        <w:rPr>
          <w:rFonts w:ascii="Times New Roman" w:cs="Times New Roman" w:eastAsia="Times New Roman" w:hAnsi="Times New Roman"/>
          <w:sz w:val="28"/>
          <w:szCs w:val="28"/>
          <w:rtl w:val="0"/>
        </w:rPr>
        <w:t xml:space="preserve"> образование, эстетическое воспитание, литературное чтение, эксперимент, младшие школьники.</w:t>
      </w:r>
    </w:p>
    <w:p w:rsidR="00000000" w:rsidDel="00000000" w:rsidP="00000000" w:rsidRDefault="00000000" w:rsidRPr="00000000" w14:paraId="0000000F">
      <w:pPr>
        <w:spacing w:after="0" w:line="360" w:lineRule="auto"/>
        <w:ind w:firstLine="708"/>
        <w:contextualSpacing w:val="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Keywords: </w:t>
      </w:r>
      <w:r w:rsidDel="00000000" w:rsidR="00000000" w:rsidRPr="00000000">
        <w:rPr>
          <w:rFonts w:ascii="Times New Roman" w:cs="Times New Roman" w:eastAsia="Times New Roman" w:hAnsi="Times New Roman"/>
          <w:sz w:val="28"/>
          <w:szCs w:val="28"/>
          <w:rtl w:val="0"/>
        </w:rPr>
        <w:t xml:space="preserve">education, aesthetic education, literary reading, experiment, primary school children.</w:t>
      </w:r>
      <w:r w:rsidDel="00000000" w:rsidR="00000000" w:rsidRPr="00000000">
        <w:rPr>
          <w:rtl w:val="0"/>
        </w:rPr>
      </w:r>
    </w:p>
    <w:p w:rsidR="00000000" w:rsidDel="00000000" w:rsidP="00000000" w:rsidRDefault="00000000" w:rsidRPr="00000000" w14:paraId="00000010">
      <w:pPr>
        <w:spacing w:after="0" w:line="360" w:lineRule="auto"/>
        <w:ind w:firstLine="708"/>
        <w:contextualSpacing w:val="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pacing w:after="0" w:line="36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ab/>
        <w:t xml:space="preserve">Введение</w:t>
      </w:r>
    </w:p>
    <w:p w:rsidR="00000000" w:rsidDel="00000000" w:rsidP="00000000" w:rsidRDefault="00000000" w:rsidRPr="00000000" w14:paraId="00000012">
      <w:pPr>
        <w:spacing w:after="0" w:line="360" w:lineRule="auto"/>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ab/>
        <w:t xml:space="preserve">Особую актуальность эстетическое воспитание молодого поколения приобретает на начальном этапе школьного детства, так как именно в это время у ребенка наиболее интенсивно формируется эстетическое отношение к миру, которое постепенно трансформируется в эстетические свойства личности. Кроме этого, эстетическое воспитание младших школьников является одним из важнейших требований, которое отражено в ФГОС НОО. Однако как показывает педагогическая практика, наблюдается противоречие между значимостью проблемы эстетического воспитания и реализацией на практике эффективных методов, приемов и форм работы эстетического воспитания младших школьников. Таким образом, актуальность исследования определяется: </w:t>
      </w:r>
      <w:r w:rsidDel="00000000" w:rsidR="00000000" w:rsidRPr="00000000">
        <w:rPr>
          <w:rFonts w:ascii="Times New Roman" w:cs="Times New Roman" w:eastAsia="Times New Roman" w:hAnsi="Times New Roman"/>
          <w:color w:val="000000"/>
          <w:sz w:val="28"/>
          <w:szCs w:val="28"/>
          <w:highlight w:val="white"/>
          <w:rtl w:val="0"/>
        </w:rPr>
        <w:t xml:space="preserve">потребностью практики в эстетическом воспитании младших школьников;</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противоречием требований к эстетическому воспитанию младших школьников и недостаточностью путей и средств эстетического воспитания младших школьников, используеых на уроках литературного чтения.</w:t>
      </w:r>
    </w:p>
    <w:p w:rsidR="00000000" w:rsidDel="00000000" w:rsidP="00000000" w:rsidRDefault="00000000" w:rsidRPr="00000000" w14:paraId="00000013">
      <w:pPr>
        <w:spacing w:after="0" w:line="360" w:lineRule="auto"/>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014">
      <w:pPr>
        <w:spacing w:after="0" w:line="360" w:lineRule="auto"/>
        <w:contextualSpacing w:val="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color w:val="000000"/>
          <w:sz w:val="28"/>
          <w:szCs w:val="28"/>
          <w:rtl w:val="0"/>
        </w:rPr>
        <w:t xml:space="preserve">Основная часть</w:t>
      </w:r>
    </w:p>
    <w:p w:rsidR="00000000" w:rsidDel="00000000" w:rsidP="00000000" w:rsidRDefault="00000000" w:rsidRPr="00000000" w14:paraId="00000015">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В ходе исследования была поставлена цель:</w:t>
      </w:r>
      <w:r w:rsidDel="00000000" w:rsidR="00000000" w:rsidRPr="00000000">
        <w:rPr>
          <w:rFonts w:ascii="Times New Roman" w:cs="Times New Roman" w:eastAsia="Times New Roman" w:hAnsi="Times New Roman"/>
          <w:sz w:val="28"/>
          <w:szCs w:val="28"/>
          <w:rtl w:val="0"/>
        </w:rPr>
        <w:t xml:space="preserve"> выявить педагогические условия, при которых урок литературного чтения станет эффективным средством эстетического воспитания младших школьников.</w:t>
      </w:r>
    </w:p>
    <w:p w:rsidR="00000000" w:rsidDel="00000000" w:rsidP="00000000" w:rsidRDefault="00000000" w:rsidRPr="00000000" w14:paraId="00000016">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качестве гипотезы исследования было выдвинуто предположение, что эстетическое воспитание младших школьников на уроках литературного чтения будет эффективным, если:</w:t>
      </w:r>
    </w:p>
    <w:p w:rsidR="00000000" w:rsidDel="00000000" w:rsidP="00000000" w:rsidRDefault="00000000" w:rsidRPr="00000000" w14:paraId="00000017">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использовать приёмы и упражнения, в основе которых лежит работа по изучению и использованию младшими школьниками выразительных средств языка;</w:t>
      </w:r>
    </w:p>
    <w:p w:rsidR="00000000" w:rsidDel="00000000" w:rsidP="00000000" w:rsidRDefault="00000000" w:rsidRPr="00000000" w14:paraId="00000018">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вводить в уроки литературного чтения различные виды сочинения (сочинение-рассуждение, сочинение-письмо, сочинение-реклама), предполагающие эстетическую деятельность младших школьников.</w:t>
      </w:r>
    </w:p>
    <w:p w:rsidR="00000000" w:rsidDel="00000000" w:rsidP="00000000" w:rsidRDefault="00000000" w:rsidRPr="00000000" w14:paraId="00000019">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Экспериментальная работа по эстетическому воспитанию младших школьников на уроках литературного чтения проводилась нами на базе МОАУ СОШ № 1 г. Свободного и включала 3 этапа:</w:t>
      </w:r>
    </w:p>
    <w:p w:rsidR="00000000" w:rsidDel="00000000" w:rsidP="00000000" w:rsidRDefault="00000000" w:rsidRPr="00000000" w14:paraId="0000001A">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1. Констатирующий (02.09.2019 – 30.09.2019) – включал диагностику у учащихся начального уровня эстетической воспитанности.</w:t>
      </w:r>
    </w:p>
    <w:p w:rsidR="00000000" w:rsidDel="00000000" w:rsidP="00000000" w:rsidRDefault="00000000" w:rsidRPr="00000000" w14:paraId="0000001B">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2. Формирующий (01.10.2019 – 30.04.2020) – включал апробацию на практике условий гипотезы исследования. </w:t>
      </w:r>
    </w:p>
    <w:p w:rsidR="00000000" w:rsidDel="00000000" w:rsidP="00000000" w:rsidRDefault="00000000" w:rsidRPr="00000000" w14:paraId="0000001C">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3. Контрольный (01.05.2020 – 25.05.2020) – включал проведение повторного диагностического среза уровня эстетической воспитанности у младших школьников.</w:t>
      </w:r>
    </w:p>
    <w:p w:rsidR="00000000" w:rsidDel="00000000" w:rsidP="00000000" w:rsidRDefault="00000000" w:rsidRPr="00000000" w14:paraId="0000001D">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Для проведения экспериментальной работы был выбран эксперимен-тальный 4 класс, в количестве 16 человек, а также, контрольный 4 класс, в количестве 17 человек.</w:t>
      </w:r>
    </w:p>
    <w:p w:rsidR="00000000" w:rsidDel="00000000" w:rsidP="00000000" w:rsidRDefault="00000000" w:rsidRPr="00000000" w14:paraId="0000001E">
      <w:pPr>
        <w:spacing w:after="0" w:line="360" w:lineRule="auto"/>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Диагностика уровня эстетической воспитанности у младших школьников осуществлялась нами на основе критериев (</w:t>
      </w:r>
      <w:r w:rsidDel="00000000" w:rsidR="00000000" w:rsidRPr="00000000">
        <w:rPr>
          <w:rFonts w:ascii="Times New Roman" w:cs="Times New Roman" w:eastAsia="Times New Roman" w:hAnsi="Times New Roman"/>
          <w:sz w:val="28"/>
          <w:szCs w:val="28"/>
          <w:rtl w:val="0"/>
        </w:rPr>
        <w:t xml:space="preserve">Ю.С. Любимова</w:t>
      </w:r>
      <w:r w:rsidDel="00000000" w:rsidR="00000000" w:rsidRPr="00000000">
        <w:rPr>
          <w:rFonts w:ascii="Times New Roman" w:cs="Times New Roman" w:eastAsia="Times New Roman" w:hAnsi="Times New Roman"/>
          <w:color w:val="000000"/>
          <w:sz w:val="28"/>
          <w:szCs w:val="28"/>
          <w:rtl w:val="0"/>
        </w:rPr>
        <w:t xml:space="preserve">) [1]:</w:t>
      </w:r>
    </w:p>
    <w:p w:rsidR="00000000" w:rsidDel="00000000" w:rsidP="00000000" w:rsidRDefault="00000000" w:rsidRPr="00000000" w14:paraId="0000001F">
      <w:pPr>
        <w:spacing w:after="0" w:line="360" w:lineRule="auto"/>
        <w:ind w:firstLine="709"/>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Когнитивный – наличие представлений об эстетически значимых предметах и явлениях; осознанное разделение прекрасного и безобразного с учетом их существенных особенностей, отражающих эстетические характеристики; понимание и осознание изобразительных средств (в частности, в литературной деятельности).</w:t>
      </w:r>
    </w:p>
    <w:p w:rsidR="00000000" w:rsidDel="00000000" w:rsidP="00000000" w:rsidRDefault="00000000" w:rsidRPr="00000000" w14:paraId="00000020">
      <w:pPr>
        <w:spacing w:after="0" w:line="360" w:lineRule="auto"/>
        <w:ind w:firstLine="709"/>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Эмоционально-побудительный – интерес к мировому искусству; потребность во взаимодействии с прекрасным; эмоционально-эстетическая отзывчивость (отклик на эстетические проявления действительности и искусства: радость, удивление, отвращение и др.); чувство прекрасного.</w:t>
      </w:r>
    </w:p>
    <w:p w:rsidR="00000000" w:rsidDel="00000000" w:rsidP="00000000" w:rsidRDefault="00000000" w:rsidRPr="00000000" w14:paraId="00000021">
      <w:pPr>
        <w:spacing w:after="0" w:line="360" w:lineRule="auto"/>
        <w:ind w:firstLine="709"/>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Деятельностный (креативный) – осуществление эстетико-предметной деятельности по внесению красоты в жизнь, отношения с людьми; наличие навыков эстетико-предметной деятельности (в частности, в литературной деятельности); умение использовать средства художественной выразительности; проявление эстетических ценностных ориентаций в творческой деятельности и поведении.</w:t>
      </w:r>
    </w:p>
    <w:p w:rsidR="00000000" w:rsidDel="00000000" w:rsidP="00000000" w:rsidRDefault="00000000" w:rsidRPr="00000000" w14:paraId="00000022">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Диагностика уровня эстетической воспитанности у младших школьников осуществлялась нами посредством использования следующих методик:</w:t>
      </w:r>
    </w:p>
    <w:p w:rsidR="00000000" w:rsidDel="00000000" w:rsidP="00000000" w:rsidRDefault="00000000" w:rsidRPr="00000000" w14:paraId="00000023">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«Диагностика сформированности эстетических представлений и предпочтений», автор А.В. Тутолмин.</w:t>
      </w:r>
    </w:p>
    <w:p w:rsidR="00000000" w:rsidDel="00000000" w:rsidP="00000000" w:rsidRDefault="00000000" w:rsidRPr="00000000" w14:paraId="00000024">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«Ранжирование», автор А.Г. Шмелёв.</w:t>
      </w:r>
    </w:p>
    <w:p w:rsidR="00000000" w:rsidDel="00000000" w:rsidP="00000000" w:rsidRDefault="00000000" w:rsidRPr="00000000" w14:paraId="00000025">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«Понимание и использование выразительных средств в литературной деятельности» (по картине «Грачи прилетели» А. Саврасова).</w:t>
      </w:r>
    </w:p>
    <w:p w:rsidR="00000000" w:rsidDel="00000000" w:rsidP="00000000" w:rsidRDefault="00000000" w:rsidRPr="00000000" w14:paraId="00000026">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На начало экспериментальной работы, учащиеся, как экспериментального, так и контрольного классов, продемонстрировали преимущественно низкий уровень эстетической воспитанности (рисунок 1)</w:t>
      </w:r>
    </w:p>
    <w:p w:rsidR="00000000" w:rsidDel="00000000" w:rsidP="00000000" w:rsidRDefault="00000000" w:rsidRPr="00000000" w14:paraId="00000027">
      <w:pPr>
        <w:spacing w:after="0" w:line="360" w:lineRule="auto"/>
        <w:contextualSpacing w:val="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360" w:lineRule="auto"/>
        <w:ind w:firstLine="142"/>
        <w:contextualSpacing w:val="0"/>
        <w:jc w:val="both"/>
        <w:rPr>
          <w:rFonts w:ascii="Times New Roman" w:cs="Times New Roman" w:eastAsia="Times New Roman" w:hAnsi="Times New Roman"/>
          <w:sz w:val="28"/>
          <w:szCs w:val="28"/>
        </w:rPr>
      </w:pPr>
      <w:r w:rsidDel="00000000" w:rsidR="00000000" w:rsidRPr="00000000">
        <w:rPr/>
        <w:drawing>
          <wp:inline distB="0" distT="0" distL="0" distR="0">
            <wp:extent cx="5734685" cy="3213735"/>
            <wp:effectExtent b="5715" l="0" r="0" t="0"/>
            <wp:docPr id="13" name=""/>
            <a:graphic>
              <a:graphicData uri="http://schemas.openxmlformats.org/drawingml/2006/chart">
                <c:chart r:id="rId7"/>
              </a:graphicData>
            </a:graphic>
          </wp:inline>
        </w:drawing>
      </w:r>
      <w:r w:rsidDel="00000000" w:rsidR="00000000" w:rsidRPr="00000000">
        <w:rPr>
          <w:rtl w:val="0"/>
        </w:rPr>
      </w:r>
    </w:p>
    <w:p w:rsidR="00000000" w:rsidDel="00000000" w:rsidP="00000000" w:rsidRDefault="00000000" w:rsidRPr="00000000" w14:paraId="00000029">
      <w:pPr>
        <w:spacing w:after="0" w:line="360" w:lineRule="auto"/>
        <w:contextualSpacing w:val="0"/>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Рисунок 1 – Уровень эстетической воспитанности младших школьников на констатирующем этапе экспериментальной работы</w:t>
      </w:r>
    </w:p>
    <w:p w:rsidR="00000000" w:rsidDel="00000000" w:rsidP="00000000" w:rsidRDefault="00000000" w:rsidRPr="00000000" w14:paraId="0000002A">
      <w:pPr>
        <w:spacing w:after="0" w:line="360" w:lineRule="auto"/>
        <w:contextualSpacing w:val="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spacing w:after="0" w:line="360" w:lineRule="auto"/>
        <w:ind w:firstLine="709"/>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Были сделаны выводы, что у данных учащихся отсутствуют эстетические представления и потребности, недостаточно развита способность судить о прекрасном и безобразном в жизни и искусстве; не проявляют непроизвольную эмоциональную реакцию при восприятии эстетического в жизни, искусстве (радость, восторг, умиление, негодование, чувство потрясения); не проявляет устойчивость увлечений и эстетических интересов; не </w:t>
      </w:r>
      <w:r w:rsidDel="00000000" w:rsidR="00000000" w:rsidRPr="00000000">
        <w:rPr>
          <w:rFonts w:ascii="Times New Roman" w:cs="Times New Roman" w:eastAsia="Times New Roman" w:hAnsi="Times New Roman"/>
          <w:color w:val="000000"/>
          <w:sz w:val="28"/>
          <w:szCs w:val="28"/>
          <w:rtl w:val="0"/>
        </w:rPr>
        <w:t xml:space="preserve">осуществляют эстетико-предметную деятельность по внесению красоты в жизнь, отношения с людьми; навыки эстетико-предметной деятельности отсутствуют; не проявляют эстетические ценностные ориентации в творческой деятельности и поведении.</w:t>
      </w:r>
      <w:r w:rsidDel="00000000" w:rsidR="00000000" w:rsidRPr="00000000">
        <w:rPr>
          <w:rtl w:val="0"/>
        </w:rPr>
      </w:r>
    </w:p>
    <w:p w:rsidR="00000000" w:rsidDel="00000000" w:rsidP="00000000" w:rsidRDefault="00000000" w:rsidRPr="00000000" w14:paraId="0000002C">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На формирующем этапе экспериментальной работы осуществлялась апробация условий гипотезы.</w:t>
      </w:r>
    </w:p>
    <w:p w:rsidR="00000000" w:rsidDel="00000000" w:rsidP="00000000" w:rsidRDefault="00000000" w:rsidRPr="00000000" w14:paraId="0000002D">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Согласно первому условию гипотезы, педагогом использовались приёмы, в основе которых лежит работа младших школьников с выразительными средствами языка (подбор эпитетов, «вставь эпитет», прием обнаружения в тексте «образных» слов, словесное иллюстрирование, отработка интонации. В первую очередь, учитывалось, что учащиеся должны быть знакомы с основными выразительными средствами, в связи с чем, в течении нескольких уроков литературного чтения, учащиеся, вместе с учителем вспомнили такие выразительные средства языка, как: метафора, эпитет, сравнение, олицетворение, гипербола. После углубления и расширения знаний об основных выразительных средствах языка, с учащимися был проведен стилистический анализ произведений с помощью различных приемов, в основе которых лежит использование выразительных средств языка в литературной деятельности (выделение выразительных средств и осознания их роли, стилистический эксперимент. </w:t>
      </w:r>
    </w:p>
    <w:p w:rsidR="00000000" w:rsidDel="00000000" w:rsidP="00000000" w:rsidRDefault="00000000" w:rsidRPr="00000000" w14:paraId="0000002E">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Реализуя второе условие гипотезы, младшие школьники вовлекались в эстетическую деятельность посредством написания различных видов сочинений: сочинение-описание, сочинение-письмо, сочинение-реклама. В процессе данной работы были проделаны действия педагога: написание на доске опорных слов, помощь в написании, работа над ошибками, обсуждение сочинений, выполненных учащимися.</w:t>
      </w:r>
    </w:p>
    <w:p w:rsidR="00000000" w:rsidDel="00000000" w:rsidP="00000000" w:rsidRDefault="00000000" w:rsidRPr="00000000" w14:paraId="0000002F">
      <w:pPr>
        <w:spacing w:after="0"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Приведем фрагменты некоторых сочинений, написанных испытуемыми. </w:t>
      </w:r>
    </w:p>
    <w:p w:rsidR="00000000" w:rsidDel="00000000" w:rsidP="00000000" w:rsidRDefault="00000000" w:rsidRPr="00000000" w14:paraId="00000030">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Фрагмент сочинения-письма по картине «Зима» (И.И. Шишкин), написанного Димой А.: «Мой дорогой друг, я нахожусь в чудесном месте. Передо мной стволы могучих деревьев. Веточки этих деревьев в снегу, который падает на меня из-за легкого ветерка. Солнышко вот-вот сядет, но я не боюсь, ведь красота затмила весь мой страх. Приходи ко мне и раздели эту красоту со мной».</w:t>
      </w:r>
    </w:p>
    <w:p w:rsidR="00000000" w:rsidDel="00000000" w:rsidP="00000000" w:rsidRDefault="00000000" w:rsidRPr="00000000" w14:paraId="00000031">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Фрагмент сочинения-рекламы по картине «Лоси» (А.С. Степанов), написанного Олей А.: «Уважаемый покупатель, перед Вами картина замечательно Алексея Степанова – «Лоси». Картина точно подойдёт для Вашего дома, ведь она прекрасно будет сочетаться с Вашим интерьером. Вы только посмотрите на эту красоту! Какое небо, какие лоси, какой снег…Пусть Вас не пугает зима на картине, ведь когда Вы на неё будете смотреть, вы будете чувствовать всю красоту замечательной зимы».</w:t>
      </w:r>
    </w:p>
    <w:p w:rsidR="00000000" w:rsidDel="00000000" w:rsidP="00000000" w:rsidRDefault="00000000" w:rsidRPr="00000000" w14:paraId="00000032">
      <w:pPr>
        <w:spacing w:after="0" w:line="360" w:lineRule="auto"/>
        <w:ind w:firstLine="709"/>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контрольном этапе экспериментальной работы осуществлялось </w:t>
      </w:r>
      <w:r w:rsidDel="00000000" w:rsidR="00000000" w:rsidRPr="00000000">
        <w:rPr>
          <w:rFonts w:ascii="Times New Roman" w:cs="Times New Roman" w:eastAsia="Times New Roman" w:hAnsi="Times New Roman"/>
          <w:color w:val="000000"/>
          <w:sz w:val="28"/>
          <w:szCs w:val="28"/>
          <w:rtl w:val="0"/>
        </w:rPr>
        <w:t xml:space="preserve">проведение итоговой диагностики уровня эстетической воспитанности младших школьников, а также сравнение динамики.  Диагностика </w:t>
      </w:r>
      <w:r w:rsidDel="00000000" w:rsidR="00000000" w:rsidRPr="00000000">
        <w:rPr>
          <w:rFonts w:ascii="Times New Roman" w:cs="Times New Roman" w:eastAsia="Times New Roman" w:hAnsi="Times New Roman"/>
          <w:sz w:val="28"/>
          <w:szCs w:val="28"/>
          <w:rtl w:val="0"/>
        </w:rPr>
        <w:t xml:space="preserve">осуществлялась с помощью тех же методик. Динамика представлена на рисунке 2, на рисунке 3.</w:t>
      </w:r>
    </w:p>
    <w:p w:rsidR="00000000" w:rsidDel="00000000" w:rsidP="00000000" w:rsidRDefault="00000000" w:rsidRPr="00000000" w14:paraId="00000033">
      <w:pPr>
        <w:spacing w:after="0" w:line="360" w:lineRule="auto"/>
        <w:contextualSpacing w:val="0"/>
        <w:jc w:val="both"/>
        <w:rPr>
          <w:rFonts w:ascii="Times New Roman" w:cs="Times New Roman" w:eastAsia="Times New Roman" w:hAnsi="Times New Roman"/>
          <w:sz w:val="28"/>
          <w:szCs w:val="28"/>
        </w:rPr>
      </w:pPr>
      <w:r w:rsidDel="00000000" w:rsidR="00000000" w:rsidRPr="00000000">
        <w:rPr/>
        <w:drawing>
          <wp:inline distB="0" distT="0" distL="0" distR="0">
            <wp:extent cx="5734685" cy="3114675"/>
            <wp:effectExtent b="0" l="0" r="0" t="0"/>
            <wp:docPr id="15" name=""/>
            <a:graphic>
              <a:graphicData uri="http://schemas.openxmlformats.org/drawingml/2006/chart">
                <c:chart r:id="rId8"/>
              </a:graphicData>
            </a:graphic>
          </wp:inline>
        </w:drawing>
      </w:r>
      <w:r w:rsidDel="00000000" w:rsidR="00000000" w:rsidRPr="00000000">
        <w:rPr>
          <w:rtl w:val="0"/>
        </w:rPr>
      </w:r>
    </w:p>
    <w:p w:rsidR="00000000" w:rsidDel="00000000" w:rsidP="00000000" w:rsidRDefault="00000000" w:rsidRPr="00000000" w14:paraId="00000034">
      <w:pPr>
        <w:spacing w:after="0" w:line="360" w:lineRule="auto"/>
        <w:contextualSpacing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Рисунок 2 – Динамика уровня эстетической воспитанности младших школьников экспериментального класса</w:t>
      </w:r>
    </w:p>
    <w:p w:rsidR="00000000" w:rsidDel="00000000" w:rsidP="00000000" w:rsidRDefault="00000000" w:rsidRPr="00000000" w14:paraId="00000035">
      <w:pPr>
        <w:spacing w:after="0" w:line="360" w:lineRule="auto"/>
        <w:contextualSpacing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6">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Исходя из диаграммы, видим: если на констатирующем этапе эксперимента высокий уровень эстетической воспитанности диагностирован у 19% младших школьников, то на контрольном – уже 37,5%. Если на констатирующем этапе эксперимента средний уровень эстетической воспитанности диагностирован у 25% младших школьников, то на контрольном – уже 37,5%. Если на констатирующем этапе эксперимента низкий уровень эстетической воспитанности диагностирован у 36% младших школьников, то на контрольном – уже 25%. </w:t>
      </w:r>
    </w:p>
    <w:p w:rsidR="00000000" w:rsidDel="00000000" w:rsidP="00000000" w:rsidRDefault="00000000" w:rsidRPr="00000000" w14:paraId="00000037">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Динамика уровня эстетической воспитанности младших школьников контрольного класса представлена в виде диаграммы на рисунке 3.</w:t>
      </w:r>
    </w:p>
    <w:p w:rsidR="00000000" w:rsidDel="00000000" w:rsidP="00000000" w:rsidRDefault="00000000" w:rsidRPr="00000000" w14:paraId="00000038">
      <w:pPr>
        <w:spacing w:after="0" w:line="360" w:lineRule="auto"/>
        <w:contextualSpacing w:val="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9">
      <w:pPr>
        <w:spacing w:after="0" w:line="360" w:lineRule="auto"/>
        <w:contextualSpacing w:val="0"/>
        <w:jc w:val="both"/>
        <w:rPr>
          <w:rFonts w:ascii="Times New Roman" w:cs="Times New Roman" w:eastAsia="Times New Roman" w:hAnsi="Times New Roman"/>
          <w:sz w:val="28"/>
          <w:szCs w:val="28"/>
        </w:rPr>
      </w:pPr>
      <w:r w:rsidDel="00000000" w:rsidR="00000000" w:rsidRPr="00000000">
        <w:rPr/>
        <w:drawing>
          <wp:inline distB="0" distT="0" distL="0" distR="0">
            <wp:extent cx="5734685" cy="3213735"/>
            <wp:effectExtent b="5715" l="0" r="0" t="0"/>
            <wp:docPr id="14" name=""/>
            <a:graphic>
              <a:graphicData uri="http://schemas.openxmlformats.org/drawingml/2006/chart">
                <c:chart r:id="rId9"/>
              </a:graphicData>
            </a:graphic>
          </wp:inline>
        </w:drawing>
      </w:r>
      <w:r w:rsidDel="00000000" w:rsidR="00000000" w:rsidRPr="00000000">
        <w:rPr>
          <w:rtl w:val="0"/>
        </w:rPr>
      </w:r>
    </w:p>
    <w:p w:rsidR="00000000" w:rsidDel="00000000" w:rsidP="00000000" w:rsidRDefault="00000000" w:rsidRPr="00000000" w14:paraId="0000003A">
      <w:pPr>
        <w:spacing w:after="0" w:line="360" w:lineRule="auto"/>
        <w:contextualSpacing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Рисунок 3 – Динамика уровня эстетической воспитанности младших школьников контрольного класса</w:t>
      </w:r>
    </w:p>
    <w:p w:rsidR="00000000" w:rsidDel="00000000" w:rsidP="00000000" w:rsidRDefault="00000000" w:rsidRPr="00000000" w14:paraId="0000003B">
      <w:pPr>
        <w:spacing w:after="0" w:line="360" w:lineRule="auto"/>
        <w:contextualSpacing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C">
      <w:pPr>
        <w:spacing w:after="0"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Исходя из диаграммы видим: высокий уровень эстетической воспитанности продемонстрировали 31% младших школьников как на констатирующем, так и на контрольном этапах. Если на констатирующем этапе эксперимента средний уровень эстетической воспитанности диагностирован у 25% младших школьников, то на контрольном – 31%. Если на констатирующем этапе эксперимента низкий уровень эстетической воспитанности диагностирован у 44% младших школьников, то на контрольном – 37,5%. </w:t>
      </w:r>
    </w:p>
    <w:p w:rsidR="00000000" w:rsidDel="00000000" w:rsidP="00000000" w:rsidRDefault="00000000" w:rsidRPr="00000000" w14:paraId="0000003D">
      <w:pPr>
        <w:spacing w:after="0" w:line="360" w:lineRule="auto"/>
        <w:ind w:firstLine="708"/>
        <w:contextualSpacing w:val="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Заключение</w:t>
      </w:r>
    </w:p>
    <w:p w:rsidR="00000000" w:rsidDel="00000000" w:rsidP="00000000" w:rsidRDefault="00000000" w:rsidRPr="00000000" w14:paraId="0000003E">
      <w:pPr>
        <w:spacing w:after="0" w:line="360" w:lineRule="auto"/>
        <w:ind w:firstLine="709"/>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Таким образом, после проведения диагностики на констатирующем и контрольном этапах, нами были получены результаты, на основе которых можно сделать следующие выводы: у младших школьников экспериментального класса, в отличие от контрольного, уровень эстетической воспитанности младших школьников повысился значительно выше. Младшие школьники экспериментального класса стали более чутки к слову, проявляют наличие эстетических представлений и потребностей, способность судить о прекрасном и безобразном в жизни и искусстве; проявляют непроизвольную эмоциональную реакцию при восприятии эстетического в жизни, искусстве (радость, восторг, умиление, негодование, чувство потрясения); проявляют устойчивость увлечений и эстетических интересов; </w:t>
      </w:r>
      <w:r w:rsidDel="00000000" w:rsidR="00000000" w:rsidRPr="00000000">
        <w:rPr>
          <w:rFonts w:ascii="Times New Roman" w:cs="Times New Roman" w:eastAsia="Times New Roman" w:hAnsi="Times New Roman"/>
          <w:color w:val="000000"/>
          <w:sz w:val="28"/>
          <w:szCs w:val="28"/>
          <w:rtl w:val="0"/>
        </w:rPr>
        <w:t xml:space="preserve">осуществляют эстетико-предметную деятельность по внесению красоты в жизнь, отношения с людьми; наблюдается проявление эстетических ценностных ориентаций в творческой деятельности и поведении. </w:t>
      </w:r>
      <w:r w:rsidDel="00000000" w:rsidR="00000000" w:rsidRPr="00000000">
        <w:rPr>
          <w:rFonts w:ascii="Times New Roman" w:cs="Times New Roman" w:eastAsia="Times New Roman" w:hAnsi="Times New Roman"/>
          <w:sz w:val="28"/>
          <w:szCs w:val="28"/>
          <w:rtl w:val="0"/>
        </w:rPr>
        <w:t xml:space="preserve">Очевидно, динамика в экспериментальном классе более выражена, чем в контрольном, что дает нам основание заключить, что выдвинутая нами гипотеза верна.</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3F">
      <w:pPr>
        <w:spacing w:after="0" w:line="360" w:lineRule="auto"/>
        <w:ind w:firstLine="709"/>
        <w:contextualSpacing w:val="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Очевидно, динамика в экспериментальном классе более выражена, чем в контрольном, что дает нам основание заключить, что выдвинутая нами гипотеза верна.</w:t>
      </w:r>
      <w:r w:rsidDel="00000000" w:rsidR="00000000" w:rsidRPr="00000000">
        <w:rPr>
          <w:rtl w:val="0"/>
        </w:rPr>
      </w:r>
    </w:p>
    <w:p w:rsidR="00000000" w:rsidDel="00000000" w:rsidP="00000000" w:rsidRDefault="00000000" w:rsidRPr="00000000" w14:paraId="00000040">
      <w:pPr>
        <w:spacing w:after="0" w:line="360" w:lineRule="auto"/>
        <w:ind w:firstLine="709"/>
        <w:contextualSpacing w:val="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1">
      <w:pPr>
        <w:spacing w:after="0" w:line="360" w:lineRule="auto"/>
        <w:ind w:firstLine="709"/>
        <w:contextualSpacing w:val="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Список литературы</w:t>
      </w:r>
    </w:p>
    <w:p w:rsidR="00000000" w:rsidDel="00000000" w:rsidP="00000000" w:rsidRDefault="00000000" w:rsidRPr="00000000" w14:paraId="00000042">
      <w:pPr>
        <w:spacing w:after="0" w:line="360" w:lineRule="auto"/>
        <w:contextualSpacing w:val="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spacing w:line="360" w:lineRule="auto"/>
        <w:ind w:firstLine="708"/>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Любимова Ю. С. Эстетическое воспитание и художественное образование младших школьников // Пачатковая школа. – 2007. № 1. С. 38-40.</w:t>
      </w:r>
    </w:p>
    <w:p w:rsidR="00000000" w:rsidDel="00000000" w:rsidP="00000000" w:rsidRDefault="00000000" w:rsidRPr="00000000" w14:paraId="00000044">
      <w:pPr>
        <w:spacing w:after="0" w:line="360" w:lineRule="auto"/>
        <w:contextualSpacing w:val="0"/>
        <w:jc w:val="both"/>
        <w:rPr>
          <w:rFonts w:ascii="Times New Roman" w:cs="Times New Roman" w:eastAsia="Times New Roman" w:hAnsi="Times New Roman"/>
          <w:sz w:val="28"/>
          <w:szCs w:val="28"/>
        </w:rPr>
      </w:pPr>
      <w:r w:rsidDel="00000000" w:rsidR="00000000" w:rsidRPr="00000000">
        <w:rPr>
          <w:rtl w:val="0"/>
        </w:rPr>
      </w:r>
    </w:p>
    <w:sectPr>
      <w:pgSz w:h="16838" w:w="11906"/>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4C2DDE"/>
    <w:pPr>
      <w:spacing w:after="200" w:line="276" w:lineRule="auto"/>
    </w:p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4C2DDE"/>
    <w:pPr>
      <w:spacing w:after="100" w:afterAutospacing="1" w:before="100" w:beforeAutospacing="1" w:line="240" w:lineRule="auto"/>
    </w:pPr>
    <w:rPr>
      <w:rFonts w:ascii="Times New Roman" w:cs="Times New Roman" w:eastAsia="Times New Roman" w:hAnsi="Times New Roman"/>
      <w:sz w:val="24"/>
      <w:szCs w:val="24"/>
      <w:lang w:eastAsia="ru-RU"/>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chart" Target="charts/chart2.xml"/><Relationship Id="rId5" Type="http://schemas.openxmlformats.org/officeDocument/2006/relationships/styles" Target="styles.xml"/><Relationship Id="rId6" Type="http://schemas.openxmlformats.org/officeDocument/2006/relationships/hyperlink" Target="mailto:sobolanna1995@mail.ru" TargetMode="External"/><Relationship Id="rId7" Type="http://schemas.openxmlformats.org/officeDocument/2006/relationships/chart" Target="charts/chart1.xml"/><Relationship Id="rId8"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Macro-Enabled_Worksheet1.xlsm"/></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Macro-Enabled_Worksheet2.xlsm"/></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Macro-Enabled_Worksheet3.xlsm"/></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50661947087825"/>
          <c:y val="4.3875051848062542E-2"/>
          <c:w val="0.54042079033111667"/>
          <c:h val="0.76840311973451447"/>
        </c:manualLayout>
      </c:layout>
      <c:barChart>
        <c:barDir val="col"/>
        <c:grouping val="clustered"/>
        <c:varyColors val="0"/>
        <c:ser>
          <c:idx val="0"/>
          <c:order val="0"/>
          <c:tx>
            <c:strRef>
              <c:f>label 0</c:f>
              <c:strCache>
                <c:ptCount val="1"/>
                <c:pt idx="0">
                  <c:v>Экспериментальный класс</c:v>
                </c:pt>
              </c:strCache>
            </c:strRef>
          </c:tx>
          <c:spPr>
            <a:solidFill>
              <a:srgbClr val="4472C4"/>
            </a:solidFill>
            <a:ln>
              <a:noFill/>
            </a:ln>
          </c:spPr>
          <c:invertIfNegative val="0"/>
          <c:dLbls>
            <c:spPr>
              <a:noFill/>
              <a:ln>
                <a:noFill/>
              </a:ln>
              <a:effectLst/>
            </c:spPr>
            <c:dLblPos val="outEnd"/>
            <c:showLegendKey val="0"/>
            <c:showVal val="0"/>
            <c:showCatName val="0"/>
            <c:showSerName val="0"/>
            <c:showPercent val="0"/>
            <c:showBubbleSize val="1"/>
            <c:showLeaderLines val="0"/>
            <c:extLst xmlns:c16r2="http://schemas.microsoft.com/office/drawing/2015/06/chart">
              <c:ext xmlns:c15="http://schemas.microsoft.com/office/drawing/2012/chart" uri="{CE6537A1-D6FC-4f65-9D91-7224C49458BB}">
                <c15:showLeaderLines val="0"/>
              </c:ext>
            </c:extLst>
          </c:dLbls>
          <c:cat>
            <c:strRef>
              <c:f>categories</c:f>
              <c:strCache>
                <c:ptCount val="3"/>
                <c:pt idx="0">
                  <c:v>Высокий </c:v>
                </c:pt>
                <c:pt idx="1">
                  <c:v>Средний </c:v>
                </c:pt>
                <c:pt idx="2">
                  <c:v>Низкий </c:v>
                </c:pt>
              </c:strCache>
            </c:strRef>
          </c:cat>
          <c:val>
            <c:numRef>
              <c:f>0</c:f>
              <c:numCache>
                <c:formatCode>General</c:formatCode>
                <c:ptCount val="3"/>
                <c:pt idx="0">
                  <c:v>0.19</c:v>
                </c:pt>
                <c:pt idx="1">
                  <c:v>0.25</c:v>
                </c:pt>
                <c:pt idx="2">
                  <c:v>0.56000000000000005</c:v>
                </c:pt>
              </c:numCache>
            </c:numRef>
          </c:val>
          <c:extLst xmlns:c16r2="http://schemas.microsoft.com/office/drawing/2015/06/chart">
            <c:ext xmlns:c16="http://schemas.microsoft.com/office/drawing/2014/chart" uri="{C3380CC4-5D6E-409C-BE32-E72D297353CC}">
              <c16:uniqueId val="{00000000-95D0-404A-A3C8-762DD6E12B86}"/>
            </c:ext>
          </c:extLst>
        </c:ser>
        <c:ser>
          <c:idx val="1"/>
          <c:order val="1"/>
          <c:tx>
            <c:strRef>
              <c:f>label 1</c:f>
              <c:strCache>
                <c:ptCount val="1"/>
                <c:pt idx="0">
                  <c:v>Контрольный класс</c:v>
                </c:pt>
              </c:strCache>
            </c:strRef>
          </c:tx>
          <c:spPr>
            <a:solidFill>
              <a:srgbClr val="FFD966"/>
            </a:solidFill>
            <a:ln>
              <a:noFill/>
            </a:ln>
          </c:spPr>
          <c:invertIfNegative val="0"/>
          <c:dLbls>
            <c:spPr>
              <a:noFill/>
              <a:ln>
                <a:noFill/>
              </a:ln>
              <a:effectLst/>
            </c:spPr>
            <c:dLblPos val="outEnd"/>
            <c:showLegendKey val="0"/>
            <c:showVal val="0"/>
            <c:showCatName val="0"/>
            <c:showSerName val="0"/>
            <c:showPercent val="0"/>
            <c:showBubbleSize val="1"/>
            <c:showLeaderLines val="0"/>
            <c:extLst xmlns:c16r2="http://schemas.microsoft.com/office/drawing/2015/06/chart">
              <c:ext xmlns:c15="http://schemas.microsoft.com/office/drawing/2012/chart" uri="{CE6537A1-D6FC-4f65-9D91-7224C49458BB}">
                <c15:showLeaderLines val="0"/>
              </c:ext>
            </c:extLst>
          </c:dLbls>
          <c:cat>
            <c:strRef>
              <c:f>categories</c:f>
              <c:strCache>
                <c:ptCount val="3"/>
                <c:pt idx="0">
                  <c:v>Высокий </c:v>
                </c:pt>
                <c:pt idx="1">
                  <c:v>Средний </c:v>
                </c:pt>
                <c:pt idx="2">
                  <c:v>Низкий </c:v>
                </c:pt>
              </c:strCache>
            </c:strRef>
          </c:cat>
          <c:val>
            <c:numRef>
              <c:f>1</c:f>
              <c:numCache>
                <c:formatCode>General</c:formatCode>
                <c:ptCount val="3"/>
                <c:pt idx="0">
                  <c:v>0.28999999999999998</c:v>
                </c:pt>
                <c:pt idx="1">
                  <c:v>0.23</c:v>
                </c:pt>
                <c:pt idx="2">
                  <c:v>0.47</c:v>
                </c:pt>
              </c:numCache>
            </c:numRef>
          </c:val>
          <c:extLst xmlns:c16r2="http://schemas.microsoft.com/office/drawing/2015/06/chart">
            <c:ext xmlns:c16="http://schemas.microsoft.com/office/drawing/2014/chart" uri="{C3380CC4-5D6E-409C-BE32-E72D297353CC}">
              <c16:uniqueId val="{00000001-95D0-404A-A3C8-762DD6E12B86}"/>
            </c:ext>
          </c:extLst>
        </c:ser>
        <c:dLbls>
          <c:showLegendKey val="0"/>
          <c:showVal val="0"/>
          <c:showCatName val="0"/>
          <c:showSerName val="0"/>
          <c:showPercent val="0"/>
          <c:showBubbleSize val="0"/>
        </c:dLbls>
        <c:gapWidth val="150"/>
        <c:axId val="492583464"/>
        <c:axId val="492581112"/>
      </c:barChart>
      <c:catAx>
        <c:axId val="492583464"/>
        <c:scaling>
          <c:orientation val="minMax"/>
        </c:scaling>
        <c:delete val="0"/>
        <c:axPos val="b"/>
        <c:title>
          <c:tx>
            <c:rich>
              <a:bodyPr rot="0"/>
              <a:lstStyle/>
              <a:p>
                <a:pPr>
                  <a:defRPr/>
                </a:pPr>
                <a:r>
                  <a:rPr lang="ru-RU"/>
                  <a:t>Уровень </a:t>
                </a:r>
              </a:p>
            </c:rich>
          </c:tx>
          <c:overlay val="0"/>
          <c:spPr>
            <a:noFill/>
            <a:ln>
              <a:noFill/>
            </a:ln>
          </c:spPr>
        </c:title>
        <c:numFmt formatCode="General" sourceLinked="1"/>
        <c:majorTickMark val="out"/>
        <c:minorTickMark val="none"/>
        <c:tickLblPos val="nextTo"/>
        <c:spPr>
          <a:ln w="6480">
            <a:solidFill>
              <a:srgbClr val="8B8B8B"/>
            </a:solidFill>
            <a:round/>
          </a:ln>
        </c:spPr>
        <c:crossAx val="492581112"/>
        <c:crosses val="autoZero"/>
        <c:auto val="1"/>
        <c:lblAlgn val="ctr"/>
        <c:lblOffset val="100"/>
        <c:noMultiLvlLbl val="1"/>
      </c:catAx>
      <c:valAx>
        <c:axId val="492581112"/>
        <c:scaling>
          <c:orientation val="minMax"/>
          <c:max val="1"/>
        </c:scaling>
        <c:delete val="0"/>
        <c:axPos val="l"/>
        <c:majorGridlines>
          <c:spPr>
            <a:ln w="6480">
              <a:solidFill>
                <a:srgbClr val="8B8B8B"/>
              </a:solidFill>
              <a:round/>
            </a:ln>
          </c:spPr>
        </c:majorGridlines>
        <c:title>
          <c:tx>
            <c:rich>
              <a:bodyPr rot="-5400000"/>
              <a:lstStyle/>
              <a:p>
                <a:pPr>
                  <a:defRPr/>
                </a:pPr>
                <a:r>
                  <a:rPr lang="ru-RU"/>
                  <a:t>Количество школьников</a:t>
                </a:r>
              </a:p>
            </c:rich>
          </c:tx>
          <c:overlay val="0"/>
          <c:spPr>
            <a:noFill/>
            <a:ln>
              <a:noFill/>
            </a:ln>
          </c:spPr>
        </c:title>
        <c:numFmt formatCode="0%" sourceLinked="0"/>
        <c:majorTickMark val="out"/>
        <c:minorTickMark val="none"/>
        <c:tickLblPos val="nextTo"/>
        <c:spPr>
          <a:ln w="6480">
            <a:solidFill>
              <a:srgbClr val="8B8B8B"/>
            </a:solidFill>
            <a:round/>
          </a:ln>
        </c:spPr>
        <c:crossAx val="492583464"/>
        <c:crosses val="autoZero"/>
        <c:crossBetween val="between"/>
      </c:valAx>
      <c:spPr>
        <a:solidFill>
          <a:srgbClr val="FFFFFF"/>
        </a:solidFill>
        <a:ln>
          <a:noFill/>
        </a:ln>
      </c:spPr>
    </c:plotArea>
    <c:legend>
      <c:legendPos val="r"/>
      <c:layout>
        <c:manualLayout>
          <c:xMode val="edge"/>
          <c:yMode val="edge"/>
          <c:x val="0.6841104611674399"/>
          <c:y val="8.3000000000000004E-2"/>
          <c:w val="0.31584821136644819"/>
          <c:h val="0.40537837537504201"/>
        </c:manualLayout>
      </c:layout>
      <c:overlay val="1"/>
      <c:spPr>
        <a:noFill/>
        <a:ln>
          <a:noFill/>
        </a:ln>
      </c:spPr>
    </c:legend>
    <c:plotVisOnly val="1"/>
    <c:dispBlanksAs val="gap"/>
    <c:showDLblsOverMax val="1"/>
  </c:chart>
  <c:spPr>
    <a:solidFill>
      <a:srgbClr val="FFFFFF"/>
    </a:solidFill>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30136178472648"/>
          <c:y val="4.3875051848062542E-2"/>
          <c:w val="0.60477672269706195"/>
          <c:h val="0.76445133155036116"/>
        </c:manualLayout>
      </c:layout>
      <c:barChart>
        <c:barDir val="col"/>
        <c:grouping val="clustered"/>
        <c:varyColors val="0"/>
        <c:ser>
          <c:idx val="0"/>
          <c:order val="0"/>
          <c:tx>
            <c:strRef>
              <c:f>label 0</c:f>
              <c:strCache>
                <c:ptCount val="1"/>
                <c:pt idx="0">
                  <c:v>Констатирующий этап</c:v>
                </c:pt>
              </c:strCache>
            </c:strRef>
          </c:tx>
          <c:spPr>
            <a:solidFill>
              <a:srgbClr val="4472C4"/>
            </a:solidFill>
            <a:ln>
              <a:noFill/>
            </a:ln>
          </c:spPr>
          <c:invertIfNegative val="0"/>
          <c:dLbls>
            <c:spPr>
              <a:noFill/>
              <a:ln>
                <a:noFill/>
              </a:ln>
              <a:effectLst/>
            </c:spPr>
            <c:dLblPos val="outEnd"/>
            <c:showLegendKey val="0"/>
            <c:showVal val="0"/>
            <c:showCatName val="0"/>
            <c:showSerName val="0"/>
            <c:showPercent val="0"/>
            <c:showBubbleSize val="1"/>
            <c:showLeaderLines val="0"/>
            <c:extLst xmlns:c16r2="http://schemas.microsoft.com/office/drawing/2015/06/chart">
              <c:ext xmlns:c15="http://schemas.microsoft.com/office/drawing/2012/chart" uri="{CE6537A1-D6FC-4f65-9D91-7224C49458BB}">
                <c15:showLeaderLines val="0"/>
              </c:ext>
            </c:extLst>
          </c:dLbls>
          <c:cat>
            <c:strRef>
              <c:f>categories</c:f>
              <c:strCache>
                <c:ptCount val="3"/>
                <c:pt idx="0">
                  <c:v>Высокий </c:v>
                </c:pt>
                <c:pt idx="1">
                  <c:v>Средний </c:v>
                </c:pt>
                <c:pt idx="2">
                  <c:v>Низкий </c:v>
                </c:pt>
              </c:strCache>
            </c:strRef>
          </c:cat>
          <c:val>
            <c:numRef>
              <c:f>0</c:f>
              <c:numCache>
                <c:formatCode>General</c:formatCode>
                <c:ptCount val="3"/>
                <c:pt idx="0">
                  <c:v>0.28999999999999998</c:v>
                </c:pt>
                <c:pt idx="1">
                  <c:v>0.23</c:v>
                </c:pt>
                <c:pt idx="2">
                  <c:v>0.48</c:v>
                </c:pt>
              </c:numCache>
            </c:numRef>
          </c:val>
          <c:extLst xmlns:c16r2="http://schemas.microsoft.com/office/drawing/2015/06/chart">
            <c:ext xmlns:c16="http://schemas.microsoft.com/office/drawing/2014/chart" uri="{C3380CC4-5D6E-409C-BE32-E72D297353CC}">
              <c16:uniqueId val="{00000000-79A6-864C-90C2-C58CDB709C7A}"/>
            </c:ext>
          </c:extLst>
        </c:ser>
        <c:ser>
          <c:idx val="1"/>
          <c:order val="1"/>
          <c:tx>
            <c:strRef>
              <c:f>label 1</c:f>
              <c:strCache>
                <c:ptCount val="1"/>
                <c:pt idx="0">
                  <c:v>Контрольный этап</c:v>
                </c:pt>
              </c:strCache>
            </c:strRef>
          </c:tx>
          <c:spPr>
            <a:solidFill>
              <a:srgbClr val="FFD966"/>
            </a:solidFill>
            <a:ln>
              <a:noFill/>
            </a:ln>
          </c:spPr>
          <c:invertIfNegative val="0"/>
          <c:dLbls>
            <c:spPr>
              <a:noFill/>
              <a:ln>
                <a:noFill/>
              </a:ln>
              <a:effectLst/>
            </c:spPr>
            <c:dLblPos val="outEnd"/>
            <c:showLegendKey val="0"/>
            <c:showVal val="0"/>
            <c:showCatName val="0"/>
            <c:showSerName val="0"/>
            <c:showPercent val="0"/>
            <c:showBubbleSize val="1"/>
            <c:showLeaderLines val="0"/>
            <c:extLst xmlns:c16r2="http://schemas.microsoft.com/office/drawing/2015/06/chart">
              <c:ext xmlns:c15="http://schemas.microsoft.com/office/drawing/2012/chart" uri="{CE6537A1-D6FC-4f65-9D91-7224C49458BB}">
                <c15:showLeaderLines val="0"/>
              </c:ext>
            </c:extLst>
          </c:dLbls>
          <c:cat>
            <c:strRef>
              <c:f>categories</c:f>
              <c:strCache>
                <c:ptCount val="3"/>
                <c:pt idx="0">
                  <c:v>Высокий </c:v>
                </c:pt>
                <c:pt idx="1">
                  <c:v>Средний </c:v>
                </c:pt>
                <c:pt idx="2">
                  <c:v>Низкий </c:v>
                </c:pt>
              </c:strCache>
            </c:strRef>
          </c:cat>
          <c:val>
            <c:numRef>
              <c:f>1</c:f>
              <c:numCache>
                <c:formatCode>General</c:formatCode>
                <c:ptCount val="3"/>
                <c:pt idx="0">
                  <c:v>0.28999999999999998</c:v>
                </c:pt>
                <c:pt idx="1">
                  <c:v>0.28999999999999998</c:v>
                </c:pt>
                <c:pt idx="2">
                  <c:v>0.42</c:v>
                </c:pt>
              </c:numCache>
            </c:numRef>
          </c:val>
          <c:extLst xmlns:c16r2="http://schemas.microsoft.com/office/drawing/2015/06/chart">
            <c:ext xmlns:c16="http://schemas.microsoft.com/office/drawing/2014/chart" uri="{C3380CC4-5D6E-409C-BE32-E72D297353CC}">
              <c16:uniqueId val="{00000001-79A6-864C-90C2-C58CDB709C7A}"/>
            </c:ext>
          </c:extLst>
        </c:ser>
        <c:dLbls>
          <c:showLegendKey val="0"/>
          <c:showVal val="0"/>
          <c:showCatName val="0"/>
          <c:showSerName val="0"/>
          <c:showPercent val="0"/>
          <c:showBubbleSize val="0"/>
        </c:dLbls>
        <c:gapWidth val="150"/>
        <c:axId val="492582680"/>
        <c:axId val="492583072"/>
      </c:barChart>
      <c:catAx>
        <c:axId val="492582680"/>
        <c:scaling>
          <c:orientation val="minMax"/>
        </c:scaling>
        <c:delete val="0"/>
        <c:axPos val="b"/>
        <c:title>
          <c:tx>
            <c:rich>
              <a:bodyPr rot="0"/>
              <a:lstStyle/>
              <a:p>
                <a:pPr>
                  <a:defRPr/>
                </a:pPr>
                <a:r>
                  <a:rPr lang="ru-RU"/>
                  <a:t>Уровень </a:t>
                </a:r>
              </a:p>
            </c:rich>
          </c:tx>
          <c:overlay val="0"/>
          <c:spPr>
            <a:noFill/>
            <a:ln>
              <a:noFill/>
            </a:ln>
          </c:spPr>
        </c:title>
        <c:numFmt formatCode="General" sourceLinked="1"/>
        <c:majorTickMark val="out"/>
        <c:minorTickMark val="none"/>
        <c:tickLblPos val="nextTo"/>
        <c:spPr>
          <a:ln w="6480">
            <a:solidFill>
              <a:srgbClr val="8B8B8B"/>
            </a:solidFill>
            <a:round/>
          </a:ln>
        </c:spPr>
        <c:crossAx val="492583072"/>
        <c:crosses val="autoZero"/>
        <c:auto val="1"/>
        <c:lblAlgn val="ctr"/>
        <c:lblOffset val="100"/>
        <c:noMultiLvlLbl val="1"/>
      </c:catAx>
      <c:valAx>
        <c:axId val="492583072"/>
        <c:scaling>
          <c:orientation val="minMax"/>
        </c:scaling>
        <c:delete val="0"/>
        <c:axPos val="l"/>
        <c:majorGridlines>
          <c:spPr>
            <a:ln w="6480">
              <a:solidFill>
                <a:srgbClr val="8B8B8B"/>
              </a:solidFill>
              <a:round/>
            </a:ln>
          </c:spPr>
        </c:majorGridlines>
        <c:title>
          <c:tx>
            <c:rich>
              <a:bodyPr rot="-5400000"/>
              <a:lstStyle/>
              <a:p>
                <a:pPr>
                  <a:defRPr/>
                </a:pPr>
                <a:r>
                  <a:rPr lang="ru-RU"/>
                  <a:t>Количество школьников</a:t>
                </a:r>
              </a:p>
            </c:rich>
          </c:tx>
          <c:overlay val="0"/>
          <c:spPr>
            <a:noFill/>
            <a:ln>
              <a:noFill/>
            </a:ln>
          </c:spPr>
        </c:title>
        <c:numFmt formatCode="0%" sourceLinked="0"/>
        <c:majorTickMark val="out"/>
        <c:minorTickMark val="none"/>
        <c:tickLblPos val="nextTo"/>
        <c:spPr>
          <a:ln w="6480">
            <a:solidFill>
              <a:srgbClr val="8B8B8B"/>
            </a:solidFill>
            <a:round/>
          </a:ln>
        </c:spPr>
        <c:crossAx val="492582680"/>
        <c:crosses val="autoZero"/>
        <c:crossBetween val="between"/>
      </c:valAx>
      <c:spPr>
        <a:solidFill>
          <a:srgbClr val="FFFFFF"/>
        </a:solidFill>
        <a:ln>
          <a:noFill/>
        </a:ln>
      </c:spPr>
    </c:plotArea>
    <c:legend>
      <c:legendPos val="r"/>
      <c:layout>
        <c:manualLayout>
          <c:xMode val="edge"/>
          <c:yMode val="edge"/>
          <c:x val="0.70181249999999995"/>
          <c:y val="8.3000000000000004E-2"/>
          <c:w val="0.29814363397712401"/>
          <c:h val="0.40537837537504201"/>
        </c:manualLayout>
      </c:layout>
      <c:overlay val="1"/>
      <c:spPr>
        <a:noFill/>
        <a:ln>
          <a:noFill/>
        </a:ln>
      </c:spPr>
    </c:legend>
    <c:plotVisOnly val="1"/>
    <c:dispBlanksAs val="gap"/>
    <c:showDLblsOverMax val="1"/>
  </c:chart>
  <c:spPr>
    <a:solidFill>
      <a:srgbClr val="FFFFFF"/>
    </a:solidFill>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328525868926771"/>
          <c:y val="5.0437678603016102E-2"/>
          <c:w val="0.55826588557174461"/>
          <c:h val="0.74320471351869399"/>
        </c:manualLayout>
      </c:layout>
      <c:barChart>
        <c:barDir val="col"/>
        <c:grouping val="clustered"/>
        <c:varyColors val="0"/>
        <c:ser>
          <c:idx val="0"/>
          <c:order val="0"/>
          <c:tx>
            <c:strRef>
              <c:f>label 0</c:f>
              <c:strCache>
                <c:ptCount val="1"/>
                <c:pt idx="0">
                  <c:v>Констатирующий этап</c:v>
                </c:pt>
              </c:strCache>
            </c:strRef>
          </c:tx>
          <c:spPr>
            <a:solidFill>
              <a:srgbClr val="4472C4"/>
            </a:solidFill>
            <a:ln>
              <a:noFill/>
            </a:ln>
          </c:spPr>
          <c:invertIfNegative val="0"/>
          <c:dLbls>
            <c:spPr>
              <a:noFill/>
              <a:ln>
                <a:noFill/>
              </a:ln>
              <a:effectLst/>
            </c:spPr>
            <c:dLblPos val="outEnd"/>
            <c:showLegendKey val="0"/>
            <c:showVal val="0"/>
            <c:showCatName val="0"/>
            <c:showSerName val="0"/>
            <c:showPercent val="0"/>
            <c:showBubbleSize val="1"/>
            <c:showLeaderLines val="0"/>
            <c:extLst xmlns:c16r2="http://schemas.microsoft.com/office/drawing/2015/06/chart">
              <c:ext xmlns:c15="http://schemas.microsoft.com/office/drawing/2012/chart" uri="{CE6537A1-D6FC-4f65-9D91-7224C49458BB}">
                <c15:showLeaderLines val="0"/>
              </c:ext>
            </c:extLst>
          </c:dLbls>
          <c:cat>
            <c:strRef>
              <c:f>categories</c:f>
              <c:strCache>
                <c:ptCount val="3"/>
                <c:pt idx="0">
                  <c:v>Высокий </c:v>
                </c:pt>
                <c:pt idx="1">
                  <c:v>Средний </c:v>
                </c:pt>
                <c:pt idx="2">
                  <c:v>Низкий </c:v>
                </c:pt>
              </c:strCache>
            </c:strRef>
          </c:cat>
          <c:val>
            <c:numRef>
              <c:f>0</c:f>
              <c:numCache>
                <c:formatCode>General</c:formatCode>
                <c:ptCount val="3"/>
                <c:pt idx="0">
                  <c:v>0.19</c:v>
                </c:pt>
                <c:pt idx="1">
                  <c:v>0.25</c:v>
                </c:pt>
                <c:pt idx="2">
                  <c:v>0.36</c:v>
                </c:pt>
              </c:numCache>
            </c:numRef>
          </c:val>
          <c:extLst xmlns:c16r2="http://schemas.microsoft.com/office/drawing/2015/06/chart">
            <c:ext xmlns:c16="http://schemas.microsoft.com/office/drawing/2014/chart" uri="{C3380CC4-5D6E-409C-BE32-E72D297353CC}">
              <c16:uniqueId val="{00000000-E7A1-1D47-9FB1-30E1E98C724A}"/>
            </c:ext>
          </c:extLst>
        </c:ser>
        <c:ser>
          <c:idx val="1"/>
          <c:order val="1"/>
          <c:tx>
            <c:strRef>
              <c:f>label 1</c:f>
              <c:strCache>
                <c:ptCount val="1"/>
                <c:pt idx="0">
                  <c:v>Контрольный этап</c:v>
                </c:pt>
              </c:strCache>
            </c:strRef>
          </c:tx>
          <c:spPr>
            <a:solidFill>
              <a:srgbClr val="FFD966"/>
            </a:solidFill>
            <a:ln>
              <a:noFill/>
            </a:ln>
          </c:spPr>
          <c:invertIfNegative val="0"/>
          <c:dLbls>
            <c:spPr>
              <a:noFill/>
              <a:ln>
                <a:noFill/>
              </a:ln>
              <a:effectLst/>
            </c:spPr>
            <c:dLblPos val="outEnd"/>
            <c:showLegendKey val="0"/>
            <c:showVal val="0"/>
            <c:showCatName val="0"/>
            <c:showSerName val="0"/>
            <c:showPercent val="0"/>
            <c:showBubbleSize val="1"/>
            <c:showLeaderLines val="0"/>
            <c:extLst xmlns:c16r2="http://schemas.microsoft.com/office/drawing/2015/06/chart">
              <c:ext xmlns:c15="http://schemas.microsoft.com/office/drawing/2012/chart" uri="{CE6537A1-D6FC-4f65-9D91-7224C49458BB}">
                <c15:showLeaderLines val="0"/>
              </c:ext>
            </c:extLst>
          </c:dLbls>
          <c:cat>
            <c:strRef>
              <c:f>categories</c:f>
              <c:strCache>
                <c:ptCount val="3"/>
                <c:pt idx="0">
                  <c:v>Высокий </c:v>
                </c:pt>
                <c:pt idx="1">
                  <c:v>Средний </c:v>
                </c:pt>
                <c:pt idx="2">
                  <c:v>Низкий </c:v>
                </c:pt>
              </c:strCache>
            </c:strRef>
          </c:cat>
          <c:val>
            <c:numRef>
              <c:f>1</c:f>
              <c:numCache>
                <c:formatCode>General</c:formatCode>
                <c:ptCount val="3"/>
                <c:pt idx="0">
                  <c:v>0.375</c:v>
                </c:pt>
                <c:pt idx="1">
                  <c:v>0.375</c:v>
                </c:pt>
                <c:pt idx="2">
                  <c:v>0.25</c:v>
                </c:pt>
              </c:numCache>
            </c:numRef>
          </c:val>
          <c:extLst xmlns:c16r2="http://schemas.microsoft.com/office/drawing/2015/06/chart">
            <c:ext xmlns:c16="http://schemas.microsoft.com/office/drawing/2014/chart" uri="{C3380CC4-5D6E-409C-BE32-E72D297353CC}">
              <c16:uniqueId val="{00000001-E7A1-1D47-9FB1-30E1E98C724A}"/>
            </c:ext>
          </c:extLst>
        </c:ser>
        <c:dLbls>
          <c:showLegendKey val="0"/>
          <c:showVal val="0"/>
          <c:showCatName val="0"/>
          <c:showSerName val="0"/>
          <c:showPercent val="0"/>
          <c:showBubbleSize val="0"/>
        </c:dLbls>
        <c:gapWidth val="150"/>
        <c:axId val="492581504"/>
        <c:axId val="492585424"/>
      </c:barChart>
      <c:catAx>
        <c:axId val="492581504"/>
        <c:scaling>
          <c:orientation val="minMax"/>
        </c:scaling>
        <c:delete val="0"/>
        <c:axPos val="b"/>
        <c:title>
          <c:tx>
            <c:rich>
              <a:bodyPr rot="0"/>
              <a:lstStyle/>
              <a:p>
                <a:pPr>
                  <a:defRPr/>
                </a:pPr>
                <a:r>
                  <a:rPr lang="ru-RU"/>
                  <a:t>Уровень </a:t>
                </a:r>
              </a:p>
            </c:rich>
          </c:tx>
          <c:overlay val="0"/>
          <c:spPr>
            <a:noFill/>
            <a:ln>
              <a:noFill/>
            </a:ln>
          </c:spPr>
        </c:title>
        <c:numFmt formatCode="General" sourceLinked="1"/>
        <c:majorTickMark val="out"/>
        <c:minorTickMark val="none"/>
        <c:tickLblPos val="nextTo"/>
        <c:spPr>
          <a:ln w="6480">
            <a:solidFill>
              <a:srgbClr val="8B8B8B"/>
            </a:solidFill>
            <a:round/>
          </a:ln>
        </c:spPr>
        <c:crossAx val="492585424"/>
        <c:crosses val="autoZero"/>
        <c:auto val="1"/>
        <c:lblAlgn val="ctr"/>
        <c:lblOffset val="100"/>
        <c:noMultiLvlLbl val="1"/>
      </c:catAx>
      <c:valAx>
        <c:axId val="492585424"/>
        <c:scaling>
          <c:orientation val="minMax"/>
        </c:scaling>
        <c:delete val="0"/>
        <c:axPos val="l"/>
        <c:majorGridlines>
          <c:spPr>
            <a:ln w="6480">
              <a:solidFill>
                <a:srgbClr val="8B8B8B"/>
              </a:solidFill>
              <a:round/>
            </a:ln>
          </c:spPr>
        </c:majorGridlines>
        <c:title>
          <c:tx>
            <c:rich>
              <a:bodyPr rot="-5400000"/>
              <a:lstStyle/>
              <a:p>
                <a:pPr>
                  <a:defRPr/>
                </a:pPr>
                <a:r>
                  <a:rPr lang="ru-RU"/>
                  <a:t>Количество школьников</a:t>
                </a:r>
              </a:p>
            </c:rich>
          </c:tx>
          <c:overlay val="0"/>
          <c:spPr>
            <a:noFill/>
            <a:ln>
              <a:noFill/>
            </a:ln>
          </c:spPr>
        </c:title>
        <c:numFmt formatCode="0%" sourceLinked="0"/>
        <c:majorTickMark val="out"/>
        <c:minorTickMark val="none"/>
        <c:tickLblPos val="nextTo"/>
        <c:spPr>
          <a:ln w="6480">
            <a:solidFill>
              <a:srgbClr val="8B8B8B"/>
            </a:solidFill>
            <a:round/>
          </a:ln>
        </c:spPr>
        <c:crossAx val="492581504"/>
        <c:crosses val="autoZero"/>
        <c:crossBetween val="between"/>
      </c:valAx>
      <c:spPr>
        <a:solidFill>
          <a:srgbClr val="FFFFFF"/>
        </a:solidFill>
        <a:ln>
          <a:noFill/>
        </a:ln>
      </c:spPr>
    </c:plotArea>
    <c:legend>
      <c:legendPos val="r"/>
      <c:layout>
        <c:manualLayout>
          <c:xMode val="edge"/>
          <c:yMode val="edge"/>
          <c:x val="0.70181249999999995"/>
          <c:y val="8.3000000000000004E-2"/>
          <c:w val="0.29814363397712401"/>
          <c:h val="0.40537837537504201"/>
        </c:manualLayout>
      </c:layout>
      <c:overlay val="1"/>
      <c:spPr>
        <a:noFill/>
        <a:ln>
          <a:noFill/>
        </a:ln>
      </c:spPr>
    </c:legend>
    <c:plotVisOnly val="1"/>
    <c:dispBlanksAs val="gap"/>
    <c:showDLblsOverMax val="1"/>
  </c:chart>
  <c:spPr>
    <a:solidFill>
      <a:srgbClr val="FFFFFF"/>
    </a:solidFill>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