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A50" w:rsidRDefault="00EF2A50" w:rsidP="00EF2A5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Оценка кредитной политики коммерческих банков в России </w:t>
      </w:r>
    </w:p>
    <w:p w:rsidR="00EF2A50" w:rsidRDefault="00EF2A50" w:rsidP="00EF2A5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EF2A50" w:rsidRPr="0062628E" w:rsidRDefault="00EF2A50" w:rsidP="00EF2A5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итогам 9 месяцев 2020 года основные показатели деятельности банков росли. Однако из-за проблем российской экономики, вызванных пандемией </w:t>
      </w:r>
      <w:proofErr w:type="spellStart"/>
      <w:r w:rsidRPr="003C32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коронавируса</w:t>
      </w:r>
      <w:proofErr w:type="spellEnd"/>
      <w:r w:rsidRPr="003C327C">
        <w:rPr>
          <w:rFonts w:ascii="Times New Roman" w:eastAsia="Times New Roman" w:hAnsi="Times New Roman" w:cs="Times New Roman"/>
          <w:sz w:val="28"/>
          <w:szCs w:val="28"/>
          <w:lang w:eastAsia="ru-RU"/>
        </w:rPr>
        <w:t>, темпы роста ряда важных показателей в сравнении с аналогичным периодом прошлого года изменились. Значительное влияние на показатели работы банков оказали регуляторные послабления, которые ввел весной 2020 года Банк России.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>Началом формирования российской банковской системы послужило постановление ЦК КПСС и Совета Министров СССР от 17 июля 1987 года «О совершенствовании системы банков в стране и усилении их воздействия на повышение эффективности экономики». Уже в 1988 году наряду со специализированными государственными банками были созданы первые кооперативные и коммерческие банки. Функции банковского регулирования и надзора были закреплены за Госбанком СССР, преемником которого затем стал Банк России. Количество банков в России достигло своих пиковых значений к середине 90-х годов XX века, когда число зарегистрированных кредитных организаций превышало 2500.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>Если не считать локальных банковских кризисов (в 1995 и 2004 годах), то наблюдалось три крупные волны их сокращения. Все они были связаны с реализацией кризисных сценариев развития экономики: дефолт в августе 1998 года, глобальный финансовый кризис 2008-2009 годов и валютный кризис в 2014-2015 годах. Наиболее высокими темпами сокращение количества кредитных организаций наблюдалось в период после 2013 года.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649E73" wp14:editId="311F9BCD">
            <wp:extent cx="5476875" cy="2869802"/>
            <wp:effectExtent l="1905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1571" t="30748" r="26283" b="29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869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1 - </w:t>
      </w:r>
      <w:r w:rsidRPr="003C327C">
        <w:rPr>
          <w:rFonts w:ascii="Times New Roman" w:hAnsi="Times New Roman" w:cs="Times New Roman"/>
          <w:sz w:val="28"/>
          <w:szCs w:val="28"/>
        </w:rPr>
        <w:t>Количество кредитных организаций в Российской Федерации</w:t>
      </w:r>
      <w:r>
        <w:rPr>
          <w:rFonts w:ascii="Times New Roman" w:hAnsi="Times New Roman" w:cs="Times New Roman"/>
          <w:sz w:val="28"/>
          <w:szCs w:val="28"/>
        </w:rPr>
        <w:t>, единиц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Сокращение общего числа кредитных организаций – это общемировая тенденция, которая усиливается в периоды спадов деловой активности и финансовых кризисов. И Россия здесь не является исключением. Банковская </w:t>
      </w:r>
      <w:r w:rsidRPr="003C327C">
        <w:rPr>
          <w:rFonts w:ascii="Times New Roman" w:hAnsi="Times New Roman" w:cs="Times New Roman"/>
          <w:sz w:val="28"/>
          <w:szCs w:val="28"/>
        </w:rPr>
        <w:lastRenderedPageBreak/>
        <w:t xml:space="preserve">система относится к числу секторов экономики, которые характеризуются высокой степенью уязвимости к негативному воздействию внешних шоков и затухающей макроэкономической динамики. 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В российской банковской системе продолжается процесс концентрации активов и капитала. Он возник еще на ранних этапах развития коммерческих банков, но имел неустойчивый характер. В явном виде этот процесс обозначился в период преодоления последствий глобального финансового кризиса 2008-2009 гг. и получил дополнительный импульс в 2014-2015 гг. 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>Ощутимо укрепилась группа ТОП-5 кредитных организаций, которая в текущем десятилетии неуклонно укрепляла свои рыночные позиции, расширили также свои позиции банки, занимающие с 6 по 20 место, тогда как другие группы заметно теряли свои позиции. В итоге, к настоящему времени банки ТОП-20, образующие ядро банковской системы, концентрируют почти 84% активов.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A8C690" wp14:editId="79D659E7">
            <wp:extent cx="5324475" cy="2726278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2348" t="29363" r="22395" b="29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726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2 - </w:t>
      </w:r>
      <w:r w:rsidRPr="003C327C">
        <w:rPr>
          <w:rFonts w:ascii="Times New Roman" w:hAnsi="Times New Roman" w:cs="Times New Roman"/>
          <w:sz w:val="28"/>
          <w:szCs w:val="28"/>
        </w:rPr>
        <w:t xml:space="preserve">Доли групп кредитных организаций, ранжированных по величине активов (по убыванию), </w:t>
      </w:r>
      <w:r>
        <w:rPr>
          <w:rFonts w:ascii="Times New Roman" w:hAnsi="Times New Roman" w:cs="Times New Roman"/>
          <w:sz w:val="28"/>
          <w:szCs w:val="28"/>
        </w:rPr>
        <w:t>процентов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Если использовать классификацию оценок состояния конкурентной среды по показателю Херфиндаля-Хиршмана2 , то по показателю концентрации активов банковский сектор в целом относится к числу умеренно концентрированных рынков. Это же можно сказать и в отношении рынка кредитования нефинансовых предприятий, который в I первом полугодии 2020 года переместился из области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высоко концентрированного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в зону умеренно концентрированного рынка. 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В то же время ряд сегментов (рынок вкладов населения и рынок кредитования населения) можно характеризовать как высококонцентрированные рынки. 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>Исключение составляет рынок депозитов и остатков на счетах юридических лиц, который находится на границе низко и умеренно концентрированного рынка.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43D9B9" wp14:editId="590449C6">
            <wp:extent cx="4924425" cy="2631742"/>
            <wp:effectExtent l="1905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705" t="41274" r="22861" b="13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631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3 - </w:t>
      </w:r>
      <w:r w:rsidRPr="003C327C">
        <w:rPr>
          <w:rFonts w:ascii="Times New Roman" w:hAnsi="Times New Roman" w:cs="Times New Roman"/>
          <w:sz w:val="28"/>
          <w:szCs w:val="28"/>
        </w:rPr>
        <w:t>Концентрация рыночных долей на основных сегментах банковского сектора</w:t>
      </w:r>
      <w:r>
        <w:rPr>
          <w:rFonts w:ascii="Times New Roman" w:hAnsi="Times New Roman" w:cs="Times New Roman"/>
          <w:sz w:val="28"/>
          <w:szCs w:val="28"/>
        </w:rPr>
        <w:t xml:space="preserve">, миллионов рублей 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hAnsi="Times New Roman" w:cs="Times New Roman"/>
          <w:sz w:val="28"/>
          <w:szCs w:val="28"/>
        </w:rPr>
        <w:t>Особое место в структуре финансового посредничества занимают региональные кредитные организации, которые решают задачи обеспечения доступности финансовых услуг для населения и предприятий на локальных рынках. Учитывая пространственное положение Российской Федерации, деятельность этой группы банков имеет существенное не только экономическое, но и социальное значение. Важно и то, что благодаря их деятельности поддерживается конкурентная среда, позволяющая обеспечивать повышение качества обслуживания потребителей финансовых услуг.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Применительно к банковскому сектору Правительством Российской Федерации и Банком России был принят комплекс мер, нацеленный, с одной стороны, на повышение его роли в преодолении экономических последствий пандемии COVID-19, а с другой - на нормализацию банковской деятельности в условиях чрезвычайной ситуации. И это дало положительный эффект. Главное, что удалось сделать – это сохранить системную устойчивость банковского сектора, в том числе благодаря тому, что в этот период не произошло ни единого случая банкротства крупного банка. 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3C327C">
        <w:rPr>
          <w:rFonts w:ascii="Times New Roman" w:hAnsi="Times New Roman" w:cs="Times New Roman"/>
          <w:sz w:val="28"/>
          <w:szCs w:val="28"/>
        </w:rPr>
        <w:t xml:space="preserve">конце мая – начале июня благодаря последовательному проведению государственных антикризисных и стимулирующих мер на фоне улучшения санитарно-эпидемиологической обстановки и смягчения режима социального </w:t>
      </w:r>
      <w:proofErr w:type="spellStart"/>
      <w:r w:rsidRPr="003C327C">
        <w:rPr>
          <w:rFonts w:ascii="Times New Roman" w:hAnsi="Times New Roman" w:cs="Times New Roman"/>
          <w:sz w:val="28"/>
          <w:szCs w:val="28"/>
        </w:rPr>
        <w:t>дистанцирования</w:t>
      </w:r>
      <w:proofErr w:type="spellEnd"/>
      <w:r w:rsidRPr="003C327C">
        <w:rPr>
          <w:rFonts w:ascii="Times New Roman" w:hAnsi="Times New Roman" w:cs="Times New Roman"/>
          <w:sz w:val="28"/>
          <w:szCs w:val="28"/>
        </w:rPr>
        <w:t xml:space="preserve"> проявились признаки повышения деловой активности и восстановления кредитного процесса, в рамках которого позиционирование различных групп банков показывает не только их место на карте рисков, но и отражает потенциал их конкурентоспособности. </w:t>
      </w:r>
      <w:proofErr w:type="gramEnd"/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Для сегмента кредитования нефинансовых организаций характерен высокий уровень концентрации портфелей. Особенно это заметно в секторе кредитования крупных предприятий. Однако и здесь борьба за рыночные доли и привлечение надежных заемщиков идет с переменным успехом между лидерами и банками, входящими в ТОП-5 и ТОП-20. Особенно это касается </w:t>
      </w:r>
      <w:r w:rsidRPr="003C327C">
        <w:rPr>
          <w:rFonts w:ascii="Times New Roman" w:hAnsi="Times New Roman" w:cs="Times New Roman"/>
          <w:sz w:val="28"/>
          <w:szCs w:val="28"/>
        </w:rPr>
        <w:lastRenderedPageBreak/>
        <w:t>сегмента кредитования субъектов МСП. В сегменте кредитования домохозяйств наряду с высокой долей ТОП-5 банков можно говорить о том, что не только крупные, но и другие группы банков, находящиеся за пределами ТОП-50, достаточно конкурентоспособны, чтобы удерживать рыночные доли.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8F1A48" wp14:editId="50EFFE78">
            <wp:extent cx="4943475" cy="2631204"/>
            <wp:effectExtent l="1905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238" t="37119" r="22551" b="17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631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4 - </w:t>
      </w:r>
      <w:r w:rsidRPr="003C327C">
        <w:rPr>
          <w:rFonts w:ascii="Times New Roman" w:hAnsi="Times New Roman" w:cs="Times New Roman"/>
          <w:sz w:val="28"/>
          <w:szCs w:val="28"/>
        </w:rPr>
        <w:t xml:space="preserve">Доли кредитных портфелей банков, ранжированных по величине активов, </w:t>
      </w:r>
      <w:r>
        <w:rPr>
          <w:rFonts w:ascii="Times New Roman" w:hAnsi="Times New Roman" w:cs="Times New Roman"/>
          <w:sz w:val="28"/>
          <w:szCs w:val="28"/>
        </w:rPr>
        <w:t xml:space="preserve">процентов </w:t>
      </w:r>
      <w:r w:rsidRPr="003C327C">
        <w:rPr>
          <w:rFonts w:ascii="Times New Roman" w:hAnsi="Times New Roman" w:cs="Times New Roman"/>
          <w:sz w:val="28"/>
          <w:szCs w:val="28"/>
        </w:rPr>
        <w:t xml:space="preserve"> по состоянию на 1 июня 2020 г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В совокупном кредитном портфеле (без учета межбанковских кредитов) преобладающий удельный вес (74,2%) занимает ссудная задолженность юридических лиц. </w:t>
      </w: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0211EB" wp14:editId="4476336C">
            <wp:extent cx="5381625" cy="3118491"/>
            <wp:effectExtent l="1905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0327" t="29640" r="22706" b="2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118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5 - </w:t>
      </w:r>
      <w:r w:rsidRPr="003C327C">
        <w:rPr>
          <w:rFonts w:ascii="Times New Roman" w:hAnsi="Times New Roman" w:cs="Times New Roman"/>
          <w:sz w:val="28"/>
          <w:szCs w:val="28"/>
        </w:rPr>
        <w:t xml:space="preserve">Динамика кредитования нефинансовых организаций* по группам банков,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трлн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Наибольший вклад в поддержание корпоративного кредитования, особенно крупных предприятий,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вносят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прежде всего Сбербанк и ВТБ, а также другие СЗКО. На их долю приходится свыше 80% ссудной </w:t>
      </w:r>
      <w:r w:rsidRPr="003C327C">
        <w:rPr>
          <w:rFonts w:ascii="Times New Roman" w:hAnsi="Times New Roman" w:cs="Times New Roman"/>
          <w:sz w:val="28"/>
          <w:szCs w:val="28"/>
        </w:rPr>
        <w:lastRenderedPageBreak/>
        <w:t xml:space="preserve">задолженности крупных клиентов. К этому можно добавить, что в период с 20 марта по 27 июля 2020 года количество фактически реструктурированных банками, входящими в СЗКО, кредитов юридических лиц (кроме субъектов МСП) составило более 3,0 тыс., а ее объем превысил 3,6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трлн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руб., или более 11% от совокупного портфеля СЗКО (кроме субъектов МСП). 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3C327C">
        <w:rPr>
          <w:rFonts w:ascii="Times New Roman" w:hAnsi="Times New Roman" w:cs="Times New Roman"/>
          <w:sz w:val="28"/>
          <w:szCs w:val="28"/>
        </w:rPr>
        <w:t xml:space="preserve">Введенные с марта 2020 года регуляторные послабления Банком России и проводимая им политика снижения ключевой ставки заметно смягчила условия кредитования МСП. Однако спрос на кредиты со стороны субъектов МСП продолжает оставаться низким.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В I полугодии 2020 года по сравнению с предшествующим годом ощутимо возросло количество субъектов МСП, имеющих ссудную задолженность, но их доля от общего числа субъектов МСП составляла к началу июля только 5,9%. Наряду с этим удельный вес субъектов МСП, имеющих просроченную задолженность, держится на уровне 8-9% (исключение составил июнь, когда он подскочил до 11,5% от общего числа заемщиков в этом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сегменте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кредитования).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9F81EA" wp14:editId="5347B304">
            <wp:extent cx="4695825" cy="3155475"/>
            <wp:effectExtent l="1905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9082" t="36011" r="22084" b="5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15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7 - </w:t>
      </w:r>
      <w:r w:rsidRPr="003C327C">
        <w:rPr>
          <w:rFonts w:ascii="Times New Roman" w:hAnsi="Times New Roman" w:cs="Times New Roman"/>
          <w:sz w:val="28"/>
          <w:szCs w:val="28"/>
        </w:rPr>
        <w:t>Количество субъектов МСП, имеющих ссудную задолженность</w:t>
      </w:r>
      <w:r>
        <w:rPr>
          <w:rFonts w:ascii="Times New Roman" w:hAnsi="Times New Roman" w:cs="Times New Roman"/>
          <w:sz w:val="28"/>
          <w:szCs w:val="28"/>
        </w:rPr>
        <w:t xml:space="preserve">, процентов 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Масштабы кредитования субъектов МСП характеризовались разнонаправленной динамикой в январе-мае и заметно увеличились только к началу июля. Это стало результатом реализации дополнительных мер Правительства Российской Федерации по поддержке в период </w:t>
      </w:r>
      <w:proofErr w:type="spellStart"/>
      <w:r w:rsidRPr="003C327C"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 w:rsidRPr="003C327C">
        <w:rPr>
          <w:rFonts w:ascii="Times New Roman" w:hAnsi="Times New Roman" w:cs="Times New Roman"/>
          <w:sz w:val="28"/>
          <w:szCs w:val="28"/>
        </w:rPr>
        <w:t xml:space="preserve"> пандемии малого и среднего предпринимательства. В настоящее время трудно говорить об устойчивости наметившейся тенденции. 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>Кредитование субъектов МСП сопряжено с повышенными рисками, что выражается как в высоком удельном весе просроченной задолженности, так и с неустойчивостью финансового положения большинства субъектов МСП, которое либо закрывает для них доступ к кредитным ресурсам, либо делает его чрезмерно дорогим и потенциально невозвратным.</w:t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27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AB8576" wp14:editId="4F2BADA6">
            <wp:extent cx="4733925" cy="2656795"/>
            <wp:effectExtent l="1905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0171" t="34626" r="24106" b="19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65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3C327C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8 - </w:t>
      </w:r>
      <w:r w:rsidRPr="003C327C">
        <w:rPr>
          <w:rFonts w:ascii="Times New Roman" w:hAnsi="Times New Roman" w:cs="Times New Roman"/>
          <w:sz w:val="28"/>
          <w:szCs w:val="28"/>
        </w:rPr>
        <w:t xml:space="preserve">Динамика кредитования субъектов МСП,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трлн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sz w:val="28"/>
          <w:szCs w:val="28"/>
        </w:rPr>
        <w:t xml:space="preserve">На долю ТОП-30 банков в настоящее время приходится 78,7% объема выданных кредитов МСП и 78,0% их ссудной задолженности. Тем не </w:t>
      </w:r>
      <w:proofErr w:type="gramStart"/>
      <w:r w:rsidRPr="00510064">
        <w:rPr>
          <w:rFonts w:ascii="Times New Roman" w:hAnsi="Times New Roman" w:cs="Times New Roman"/>
          <w:sz w:val="28"/>
          <w:szCs w:val="28"/>
        </w:rPr>
        <w:t>менее</w:t>
      </w:r>
      <w:proofErr w:type="gramEnd"/>
      <w:r w:rsidRPr="00510064">
        <w:rPr>
          <w:rFonts w:ascii="Times New Roman" w:hAnsi="Times New Roman" w:cs="Times New Roman"/>
          <w:sz w:val="28"/>
          <w:szCs w:val="28"/>
        </w:rPr>
        <w:t xml:space="preserve"> другие группы банков, в основном региональные кредитные организации, за счет умелого позиционирования удерживают рыночные доли, общий удельный вес которых составляет примерно четверть кредитного портфеля субъектов МСП. </w:t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sz w:val="28"/>
          <w:szCs w:val="28"/>
        </w:rPr>
        <w:t xml:space="preserve">Основной вклад в увеличение объемов кредитования домохозяйств в I полугодии 2020 года </w:t>
      </w:r>
      <w:proofErr w:type="gramStart"/>
      <w:r w:rsidRPr="00510064">
        <w:rPr>
          <w:rFonts w:ascii="Times New Roman" w:hAnsi="Times New Roman" w:cs="Times New Roman"/>
          <w:sz w:val="28"/>
          <w:szCs w:val="28"/>
        </w:rPr>
        <w:t>сделали</w:t>
      </w:r>
      <w:proofErr w:type="gramEnd"/>
      <w:r w:rsidRPr="00510064">
        <w:rPr>
          <w:rFonts w:ascii="Times New Roman" w:hAnsi="Times New Roman" w:cs="Times New Roman"/>
          <w:sz w:val="28"/>
          <w:szCs w:val="28"/>
        </w:rPr>
        <w:t xml:space="preserve"> прежде всего лидеры (Сбербанк и ВТБ) и другие СЗКО. На их долю приходится более 75% ссудной задолженности населения. В то же время в условиях снижения реальных денежных доходов населения и ухудшения платежной дисциплины заемщиков другие группы банков были вынуждены сокращать объемы кредитования физических лиц.</w:t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B19278" wp14:editId="0C4CF0BF">
            <wp:extent cx="5035550" cy="2572040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918" t="42066" r="26231" b="13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257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sz w:val="28"/>
          <w:szCs w:val="28"/>
        </w:rPr>
        <w:t xml:space="preserve">Рисунок 9 - Динамика кредитования физических лиц по группам банков, </w:t>
      </w:r>
      <w:proofErr w:type="gramStart"/>
      <w:r w:rsidRPr="00510064">
        <w:rPr>
          <w:rFonts w:ascii="Times New Roman" w:hAnsi="Times New Roman" w:cs="Times New Roman"/>
          <w:sz w:val="28"/>
          <w:szCs w:val="28"/>
        </w:rPr>
        <w:t>трлн</w:t>
      </w:r>
      <w:proofErr w:type="gramEnd"/>
      <w:r w:rsidRPr="00510064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sz w:val="28"/>
          <w:szCs w:val="28"/>
        </w:rPr>
        <w:t xml:space="preserve">В I полугодии на фоне сокращения выдачи новых кредитов наметилось повышение удельного веса просроченной задолженности домохозяйств, причем это произошло по всем группам банков. Следует отметить, что рост </w:t>
      </w:r>
      <w:r w:rsidRPr="00510064">
        <w:rPr>
          <w:rFonts w:ascii="Times New Roman" w:hAnsi="Times New Roman" w:cs="Times New Roman"/>
          <w:sz w:val="28"/>
          <w:szCs w:val="28"/>
        </w:rPr>
        <w:lastRenderedPageBreak/>
        <w:t xml:space="preserve">просроченной задолженности наблюдается в условиях, когда Банк России ввел регуляторные послабления: банкам разрешено не признавать ухудшение кредитного качества заемщиков, если оно произошло вследствие COVID-19, и не создавать резервы по таким кредитам. </w:t>
      </w:r>
      <w:proofErr w:type="gramStart"/>
      <w:r w:rsidRPr="00510064">
        <w:rPr>
          <w:rFonts w:ascii="Times New Roman" w:hAnsi="Times New Roman" w:cs="Times New Roman"/>
          <w:sz w:val="28"/>
          <w:szCs w:val="28"/>
        </w:rPr>
        <w:t>В целом по банковскому сектору просроченная задолженность населения повысилась до 4,7%. В группе СЗКО она поднялась до 3,5%, тогда как в других группах банков, испытывающих дефицит надежных заемщиков, она подскочила с 7,4 до 8,3% в среднем у банков с универсальной лицензией и с 7,8 до 8,6% у банков с базовой лицензией.</w:t>
      </w:r>
      <w:proofErr w:type="gramEnd"/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BC791E" wp14:editId="1F7F7AC6">
            <wp:extent cx="5327650" cy="2756595"/>
            <wp:effectExtent l="19050" t="0" r="635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218" t="35055" r="28099" b="26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275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10 - </w:t>
      </w:r>
      <w:r w:rsidRPr="00510064">
        <w:rPr>
          <w:rFonts w:ascii="Times New Roman" w:hAnsi="Times New Roman" w:cs="Times New Roman"/>
          <w:sz w:val="28"/>
          <w:szCs w:val="28"/>
        </w:rPr>
        <w:t>Удельный вес просроченной задолженности физических лиц п</w:t>
      </w:r>
      <w:r>
        <w:rPr>
          <w:rFonts w:ascii="Times New Roman" w:hAnsi="Times New Roman" w:cs="Times New Roman"/>
          <w:sz w:val="28"/>
          <w:szCs w:val="28"/>
        </w:rPr>
        <w:t>о банковским кредитам, процентов</w:t>
      </w: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A50" w:rsidRPr="00510064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0064">
        <w:rPr>
          <w:rFonts w:ascii="Times New Roman" w:hAnsi="Times New Roman" w:cs="Times New Roman"/>
          <w:sz w:val="28"/>
          <w:szCs w:val="28"/>
        </w:rPr>
        <w:t xml:space="preserve">Таким образом, уже в обозримой перспективе особую актуальность приобретет вопрос об источниках </w:t>
      </w:r>
      <w:proofErr w:type="spellStart"/>
      <w:r w:rsidRPr="00510064">
        <w:rPr>
          <w:rFonts w:ascii="Times New Roman" w:hAnsi="Times New Roman" w:cs="Times New Roman"/>
          <w:sz w:val="28"/>
          <w:szCs w:val="28"/>
        </w:rPr>
        <w:t>досоздания</w:t>
      </w:r>
      <w:proofErr w:type="spellEnd"/>
      <w:r w:rsidRPr="00510064">
        <w:rPr>
          <w:rFonts w:ascii="Times New Roman" w:hAnsi="Times New Roman" w:cs="Times New Roman"/>
          <w:sz w:val="28"/>
          <w:szCs w:val="28"/>
        </w:rPr>
        <w:t xml:space="preserve"> резервов на возможные потери по ссудам и выработки регулятором подходов к реструктуризации кредитных портфелей как физических, так и юридических лиц.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>На протяжении последних лет кредитование населения вносило наибольший вклад в темпы прироста ссудной задолженности нефинансового сектора российской экономики. Несмотря на снижение темпов прироста кредитования населения в 2019 году, обусловленное применением Банком России сдерживающих регулятивных мер, его динамика к началу текущего года продолжала оставаться достаточно высокой. Этому способствовало снижение рыночных процентных ставок и сохранение интенсивности спроса как в сегменте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C327C">
        <w:rPr>
          <w:rFonts w:ascii="Times New Roman" w:hAnsi="Times New Roman" w:cs="Times New Roman"/>
          <w:sz w:val="28"/>
          <w:szCs w:val="28"/>
        </w:rPr>
        <w:t xml:space="preserve">необеспеченных потребительских ссуд (НПС), так и на рынке ипотечного и жилищного кредитования (ИЖК). 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В I квартале 2020 года темпы прироста кредитования населения характеризовались неустойчивостью. В известной мере это объясняется фактором сезонности, но в основном было связано с изменениями неценовых условий кредитования в результате введения Банком России ограничительных мер и колебаниями рыночных процентных ставок, главным </w:t>
      </w:r>
      <w:r w:rsidRPr="003C327C">
        <w:rPr>
          <w:rFonts w:ascii="Times New Roman" w:hAnsi="Times New Roman" w:cs="Times New Roman"/>
          <w:sz w:val="28"/>
          <w:szCs w:val="28"/>
        </w:rPr>
        <w:lastRenderedPageBreak/>
        <w:t xml:space="preserve">образом в сегменте ИЖК. По итогам января-марта 2020 года ссудная задолженность домохозяйств по всем видам кредитов увеличилась с 17,7 до 18,3 </w:t>
      </w:r>
      <w:proofErr w:type="gramStart"/>
      <w:r w:rsidRPr="003C327C">
        <w:rPr>
          <w:rFonts w:ascii="Times New Roman" w:hAnsi="Times New Roman" w:cs="Times New Roman"/>
          <w:sz w:val="28"/>
          <w:szCs w:val="28"/>
        </w:rPr>
        <w:t>трлн</w:t>
      </w:r>
      <w:proofErr w:type="gramEnd"/>
      <w:r w:rsidRPr="003C327C">
        <w:rPr>
          <w:rFonts w:ascii="Times New Roman" w:hAnsi="Times New Roman" w:cs="Times New Roman"/>
          <w:sz w:val="28"/>
          <w:szCs w:val="28"/>
        </w:rPr>
        <w:t xml:space="preserve"> руб., или на 3,4%. При этом банки кредитовали заемщиков с учетом повышенных коэффициентов риска и показателя ПДН. </w:t>
      </w:r>
    </w:p>
    <w:p w:rsidR="00EF2A50" w:rsidRDefault="00EF2A50" w:rsidP="00EF2A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27C">
        <w:rPr>
          <w:rFonts w:ascii="Times New Roman" w:hAnsi="Times New Roman" w:cs="Times New Roman"/>
          <w:sz w:val="28"/>
          <w:szCs w:val="28"/>
        </w:rPr>
        <w:t xml:space="preserve">Несмотря на ощутимое снижение темпов прироста этого показателя по сравнению с аналогичным периодом 2019 года, признаков кредитного сжатия не наблюдалось. Эти признаки проявились сразу после введения карантинных мер и режима самоизоляции. По мере усиления вызванного пандемией </w:t>
      </w:r>
      <w:proofErr w:type="spellStart"/>
      <w:r w:rsidRPr="003C327C">
        <w:rPr>
          <w:rFonts w:ascii="Times New Roman" w:hAnsi="Times New Roman" w:cs="Times New Roman"/>
          <w:sz w:val="28"/>
          <w:szCs w:val="28"/>
        </w:rPr>
        <w:t>коронавируса</w:t>
      </w:r>
      <w:proofErr w:type="spellEnd"/>
      <w:r w:rsidRPr="003C327C">
        <w:rPr>
          <w:rFonts w:ascii="Times New Roman" w:hAnsi="Times New Roman" w:cs="Times New Roman"/>
          <w:sz w:val="28"/>
          <w:szCs w:val="28"/>
        </w:rPr>
        <w:t xml:space="preserve"> спада деловой активности банки начали переходить на консервативные стандарты предоставления кредитов. Уже в апреле сокращение объема выданных кредитов стало рекордным с весны 2015 года. </w:t>
      </w:r>
    </w:p>
    <w:p w:rsidR="00EF2A50" w:rsidRDefault="00EF2A50"/>
    <w:p w:rsidR="00EF2A50" w:rsidRDefault="00EF2A50" w:rsidP="00EF2A50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E700E">
        <w:rPr>
          <w:rFonts w:ascii="Times New Roman" w:hAnsi="Times New Roman" w:cs="Times New Roman"/>
          <w:i/>
          <w:sz w:val="28"/>
          <w:szCs w:val="28"/>
        </w:rPr>
        <w:t>Список литературы</w:t>
      </w:r>
    </w:p>
    <w:p w:rsidR="00EF2A50" w:rsidRPr="00DE700E" w:rsidRDefault="00EF2A50" w:rsidP="00EF2A50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Крымова И.П., </w:t>
      </w:r>
      <w:proofErr w:type="spellStart"/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>Дядичко</w:t>
      </w:r>
      <w:proofErr w:type="spellEnd"/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С.П. Влияние денежно-кредитной политики Банка России на финансовую стабильность // </w:t>
      </w:r>
      <w:hyperlink r:id="rId15" w:history="1">
        <w:r w:rsidRPr="00DE700E">
          <w:rPr>
            <w:rStyle w:val="a6"/>
            <w:rFonts w:ascii="Times New Roman" w:hAnsi="Times New Roman" w:cs="Times New Roman"/>
            <w:i/>
            <w:color w:val="000000"/>
            <w:sz w:val="28"/>
            <w:szCs w:val="28"/>
            <w:bdr w:val="none" w:sz="0" w:space="0" w:color="auto" w:frame="1"/>
          </w:rPr>
          <w:t>Азимут научных исследований: экономика и управление</w:t>
        </w:r>
      </w:hyperlink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>. 2019. Т.8 №2(27).– С.205-208.</w:t>
      </w: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>Зюкин</w:t>
      </w:r>
      <w:proofErr w:type="spellEnd"/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Д.В. COVID-19 или рестарт экономики // Наука и практика регионов. 2020. № 1 (18). С. 74-80.</w:t>
      </w: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E700E">
        <w:rPr>
          <w:rFonts w:ascii="Times New Roman" w:hAnsi="Times New Roman" w:cs="Times New Roman"/>
          <w:i/>
          <w:color w:val="000000"/>
          <w:sz w:val="28"/>
          <w:szCs w:val="28"/>
        </w:rPr>
        <w:t>Шагинян Т.В. Социально-экономические последствия пандемии COVID-19 // Сборник статей Международной научно-практической конференции «Новые экономические исследования». Пенза: Наука и просвещение, 2020. С. 73-75.</w:t>
      </w: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E700E">
        <w:rPr>
          <w:rFonts w:ascii="Times New Roman" w:hAnsi="Times New Roman" w:cs="Times New Roman"/>
          <w:i/>
          <w:sz w:val="28"/>
          <w:szCs w:val="28"/>
        </w:rPr>
        <w:t xml:space="preserve">Банковская система 2020. [Электронный ресурс] — Режим доступа: https://centeryf.ru/data/economy/bankovskaya-sistema-2020.php/ (дата обращения: 12.11.2020). </w:t>
      </w: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E700E">
        <w:rPr>
          <w:rFonts w:ascii="Times New Roman" w:hAnsi="Times New Roman" w:cs="Times New Roman"/>
          <w:i/>
          <w:sz w:val="28"/>
          <w:szCs w:val="28"/>
        </w:rPr>
        <w:t xml:space="preserve"> Перспективы развития банковского сектора в России. [Электронный ресурс] — Режим доступа: https://scienceforum.ru/2019/article/2018011334/ (дата обращения: 12.11.2020).</w:t>
      </w: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E700E">
        <w:rPr>
          <w:rFonts w:ascii="Times New Roman" w:hAnsi="Times New Roman" w:cs="Times New Roman"/>
          <w:i/>
          <w:sz w:val="28"/>
          <w:szCs w:val="28"/>
        </w:rPr>
        <w:t xml:space="preserve"> Официальный сайт ПАО «Московский кредитный банк». – URL: https://www.sberbank.ru/. 9. Официальный сайт Банка России. - </w:t>
      </w:r>
      <w:hyperlink r:id="rId16" w:history="1">
        <w:r w:rsidRPr="00DE700E">
          <w:rPr>
            <w:rStyle w:val="a6"/>
            <w:rFonts w:ascii="Times New Roman" w:hAnsi="Times New Roman" w:cs="Times New Roman"/>
            <w:i/>
            <w:sz w:val="28"/>
            <w:szCs w:val="28"/>
          </w:rPr>
          <w:t>https://www.</w:t>
        </w:r>
        <w:proofErr w:type="spellStart"/>
        <w:r w:rsidRPr="00DE700E">
          <w:rPr>
            <w:rStyle w:val="a6"/>
            <w:rFonts w:ascii="Times New Roman" w:hAnsi="Times New Roman" w:cs="Times New Roman"/>
            <w:i/>
            <w:sz w:val="28"/>
            <w:szCs w:val="28"/>
            <w:lang w:val="en-US"/>
          </w:rPr>
          <w:t>mcb</w:t>
        </w:r>
        <w:proofErr w:type="spellEnd"/>
        <w:r w:rsidRPr="00DE700E">
          <w:rPr>
            <w:rStyle w:val="a6"/>
            <w:rFonts w:ascii="Times New Roman" w:hAnsi="Times New Roman" w:cs="Times New Roman"/>
            <w:i/>
            <w:sz w:val="28"/>
            <w:szCs w:val="28"/>
          </w:rPr>
          <w:t>.</w:t>
        </w:r>
        <w:proofErr w:type="spellStart"/>
        <w:r w:rsidRPr="00DE700E">
          <w:rPr>
            <w:rStyle w:val="a6"/>
            <w:rFonts w:ascii="Times New Roman" w:hAnsi="Times New Roman" w:cs="Times New Roman"/>
            <w:i/>
            <w:sz w:val="28"/>
            <w:szCs w:val="28"/>
          </w:rPr>
          <w:t>ru</w:t>
        </w:r>
        <w:proofErr w:type="spellEnd"/>
        <w:r w:rsidRPr="00DE700E">
          <w:rPr>
            <w:rStyle w:val="a6"/>
            <w:rFonts w:ascii="Times New Roman" w:hAnsi="Times New Roman" w:cs="Times New Roman"/>
            <w:i/>
            <w:sz w:val="28"/>
            <w:szCs w:val="28"/>
          </w:rPr>
          <w:t>/</w:t>
        </w:r>
      </w:hyperlink>
      <w:r w:rsidRPr="00DE700E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EF2A50" w:rsidRPr="00DE700E" w:rsidRDefault="00EF2A50" w:rsidP="00EF2A50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E700E">
        <w:rPr>
          <w:rFonts w:ascii="Times New Roman" w:hAnsi="Times New Roman" w:cs="Times New Roman"/>
          <w:i/>
          <w:sz w:val="28"/>
          <w:szCs w:val="28"/>
        </w:rPr>
        <w:t xml:space="preserve">Финансовая отчетность ПАО «Московский кредитный банк»  по МСФО за 2017-2019 гг.- </w:t>
      </w:r>
      <w:r w:rsidRPr="00DE700E">
        <w:rPr>
          <w:rFonts w:ascii="Times New Roman" w:hAnsi="Times New Roman" w:cs="Times New Roman"/>
          <w:i/>
          <w:sz w:val="28"/>
          <w:szCs w:val="28"/>
          <w:lang w:val="en-US"/>
        </w:rPr>
        <w:t>URL: https://www.sberbank.ru/common/img/uploaded/files/info /</w:t>
      </w:r>
      <w:proofErr w:type="spellStart"/>
      <w:r w:rsidRPr="00DE700E">
        <w:rPr>
          <w:rFonts w:ascii="Times New Roman" w:hAnsi="Times New Roman" w:cs="Times New Roman"/>
          <w:i/>
          <w:sz w:val="28"/>
          <w:szCs w:val="28"/>
          <w:lang w:val="en-US"/>
        </w:rPr>
        <w:t>ifrs</w:t>
      </w:r>
      <w:proofErr w:type="spellEnd"/>
      <w:r w:rsidRPr="00DE700E">
        <w:rPr>
          <w:rFonts w:ascii="Times New Roman" w:hAnsi="Times New Roman" w:cs="Times New Roman"/>
          <w:i/>
          <w:sz w:val="28"/>
          <w:szCs w:val="28"/>
          <w:lang w:val="en-US"/>
        </w:rPr>
        <w:t xml:space="preserve"> /</w:t>
      </w:r>
      <w:proofErr w:type="spellStart"/>
      <w:r w:rsidRPr="00DE700E">
        <w:rPr>
          <w:rFonts w:ascii="Times New Roman" w:hAnsi="Times New Roman" w:cs="Times New Roman"/>
          <w:i/>
          <w:sz w:val="28"/>
          <w:szCs w:val="28"/>
          <w:lang w:val="en-US"/>
        </w:rPr>
        <w:t>mcb_ifrs</w:t>
      </w:r>
      <w:proofErr w:type="spellEnd"/>
      <w:r w:rsidRPr="00DE700E">
        <w:rPr>
          <w:rFonts w:ascii="Times New Roman" w:hAnsi="Times New Roman" w:cs="Times New Roman"/>
          <w:i/>
          <w:sz w:val="28"/>
          <w:szCs w:val="28"/>
          <w:lang w:val="en-US"/>
        </w:rPr>
        <w:t xml:space="preserve"> rus.pdf.</w:t>
      </w:r>
    </w:p>
    <w:p w:rsidR="00EF2A50" w:rsidRPr="00DE700E" w:rsidRDefault="00EF2A50" w:rsidP="00EF2A50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20339F" w:rsidRPr="00EF2A50" w:rsidRDefault="0020339F" w:rsidP="00EF2A50">
      <w:pPr>
        <w:rPr>
          <w:lang w:val="en-US"/>
        </w:rPr>
      </w:pPr>
    </w:p>
    <w:sectPr w:rsidR="0020339F" w:rsidRPr="00EF2A5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4F1F3D"/>
    <w:multiLevelType w:val="hybridMultilevel"/>
    <w:tmpl w:val="253A6A98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A50"/>
    <w:rsid w:val="0020339F"/>
    <w:rsid w:val="00EF2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2A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2A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2A5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F2A50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EF2A5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2A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2A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2A5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F2A50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EF2A5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mcb.r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s://cyberleninka.ru/journal/n/azimut-nauchnyh-issledovaniy-ekonomika-i-upravlenie" TargetMode="Externa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1955</Words>
  <Characters>11144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 Русяева</dc:creator>
  <cp:lastModifiedBy>Ирина Русяева</cp:lastModifiedBy>
  <cp:revision>1</cp:revision>
  <dcterms:created xsi:type="dcterms:W3CDTF">2021-01-25T06:04:00Z</dcterms:created>
  <dcterms:modified xsi:type="dcterms:W3CDTF">2021-01-25T06:06:00Z</dcterms:modified>
</cp:coreProperties>
</file>