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60"/>
        <w:ind w:firstLine="708"/>
        <w:jc w:val="both"/>
        <w:rPr>
          <w:rFonts w:ascii="Times New Roman" w:hAnsi="Times New Roman"/>
        </w:rPr>
      </w:pPr>
      <w:r>
        <w:rPr>
          <w:rFonts w:eastAsia="Times New Roman" w:cs="Times New Roman" w:ascii="Times New Roman" w:hAnsi="Times New Roman"/>
          <w:color w:val="000000"/>
          <w:sz w:val="28"/>
          <w:szCs w:val="20"/>
        </w:rPr>
        <w:t>УДК</w:t>
      </w:r>
    </w:p>
    <w:p>
      <w:pPr>
        <w:pStyle w:val="Normal1"/>
        <w:spacing w:lineRule="auto" w:line="240" w:before="0" w:after="0"/>
        <w:ind w:firstLine="709"/>
        <w:jc w:val="center"/>
        <w:rPr>
          <w:sz w:val="28"/>
          <w:szCs w:val="28"/>
        </w:rPr>
      </w:pPr>
      <w:r>
        <w:rPr>
          <w:rFonts w:eastAsia="Times New Roman" w:cs="PT Astra Serif" w:ascii="Times New Roman" w:hAnsi="Times New Roman"/>
          <w:b/>
          <w:bCs/>
          <w:color w:val="000000"/>
          <w:kern w:val="0"/>
          <w:sz w:val="28"/>
          <w:szCs w:val="28"/>
          <w:lang w:val="ru-RU" w:eastAsia="ru-RU" w:bidi="ar-SA"/>
        </w:rPr>
        <w:t>Проблемные вопросы, связанные с изъятием земельных участков для государственных и муниципальных нужд</w:t>
      </w:r>
    </w:p>
    <w:p>
      <w:pPr>
        <w:pStyle w:val="Normal"/>
        <w:spacing w:lineRule="auto" w:line="288"/>
        <w:ind w:left="4" w:hanging="4"/>
        <w:jc w:val="left"/>
        <w:rPr>
          <w:b/>
          <w:b/>
          <w:bCs/>
        </w:rPr>
      </w:pPr>
      <w:r>
        <w:rPr>
          <w:b/>
          <w:bCs/>
        </w:rPr>
      </w:r>
    </w:p>
    <w:p>
      <w:pPr>
        <w:pStyle w:val="Normal"/>
        <w:spacing w:lineRule="auto" w:line="288"/>
        <w:ind w:left="4" w:hanging="4"/>
        <w:jc w:val="left"/>
        <w:rPr>
          <w:rFonts w:ascii="Times New Roman" w:hAnsi="Times New Roman"/>
          <w:b/>
          <w:b/>
          <w:bCs/>
          <w:sz w:val="28"/>
          <w:szCs w:val="28"/>
        </w:rPr>
      </w:pPr>
      <w:r>
        <w:rPr>
          <w:rFonts w:ascii="Times New Roman" w:hAnsi="Times New Roman"/>
          <w:b/>
          <w:bCs/>
          <w:sz w:val="28"/>
          <w:szCs w:val="28"/>
        </w:rPr>
        <w:t xml:space="preserve">            </w:t>
      </w:r>
      <w:r>
        <w:rPr>
          <w:rFonts w:eastAsia="" w:cs="" w:ascii="Times New Roman" w:hAnsi="Times New Roman" w:cstheme="minorBidi" w:eastAsiaTheme="minorEastAsia"/>
          <w:b/>
          <w:bCs/>
          <w:color w:val="auto"/>
          <w:kern w:val="0"/>
          <w:sz w:val="28"/>
          <w:szCs w:val="28"/>
          <w:lang w:val="ru-RU" w:eastAsia="ru-RU" w:bidi="ar-SA"/>
        </w:rPr>
        <w:t>Джалилов З.Г.</w:t>
      </w:r>
      <w:r>
        <w:rPr>
          <w:rFonts w:ascii="Times New Roman" w:hAnsi="Times New Roman"/>
          <w:b/>
          <w:bCs/>
          <w:sz w:val="28"/>
          <w:szCs w:val="28"/>
        </w:rPr>
        <w:t xml:space="preserve"> </w:t>
      </w:r>
      <w:r>
        <w:rPr>
          <w:rFonts w:ascii="Times New Roman" w:hAnsi="Times New Roman"/>
          <w:b w:val="false"/>
          <w:bCs w:val="false"/>
          <w:sz w:val="28"/>
          <w:szCs w:val="28"/>
        </w:rPr>
        <w:t>курсант</w:t>
      </w:r>
    </w:p>
    <w:p>
      <w:pPr>
        <w:pStyle w:val="NoSpacing"/>
        <w:ind w:left="0" w:right="0" w:firstLine="851"/>
        <w:jc w:val="both"/>
        <w:rPr>
          <w:rFonts w:ascii="Times New Roman" w:hAnsi="Times New Roman"/>
          <w:sz w:val="28"/>
        </w:rPr>
      </w:pPr>
      <w:r>
        <w:rPr>
          <w:rFonts w:ascii="Times New Roman" w:hAnsi="Times New Roman"/>
          <w:sz w:val="28"/>
        </w:rPr>
        <w:t>Новосибирский  военный ордена Жукова институт имени  генерала армии И. К. Яковлева войск национальной гвардии Российской Федерации</w:t>
      </w:r>
    </w:p>
    <w:p>
      <w:pPr>
        <w:pStyle w:val="NoSpacing"/>
        <w:ind w:left="0" w:right="0" w:firstLine="851"/>
        <w:jc w:val="both"/>
        <w:rPr>
          <w:rFonts w:ascii="Times New Roman" w:hAnsi="Times New Roman"/>
          <w:sz w:val="28"/>
        </w:rPr>
      </w:pPr>
      <w:r>
        <w:rPr>
          <w:rFonts w:ascii="Times New Roman" w:hAnsi="Times New Roman"/>
          <w:sz w:val="28"/>
        </w:rPr>
        <w:t>г. Новосибирск</w:t>
      </w:r>
    </w:p>
    <w:p>
      <w:pPr>
        <w:pStyle w:val="NoSpacing"/>
        <w:spacing w:lineRule="auto" w:line="288"/>
        <w:ind w:left="0" w:right="0" w:firstLine="851"/>
        <w:jc w:val="both"/>
        <w:rPr>
          <w:rFonts w:ascii="Times New Roman" w:hAnsi="Times New Roman"/>
          <w:sz w:val="28"/>
        </w:rPr>
      </w:pPr>
      <w:r>
        <w:rPr>
          <w:rFonts w:ascii="Times New Roman" w:hAnsi="Times New Roman"/>
          <w:b w:val="false"/>
          <w:bCs w:val="false"/>
          <w:sz w:val="28"/>
          <w:szCs w:val="28"/>
        </w:rPr>
        <w:t>Е-mail:</w:t>
      </w:r>
      <w:r>
        <w:rPr>
          <w:rFonts w:ascii="Times New Roman" w:hAnsi="Times New Roman"/>
          <w:b w:val="false"/>
          <w:bCs w:val="false"/>
          <w:sz w:val="28"/>
          <w:szCs w:val="28"/>
        </w:rPr>
        <w:t>lollla74@mail.ru</w:t>
      </w:r>
    </w:p>
    <w:p>
      <w:pPr>
        <w:pStyle w:val="Normal"/>
        <w:spacing w:lineRule="auto" w:line="288"/>
        <w:ind w:left="4" w:hanging="4"/>
        <w:jc w:val="center"/>
        <w:rPr>
          <w:rFonts w:eastAsia="Times New Roman" w:cs="Times New Roman"/>
          <w:i/>
          <w:i/>
          <w:color w:val="000000"/>
          <w:sz w:val="28"/>
          <w:szCs w:val="20"/>
        </w:rPr>
      </w:pPr>
      <w:r>
        <w:rPr>
          <w:rFonts w:eastAsia="Times New Roman" w:cs="Times New Roman"/>
          <w:i/>
          <w:color w:val="000000"/>
          <w:sz w:val="28"/>
          <w:szCs w:val="20"/>
        </w:rPr>
      </w:r>
    </w:p>
    <w:p>
      <w:pPr>
        <w:pStyle w:val="Normal1"/>
        <w:spacing w:lineRule="auto" w:line="288"/>
        <w:ind w:firstLine="709"/>
        <w:jc w:val="both"/>
        <w:rPr>
          <w:sz w:val="28"/>
          <w:szCs w:val="28"/>
        </w:rPr>
      </w:pPr>
      <w:r>
        <w:rPr>
          <w:rFonts w:eastAsia="Times New Roman" w:cs="Times New Roman" w:ascii="Times New Roman" w:hAnsi="Times New Roman"/>
          <w:color w:val="000000"/>
          <w:kern w:val="0"/>
          <w:sz w:val="28"/>
          <w:szCs w:val="28"/>
          <w:lang w:val="ru-RU" w:eastAsia="ru-RU" w:bidi="ar-SA"/>
        </w:rPr>
        <w:t>Каждый гражданин Российской Федерации вправе иметь в своей собственности земельный участок, вместе с тем осуществлять триаду правомочий: владеть, пользоваться, распоряжаться данным участком. На сегодняшний момент в российском законодательстве существуют определённые гарантии на правовую защиту как вещных, так и обязательственных прав на земельные участки, а также регламентируются основания принудительного прекращения этих прав. В последние годы возросла потребность в детализации оснований и порядка принудительного прекращения права собственности на землю с помощью разъяснения действующих норм, но и также это привело к созданию дополнительных правовых норм.</w:t>
      </w:r>
    </w:p>
    <w:p>
      <w:pPr>
        <w:pStyle w:val="Normal"/>
        <w:spacing w:lineRule="auto" w:line="288"/>
        <w:ind w:firstLine="709"/>
        <w:jc w:val="both"/>
        <w:rPr>
          <w:rFonts w:eastAsia="Times New Roman" w:cs="Times New Roman"/>
          <w:color w:val="000000" w:themeColor="text1"/>
        </w:rPr>
      </w:pPr>
      <w:r>
        <w:rPr>
          <w:rFonts w:eastAsia="Times New Roman" w:cs="Times New Roman"/>
          <w:color w:val="000000" w:themeColor="text1"/>
        </w:rPr>
      </w:r>
    </w:p>
    <w:p>
      <w:pPr>
        <w:pStyle w:val="Normal"/>
        <w:spacing w:lineRule="auto" w:line="288"/>
        <w:ind w:firstLine="709"/>
        <w:jc w:val="both"/>
        <w:rPr>
          <w:rFonts w:ascii="Times New Roman" w:hAnsi="Times New Roman" w:eastAsia="Times New Roman" w:cs="Times New Roman"/>
          <w:i/>
          <w:i/>
          <w:color w:val="000000"/>
          <w:sz w:val="28"/>
          <w:szCs w:val="28"/>
        </w:rPr>
      </w:pPr>
      <w:r>
        <w:rPr>
          <w:rFonts w:eastAsia="Times New Roman" w:cs="Times New Roman" w:ascii="Times New Roman" w:hAnsi="Times New Roman"/>
          <w:b/>
          <w:bCs/>
          <w:i/>
          <w:color w:val="000000" w:themeColor="text1"/>
          <w:sz w:val="28"/>
          <w:szCs w:val="28"/>
        </w:rPr>
        <w:t>Ключевые слова:</w:t>
      </w:r>
      <w:r>
        <w:rPr>
          <w:rFonts w:eastAsia="Times New Roman" w:cs="Times New Roman" w:ascii="Times New Roman" w:hAnsi="Times New Roman"/>
          <w:i/>
          <w:color w:val="000000" w:themeColor="text1"/>
          <w:sz w:val="28"/>
          <w:szCs w:val="28"/>
        </w:rPr>
        <w:t xml:space="preserve"> </w:t>
      </w:r>
      <w:r>
        <w:rPr>
          <w:rFonts w:eastAsia="Times New Roman" w:cs="Times New Roman" w:ascii="Times New Roman" w:hAnsi="Times New Roman"/>
          <w:i/>
          <w:color w:val="000000" w:themeColor="text1"/>
          <w:sz w:val="28"/>
          <w:szCs w:val="28"/>
        </w:rPr>
        <w:t>гражданин</w:t>
      </w:r>
      <w:r>
        <w:rPr>
          <w:rFonts w:eastAsia="Times New Roman" w:cs="Times New Roman" w:ascii="Times New Roman" w:hAnsi="Times New Roman"/>
          <w:i/>
          <w:color w:val="000000" w:themeColor="text1"/>
          <w:kern w:val="0"/>
          <w:sz w:val="28"/>
          <w:szCs w:val="28"/>
          <w:lang w:val="ru-RU" w:eastAsia="ru-RU" w:bidi="ar-SA"/>
        </w:rPr>
        <w:t xml:space="preserve">, </w:t>
      </w:r>
      <w:r>
        <w:rPr>
          <w:rFonts w:eastAsia="Times New Roman" w:cs="Times New Roman" w:ascii="Times New Roman" w:hAnsi="Times New Roman"/>
          <w:i/>
          <w:color w:val="000000" w:themeColor="text1"/>
          <w:kern w:val="0"/>
          <w:sz w:val="28"/>
          <w:szCs w:val="28"/>
          <w:lang w:val="ru-RU" w:eastAsia="ru-RU" w:bidi="ar-SA"/>
        </w:rPr>
        <w:t>собственность</w:t>
      </w:r>
      <w:r>
        <w:rPr>
          <w:rFonts w:eastAsia="Times New Roman" w:cs="Times New Roman" w:ascii="Times New Roman" w:hAnsi="Times New Roman"/>
          <w:i/>
          <w:color w:val="000000" w:themeColor="text1"/>
          <w:kern w:val="0"/>
          <w:sz w:val="28"/>
          <w:szCs w:val="28"/>
          <w:lang w:val="ru-RU" w:eastAsia="ru-RU" w:bidi="ar-SA"/>
        </w:rPr>
        <w:t xml:space="preserve">, </w:t>
      </w:r>
      <w:r>
        <w:rPr>
          <w:rFonts w:eastAsia="Times New Roman" w:cs="Times New Roman" w:ascii="Times New Roman" w:hAnsi="Times New Roman"/>
          <w:i/>
          <w:color w:val="000000" w:themeColor="text1"/>
          <w:kern w:val="0"/>
          <w:sz w:val="28"/>
          <w:szCs w:val="28"/>
          <w:lang w:val="ru-RU" w:eastAsia="ru-RU" w:bidi="ar-SA"/>
        </w:rPr>
        <w:t>земельный участок, государственные и муниципальные нужды.</w:t>
      </w:r>
    </w:p>
    <w:p>
      <w:pPr>
        <w:pStyle w:val="Normal"/>
        <w:spacing w:lineRule="auto" w:line="288"/>
        <w:ind w:firstLine="709"/>
        <w:jc w:val="both"/>
        <w:rPr>
          <w:color w:themeColor="text1"/>
        </w:rPr>
      </w:pPr>
      <w:r>
        <w:rPr>
          <w:color w:themeColor="text1"/>
        </w:rPr>
      </w:r>
    </w:p>
    <w:p>
      <w:pPr>
        <w:pStyle w:val="Normal"/>
        <w:spacing w:lineRule="auto" w:line="288"/>
        <w:ind w:left="4" w:hanging="4"/>
        <w:jc w:val="center"/>
        <w:rPr>
          <w:rFonts w:ascii="Times New Roman" w:hAnsi="Times New Roman"/>
          <w:b/>
          <w:b/>
          <w:bCs/>
        </w:rPr>
      </w:pPr>
      <w:r>
        <w:rPr>
          <w:rFonts w:eastAsia="Times New Roman" w:cs="Times New Roman" w:ascii="Times New Roman" w:hAnsi="Times New Roman"/>
          <w:b/>
          <w:bCs/>
          <w:i/>
          <w:iCs/>
          <w:color w:val="000000"/>
          <w:sz w:val="28"/>
          <w:szCs w:val="20"/>
        </w:rPr>
        <w:t>Problematic issues related to the seizure of land plots for state and municipal needs</w:t>
      </w:r>
    </w:p>
    <w:p>
      <w:pPr>
        <w:pStyle w:val="Normal"/>
        <w:spacing w:lineRule="auto" w:line="288"/>
        <w:ind w:left="4" w:hanging="4"/>
        <w:jc w:val="left"/>
        <w:rPr>
          <w:rFonts w:ascii="Times New Roman" w:hAnsi="Times New Roman" w:eastAsia="Times New Roman" w:cs="Times New Roman"/>
          <w:b/>
          <w:b/>
          <w:bCs/>
          <w:i/>
          <w:i/>
          <w:iCs/>
          <w:color w:val="000000"/>
          <w:kern w:val="0"/>
          <w:sz w:val="28"/>
          <w:szCs w:val="20"/>
          <w:lang w:val="ru-RU" w:eastAsia="ru-RU" w:bidi="ar-SA"/>
        </w:rPr>
      </w:pPr>
      <w:r>
        <w:rPr>
          <w:rFonts w:eastAsia="Times New Roman" w:cs="Times New Roman" w:ascii="Times New Roman" w:hAnsi="Times New Roman"/>
          <w:b/>
          <w:bCs/>
          <w:i/>
          <w:iCs/>
          <w:color w:val="000000"/>
          <w:kern w:val="0"/>
          <w:sz w:val="28"/>
          <w:szCs w:val="20"/>
          <w:lang w:val="ru-RU" w:eastAsia="ru-RU" w:bidi="ar-SA"/>
        </w:rPr>
        <w:t>Dzhalilov Z.G.</w:t>
      </w:r>
    </w:p>
    <w:p>
      <w:pPr>
        <w:pStyle w:val="Normal"/>
        <w:spacing w:lineRule="auto" w:line="288"/>
        <w:ind w:left="4" w:hanging="4"/>
        <w:jc w:val="left"/>
        <w:rPr>
          <w:rFonts w:eastAsia="Times New Roman" w:cs="Times New Roman"/>
          <w:i/>
          <w:i/>
          <w:iCs/>
          <w:color w:val="000000"/>
          <w:sz w:val="28"/>
          <w:szCs w:val="20"/>
        </w:rPr>
      </w:pPr>
      <w:r>
        <w:rPr>
          <w:rFonts w:eastAsia="Times New Roman" w:cs="Times New Roman"/>
          <w:i/>
          <w:iCs/>
          <w:color w:val="000000"/>
          <w:sz w:val="28"/>
          <w:szCs w:val="20"/>
        </w:rPr>
      </w:r>
    </w:p>
    <w:p>
      <w:pPr>
        <w:pStyle w:val="Normal"/>
        <w:spacing w:lineRule="auto" w:line="288"/>
        <w:ind w:firstLine="709"/>
        <w:jc w:val="both"/>
        <w:rPr>
          <w:rFonts w:ascii="Times New Roman" w:hAnsi="Times New Roman"/>
          <w:sz w:val="28"/>
          <w:szCs w:val="28"/>
        </w:rPr>
      </w:pPr>
      <w:r>
        <w:rPr>
          <w:rFonts w:eastAsia="Times New Roman" w:cs="Times New Roman" w:ascii="Times New Roman" w:hAnsi="Times New Roman"/>
          <w:color w:val="000000" w:themeColor="text1"/>
          <w:sz w:val="28"/>
          <w:szCs w:val="28"/>
        </w:rPr>
        <w:t>Every citizen of the Russian Federation has the right to own a land plot, at the same time to exercise a triad of powers: to own, use, dispose of this plot. At the moment, there are certain guarantees in Russian legislation for the legal protection of both real and binding rights to land plots, and the grounds for the compulsory termination of these rights are also regulated. In recent years, there has been an increased need to detail the grounds and procedure for the compulsory termination of land ownership by clarifying the current norms, but this has also led to the creation of additional legal norms.</w:t>
      </w:r>
    </w:p>
    <w:p>
      <w:pPr>
        <w:pStyle w:val="Normal"/>
        <w:spacing w:lineRule="auto" w:line="288"/>
        <w:ind w:firstLine="709"/>
        <w:jc w:val="both"/>
        <w:rPr>
          <w:rFonts w:eastAsia="Times New Roman" w:cs="Times New Roman"/>
          <w:color w:val="000000" w:themeColor="text1"/>
        </w:rPr>
      </w:pPr>
      <w:r>
        <w:rPr>
          <w:rFonts w:eastAsia="Times New Roman" w:cs="Times New Roman"/>
          <w:color w:val="000000" w:themeColor="text1"/>
        </w:rPr>
      </w:r>
    </w:p>
    <w:p>
      <w:pPr>
        <w:pStyle w:val="Normal"/>
        <w:spacing w:lineRule="auto" w:line="288"/>
        <w:ind w:firstLine="709"/>
        <w:jc w:val="both"/>
        <w:rPr>
          <w:rFonts w:ascii="Times New Roman" w:hAnsi="Times New Roman"/>
          <w:sz w:val="28"/>
          <w:szCs w:val="28"/>
        </w:rPr>
      </w:pPr>
      <w:r>
        <w:rPr>
          <w:rFonts w:eastAsia="Times New Roman" w:cs="Times New Roman" w:ascii="Times New Roman" w:hAnsi="Times New Roman"/>
          <w:b/>
          <w:bCs/>
          <w:i/>
          <w:color w:val="000000" w:themeColor="text1"/>
          <w:sz w:val="28"/>
          <w:szCs w:val="28"/>
        </w:rPr>
        <w:t>Key words:</w:t>
      </w:r>
      <w:r>
        <w:rPr>
          <w:rFonts w:eastAsia="Times New Roman" w:cs="Times New Roman" w:ascii="Times New Roman" w:hAnsi="Times New Roman"/>
          <w:i/>
          <w:color w:val="000000" w:themeColor="text1"/>
          <w:sz w:val="28"/>
          <w:szCs w:val="28"/>
        </w:rPr>
        <w:t xml:space="preserve"> citizen, property, land plot, state and municipal needs.</w:t>
      </w:r>
    </w:p>
    <w:p>
      <w:pPr>
        <w:pStyle w:val="Normal"/>
        <w:spacing w:lineRule="auto" w:line="288"/>
        <w:ind w:left="4" w:hanging="4"/>
        <w:jc w:val="center"/>
        <w:rPr>
          <w:rFonts w:eastAsia="Times New Roman" w:cs="Times New Roman"/>
          <w:i/>
          <w:i/>
          <w:color w:val="000000"/>
          <w:sz w:val="28"/>
          <w:szCs w:val="20"/>
        </w:rPr>
      </w:pPr>
      <w:r>
        <w:rPr>
          <w:rFonts w:eastAsia="Times New Roman" w:cs="Times New Roman"/>
          <w:i/>
          <w:color w:val="000000"/>
          <w:sz w:val="28"/>
          <w:szCs w:val="20"/>
        </w:rPr>
      </w:r>
    </w:p>
    <w:p>
      <w:pPr>
        <w:pStyle w:val="Normal1"/>
        <w:ind w:firstLine="709"/>
        <w:jc w:val="both"/>
        <w:rPr>
          <w:sz w:val="28"/>
          <w:szCs w:val="28"/>
        </w:rPr>
      </w:pPr>
      <w:r>
        <w:rPr>
          <w:sz w:val="28"/>
          <w:szCs w:val="28"/>
        </w:rPr>
        <w:t xml:space="preserve">Конституция Российской федерации признает и охраняет частную собственность. А значит, вне зависимости от оснований, которые приводят к принудительному прекращению права собственности на земельные участки, все действия, а также решения по принудительному прекращению права на земельный участок, должны основываться прежде всего на принципе главенства интересов общества и граждан. Регулировать использование земельных участков и осуществлять охрану земель необходимо в интересах общества в целом при обеспечении гарантий каждого гражданина на свободное владение, пользование и распоряжение принадлежащим ему земельным участком. </w:t>
      </w:r>
    </w:p>
    <w:p>
      <w:pPr>
        <w:pStyle w:val="Normal1"/>
        <w:ind w:firstLine="709"/>
        <w:jc w:val="both"/>
        <w:rPr>
          <w:sz w:val="28"/>
          <w:szCs w:val="28"/>
        </w:rPr>
      </w:pPr>
      <w:r>
        <w:rPr>
          <w:sz w:val="28"/>
          <w:szCs w:val="28"/>
        </w:rPr>
        <w:t>Также Конституция РФ, и статья 306 ГК РФ гарантирует, что при обращении земельного участка в собственность государства, будет производится возмещение стоимости участка, и других убытки, которые были причинены собственнику.</w:t>
      </w:r>
    </w:p>
    <w:p>
      <w:pPr>
        <w:pStyle w:val="Normal1"/>
        <w:ind w:firstLine="709"/>
        <w:jc w:val="both"/>
        <w:rPr>
          <w:sz w:val="28"/>
          <w:szCs w:val="28"/>
        </w:rPr>
      </w:pPr>
      <w:r>
        <w:rPr>
          <w:sz w:val="28"/>
          <w:szCs w:val="28"/>
        </w:rPr>
        <w:t>Вместе с этим существуют определённые коллизии, которые приводят к нарушению прав собственников земельных участков. На наш взгляд хотелось бы рассмотреть определённые проблемы, которые связаны с принудительным прекращением права собственности при «изъятие земельного участка для государственных и муниципальных нужд» [1].</w:t>
      </w:r>
    </w:p>
    <w:p>
      <w:pPr>
        <w:pStyle w:val="Normal1"/>
        <w:ind w:firstLine="709"/>
        <w:jc w:val="both"/>
        <w:rPr>
          <w:sz w:val="28"/>
          <w:szCs w:val="28"/>
        </w:rPr>
      </w:pPr>
      <w:r>
        <w:rPr>
          <w:sz w:val="28"/>
          <w:szCs w:val="28"/>
        </w:rPr>
        <w:t>Рассматривая данную тему, сразу стоит отметить, что изъятие земельных участков для государственных и муниципальных нужд регламентируется несколькими нормативно - правовыми актами. Статья 279 ГК РФ закрепляет, что в результате изъятия земельного участка для государственных или муниципальных нужд осуществляется прекращение права собственности гражданина или юридического лица на такой земельный участок [2]. Поводом для прекращения обсуждаемых прав служит заключенное соглашение об изъятии земельного участка для государственных и муниципальных нужд или же вступившее в законную силу решение суда о принудительном изъятии земельного участка.</w:t>
      </w:r>
    </w:p>
    <w:p>
      <w:pPr>
        <w:pStyle w:val="Normal1"/>
        <w:ind w:firstLine="709"/>
        <w:jc w:val="both"/>
        <w:rPr>
          <w:sz w:val="28"/>
          <w:szCs w:val="28"/>
        </w:rPr>
      </w:pPr>
      <w:r>
        <w:rPr>
          <w:sz w:val="28"/>
          <w:szCs w:val="28"/>
        </w:rPr>
        <w:t>Земельное законодательство имеет некие пробелы в обсуждаемой теме, стоит обратиться к статье 49 ЗК РФ, где прописано, что изъятие земельных участков для государственных и муниципальных нужд осуществляется в исключительных случаях, которые предусмотрены данной статьей. Однако существует пункт 3 в статье 49 ЗК РФ, где законодатель установил, что могут быть установлены и «иные основания, предусмотренные федеральными законами». А следует предоставленное законом расширение различных случаев изъятия для публичных нужд создает различные ситуации, где будет просматриваться ущемление прав собственников.</w:t>
      </w:r>
    </w:p>
    <w:p>
      <w:pPr>
        <w:pStyle w:val="Normal1"/>
        <w:ind w:firstLine="709"/>
        <w:jc w:val="both"/>
        <w:rPr>
          <w:sz w:val="28"/>
          <w:szCs w:val="28"/>
        </w:rPr>
      </w:pPr>
      <w:r>
        <w:rPr>
          <w:sz w:val="28"/>
          <w:szCs w:val="28"/>
        </w:rPr>
        <w:t xml:space="preserve">Самончик О.А. рассуждая на данную тему считает, что законодатель, закрепляя различные исключительные случаи изъятия земельных участков для государственных или муниципальных нужд и предусматривая возможность установления законами иных обстоятельств их изъятия, в то же время не предусматривал возможности установления этими законами иного порядка изъятия земель [3]. </w:t>
      </w:r>
    </w:p>
    <w:p>
      <w:pPr>
        <w:pStyle w:val="Normal1"/>
        <w:ind w:firstLine="709"/>
        <w:jc w:val="both"/>
        <w:rPr>
          <w:sz w:val="28"/>
          <w:szCs w:val="28"/>
        </w:rPr>
      </w:pPr>
      <w:r>
        <w:rPr>
          <w:sz w:val="28"/>
          <w:szCs w:val="28"/>
        </w:rPr>
        <w:t>Следует, чтобы устранить данную проблему с неограниченным перечнем основанием и во избежание неправильного толкования понятия «иные основания» и использования данной трактовки в целях, отличных от предусмотренных, имеет смысл установить все допустимые основания для изъятия земельных участков в статье 49 ЗК РФ.</w:t>
      </w:r>
    </w:p>
    <w:p>
      <w:pPr>
        <w:pStyle w:val="Normal1"/>
        <w:ind w:firstLine="709"/>
        <w:jc w:val="both"/>
        <w:rPr>
          <w:sz w:val="28"/>
          <w:szCs w:val="28"/>
        </w:rPr>
      </w:pPr>
      <w:r>
        <w:rPr>
          <w:sz w:val="28"/>
          <w:szCs w:val="28"/>
        </w:rPr>
        <w:t>Так же, правовые пробелы отмечаются в абстрактности понятия «государственные и муниципальные нужды», стоит отметить, что в действующем ЗК.РФ не закреплено четкого определения. В следствии этого не понятны критерии, которые будут определять государственные и муниципальные нужды.  В таком случае можно просматривать злоупотреблением со стороны уполномоченных органов и более важный момент связан с тем, что возникают нарушения конституционных гарантий. Верховным Судом Российской Федерации (далее по тексту – ВС РФ) была предпринята попытка разъяснить понятие «государственные и муниципальные нужды», что нашло отражение в определении по конкретному делу. В определении ВС РФ указал, что под государственными и муниципальными нуждами могут пониматься потребности публично-правового образования, удовлетворение которых направлено на достижение интересов общества (общественно полезных целей), но является невозможным без изъятия имущества, принадлежащего частному субъекту [4]. Из этого следует, что в основу решения об изъятии земельного участка должно составлять общественно полезные цели, осуществить которые возможно лишь при вмешательстве в частные интересы. По мнению автора, это объяснение не включает основную информацию, так как не закреплено то, что понимается под интересами общества и каким образом определяются общественно полезные цели. В решение данной проблемы, возникает необходимость на уровне законодательства закрепить те аспекты, которые будет описывать государственные и муниципальные нужды. Автор статьи предлагает следующие понятие. Государственные и муниципальные нужды — это такие потребности, которые возникают в определенном публично-правовом образовании, где функции государства или муниципального образования направлены на удовлетворение интересов неопределенного круга лиц (населения), реализация таких нужд осуществляется за счет средств федерального бюджета, либо бюджетов субъектов Российской Федерации и внебюджетных источников финансирования Российской Федерации.</w:t>
      </w:r>
    </w:p>
    <w:p>
      <w:pPr>
        <w:pStyle w:val="Normal1"/>
        <w:ind w:firstLine="709"/>
        <w:jc w:val="both"/>
        <w:rPr>
          <w:sz w:val="28"/>
          <w:szCs w:val="28"/>
        </w:rPr>
      </w:pPr>
      <w:r>
        <w:rPr>
          <w:sz w:val="28"/>
          <w:szCs w:val="28"/>
        </w:rPr>
        <w:t>Порядок изъятия земельных участков для государственных и муниципальных нужд последовательно прописан в главе 7.1. ЗК РФ. Данная глава получила особое внимание, многие ученные в своих работах обращались к этой главе. Стоит обратиться к трудам Воронцова А.А., где автор поднимает проблему отсутствия правового механизма отмены решения об изъятии земельного участка и реституции путем возврата земли бывшему владельцу [5].  В реальной жизни возможна ситуация, когда после осуществления процедуры изъятия, которая проводилась в соответствии с законом, земельный участок используется для других целей, не связанных с первоначальными целями изъятия или же, после реализации государственных или муниципальных нужд необходимость в использовании данного участка отпадает, ведь в таких ситуациях можно просмотреть и коррупционную составляющую. Нерешенность данного вопроса подтверждается и отсутствием в законодательстве установленного срока реализации изъятого земельного участка. Решение заключается в том, что необходимо включить в земельное законодательство нормы, по которому решение об изъятии может быть оспорено надзорными органами. И результатом введения нормы будет, во-первых, возможность бывшего собственника вернуть земельный участок, а во-вторых, привлечения к ответственности органов государственной власти и местного самоуправления за нецелевое использование изъятого земельного участка.</w:t>
      </w:r>
    </w:p>
    <w:p>
      <w:pPr>
        <w:pStyle w:val="Normal1"/>
        <w:ind w:firstLine="709"/>
        <w:jc w:val="both"/>
        <w:rPr>
          <w:sz w:val="28"/>
          <w:szCs w:val="28"/>
        </w:rPr>
      </w:pPr>
      <w:r>
        <w:rPr>
          <w:sz w:val="28"/>
          <w:szCs w:val="28"/>
        </w:rPr>
        <w:t>Зачастую возникают ситуации, когда муниципальные образования не соблюдают порядок изъятия, для рассмотрения такой ситуации стоит обратиться к судебной практике Верховного Суда Удмуртской Республики. В суд обратился гражданин И. с иском к администрации муниципального образования о взыскании убытков, причиненных фактическим изъятием для строительства автомобильной дороги земельного участка без соблюдения установленной законом процедуры. То есть, администрация города проигнорировала порядок изъятия земельного участка, который установлен Земельным законодательством. Суд принял решение, что администрация муниципального образования не исполнила проведение процедуры изъятия. На время рассмотрения дела на указанном земельном участке уже была расположена автомобильная дорога. При таких обстоятельствах и на основании статей 15, 16, 1069 ГК РФ судом были удовлетворены исковые требования И. о взыскании за счет казны муниципального образования убытков, причиненных неправомерными действиями органа местного самоуправления, в размере рыночной стоимости земельного участка. При этом должностные лица, которые нарушили нормы закона не были привлечены к ответственности [6].</w:t>
      </w:r>
    </w:p>
    <w:p>
      <w:pPr>
        <w:pStyle w:val="Normal1"/>
        <w:ind w:firstLine="709"/>
        <w:jc w:val="both"/>
        <w:rPr>
          <w:sz w:val="28"/>
          <w:szCs w:val="28"/>
        </w:rPr>
      </w:pPr>
      <w:r>
        <w:rPr>
          <w:sz w:val="28"/>
          <w:szCs w:val="28"/>
        </w:rPr>
        <w:t>Итак, произведенный анализ современного земельного законодательства и отдельных норм, приводит к одному выводу, что нормы в целом создают необходимые условия для соблюдения конституционно закрепленных прав граждан, но в тоже время отдельные положения требуют дополнений, так как имеют пробелы. В связи с неточным определением различных критерий, государство и муниципальные образования, могут использовать земли неправомерно, в иных целях, а следует данные нормы требуют уточнения и конкретизации со стороны законодателя.</w:t>
      </w:r>
    </w:p>
    <w:p>
      <w:pPr>
        <w:pStyle w:val="Normal1"/>
        <w:ind w:firstLine="709"/>
        <w:jc w:val="both"/>
        <w:rPr>
          <w:sz w:val="28"/>
          <w:szCs w:val="28"/>
        </w:rPr>
      </w:pPr>
      <w:r>
        <w:rPr>
          <w:sz w:val="28"/>
          <w:szCs w:val="28"/>
        </w:rPr>
      </w:r>
    </w:p>
    <w:p>
      <w:pPr>
        <w:pStyle w:val="Normal1"/>
        <w:ind w:firstLine="709"/>
        <w:jc w:val="both"/>
        <w:rPr>
          <w:i/>
          <w:i/>
          <w:sz w:val="28"/>
          <w:szCs w:val="28"/>
        </w:rPr>
      </w:pPr>
      <w:r>
        <w:rPr>
          <w:i/>
          <w:sz w:val="28"/>
          <w:szCs w:val="28"/>
        </w:rPr>
        <w:t>Библиографический список</w:t>
      </w:r>
    </w:p>
    <w:p>
      <w:pPr>
        <w:pStyle w:val="Normal1"/>
        <w:ind w:firstLine="709"/>
        <w:jc w:val="both"/>
        <w:rPr>
          <w:i/>
          <w:i/>
          <w:sz w:val="28"/>
          <w:szCs w:val="28"/>
        </w:rPr>
      </w:pPr>
      <w:r>
        <w:rPr>
          <w:i/>
          <w:sz w:val="28"/>
          <w:szCs w:val="28"/>
        </w:rPr>
        <w:t>1 Поветкина Е.Л.     Изъятие имущества для публичных нужд: цивилистические устои и современные тенденции .». Журнал «Закон»№ 2 февраль 2014.Венецианов М.В. Экспроприация с точки зрения гражданского права. Казань, 1891. С.4-6.</w:t>
      </w:r>
    </w:p>
    <w:p>
      <w:pPr>
        <w:pStyle w:val="Normal1"/>
        <w:ind w:firstLine="709"/>
        <w:jc w:val="both"/>
        <w:rPr>
          <w:i/>
          <w:i/>
          <w:sz w:val="28"/>
          <w:szCs w:val="28"/>
        </w:rPr>
      </w:pPr>
      <w:r>
        <w:rPr>
          <w:i/>
          <w:sz w:val="28"/>
          <w:szCs w:val="28"/>
        </w:rPr>
        <w:t>2. Нарышева Н.Г. Государственная политика и правовое регулирование земельных отношений / Н.Г. Нарышева // Экологическое право. 2016. N 3. С. 35 - 41.</w:t>
      </w:r>
    </w:p>
    <w:p>
      <w:pPr>
        <w:pStyle w:val="Normal1"/>
        <w:ind w:firstLine="709"/>
        <w:jc w:val="both"/>
        <w:rPr>
          <w:i/>
          <w:i/>
          <w:sz w:val="28"/>
          <w:szCs w:val="28"/>
        </w:rPr>
      </w:pPr>
      <w:r>
        <w:rPr>
          <w:i/>
          <w:sz w:val="28"/>
          <w:szCs w:val="28"/>
        </w:rPr>
        <w:t>3.Самончик О.А. Новое в правовом регулировании изъятия земель для государственных и муниципальных нужд // Труды Института государства и права РАН. 2015. №1. С.15-18.</w:t>
      </w:r>
    </w:p>
    <w:p>
      <w:pPr>
        <w:pStyle w:val="Normal1"/>
        <w:ind w:firstLine="709"/>
        <w:jc w:val="both"/>
        <w:rPr>
          <w:i/>
          <w:i/>
          <w:sz w:val="28"/>
          <w:szCs w:val="28"/>
        </w:rPr>
      </w:pPr>
      <w:r>
        <w:rPr>
          <w:i/>
          <w:sz w:val="28"/>
          <w:szCs w:val="28"/>
        </w:rPr>
        <w:t>4. Воронин Б.А., Чупина И.П., Симачкова Н.Н., Зарубина Е.В, Фатеева Н.Б. Критерии определения оснований изъятия земельных участков для государственных и муниципальных нужд // Московский экономический журнал. 2020. №5. С.2-6.</w:t>
      </w:r>
    </w:p>
    <w:p>
      <w:pPr>
        <w:pStyle w:val="Normal1"/>
        <w:spacing w:lineRule="auto" w:line="360" w:before="0" w:after="0"/>
        <w:ind w:firstLine="709"/>
        <w:contextualSpacing/>
        <w:jc w:val="both"/>
        <w:rPr>
          <w:i/>
          <w:i/>
          <w:sz w:val="28"/>
          <w:szCs w:val="28"/>
        </w:rPr>
      </w:pPr>
      <w:r>
        <w:rPr>
          <w:rStyle w:val="Strong"/>
          <w:rFonts w:eastAsia="Times New Roman" w:cs="Times New Roman" w:ascii="Times New Roman" w:hAnsi="Times New Roman"/>
          <w:b w:val="false"/>
          <w:bCs w:val="false"/>
          <w:i/>
          <w:color w:val="000000"/>
          <w:spacing w:val="0"/>
          <w:kern w:val="0"/>
          <w:sz w:val="28"/>
          <w:szCs w:val="28"/>
          <w:lang w:val="ru-RU" w:eastAsia="zh-CN"/>
        </w:rPr>
        <w:t xml:space="preserve">5. Воронцова А.А., Заславская Н.М. Интерактивные методы в преподавании земельного права: Левиафан, или Изъятие земельных участков для государственных или муниципальных нужд // Экологическое право, 2015. N 5. С. 34 - 38. </w:t>
      </w:r>
    </w:p>
    <w:p>
      <w:pPr>
        <w:pStyle w:val="Normal"/>
        <w:spacing w:lineRule="auto" w:line="288"/>
        <w:jc w:val="right"/>
        <w:rPr>
          <w:rFonts w:eastAsia="Times New Roman" w:cs="Times New Roman"/>
          <w:color w:val="000000"/>
          <w:sz w:val="28"/>
          <w:szCs w:val="20"/>
        </w:rPr>
      </w:pPr>
      <w:r>
        <w:rPr>
          <w:rFonts w:eastAsia="Times New Roman" w:cs="Times New Roman"/>
          <w:color w:val="000000"/>
          <w:sz w:val="28"/>
          <w:szCs w:val="20"/>
        </w:rPr>
      </w:r>
    </w:p>
    <w:p>
      <w:pPr>
        <w:pStyle w:val="Normal"/>
        <w:spacing w:lineRule="auto" w:line="288"/>
        <w:jc w:val="right"/>
        <w:rPr>
          <w:rFonts w:ascii="Times New Roman" w:hAnsi="Times New Roman"/>
          <w:sz w:val="28"/>
          <w:szCs w:val="28"/>
        </w:rPr>
      </w:pPr>
      <w:r>
        <w:rPr>
          <w:rFonts w:eastAsia="Times New Roman" w:cs="Times New Roman" w:ascii="Times New Roman" w:hAnsi="Times New Roman"/>
          <w:color w:val="000000"/>
          <w:sz w:val="28"/>
          <w:szCs w:val="28"/>
        </w:rPr>
        <w:t xml:space="preserve">Научный руководитель - </w:t>
      </w:r>
      <w:r>
        <w:rPr>
          <w:rFonts w:eastAsia="Times New Roman" w:cs="Times New Roman" w:ascii="Times New Roman" w:hAnsi="Times New Roman"/>
          <w:color w:val="000000"/>
          <w:spacing w:val="1"/>
          <w:sz w:val="28"/>
          <w:szCs w:val="28"/>
        </w:rPr>
        <w:t>к.п.н., доцент</w:t>
      </w:r>
      <w:r>
        <w:rPr>
          <w:rFonts w:eastAsia="Times New Roman" w:cs="Times New Roman" w:ascii="Times New Roman" w:hAnsi="Times New Roman"/>
          <w:color w:val="000000"/>
          <w:sz w:val="28"/>
          <w:szCs w:val="28"/>
        </w:rPr>
        <w:t xml:space="preserve"> </w:t>
      </w:r>
      <w:r>
        <w:rPr>
          <w:rFonts w:eastAsia="Times New Roman" w:cs="Times New Roman" w:ascii="Times New Roman" w:hAnsi="Times New Roman"/>
          <w:color w:val="000000"/>
          <w:spacing w:val="1"/>
          <w:kern w:val="0"/>
          <w:sz w:val="28"/>
          <w:szCs w:val="28"/>
          <w:lang w:val="ru-RU" w:eastAsia="ru-RU" w:bidi="ar-SA"/>
        </w:rPr>
        <w:t>Шевченко</w:t>
      </w:r>
      <w:r>
        <w:rPr>
          <w:rFonts w:eastAsia="Times New Roman" w:cs="Times New Roman" w:ascii="Times New Roman" w:hAnsi="Times New Roman"/>
          <w:i/>
          <w:color w:val="000000"/>
          <w:sz w:val="28"/>
          <w:szCs w:val="28"/>
        </w:rPr>
        <w:t>,</w:t>
      </w:r>
      <w:r>
        <w:rPr>
          <w:rFonts w:eastAsia="Times New Roman" w:cs="Times New Roman" w:ascii="Times New Roman" w:hAnsi="Times New Roman"/>
          <w:i/>
          <w:color w:val="000000"/>
          <w:spacing w:val="-67"/>
          <w:sz w:val="28"/>
          <w:szCs w:val="28"/>
        </w:rPr>
        <w:t xml:space="preserve"> </w:t>
      </w:r>
      <w:r>
        <w:rPr>
          <w:rFonts w:eastAsia="Times New Roman" w:cs="Times New Roman" w:ascii="Times New Roman" w:hAnsi="Times New Roman"/>
          <w:color w:val="000000"/>
          <w:spacing w:val="1"/>
          <w:sz w:val="28"/>
          <w:szCs w:val="28"/>
        </w:rPr>
        <w:t xml:space="preserve">                                                                       </w:t>
      </w:r>
    </w:p>
    <w:p>
      <w:pPr>
        <w:pStyle w:val="Normal"/>
        <w:spacing w:lineRule="auto" w:line="288"/>
        <w:ind w:left="0" w:right="0" w:hanging="0"/>
        <w:jc w:val="right"/>
        <w:rPr/>
      </w:pPr>
      <w:r>
        <w:rPr>
          <w:rFonts w:eastAsia="Times New Roman" w:cs="Times New Roman" w:ascii="Times New Roman" w:hAnsi="Times New Roman"/>
          <w:color w:val="000000"/>
          <w:spacing w:val="1"/>
          <w:sz w:val="28"/>
          <w:szCs w:val="28"/>
        </w:rPr>
        <w:t>Новосибирский военный ордена Жукова</w:t>
      </w:r>
      <w:r>
        <w:rPr>
          <w:rFonts w:eastAsia="Times New Roman" w:cs="Times New Roman" w:ascii="Times New Roman" w:hAnsi="Times New Roman"/>
          <w:color w:val="000000"/>
          <w:spacing w:val="1"/>
          <w:sz w:val="28"/>
          <w:szCs w:val="20"/>
        </w:rPr>
        <w:t xml:space="preserve"> институт им. Генерала армии И.К. Яковлева войск национальной гвардии Российской Федерации.</w:t>
      </w:r>
    </w:p>
    <w:p>
      <w:pPr>
        <w:pStyle w:val="Normal"/>
        <w:spacing w:lineRule="auto" w:line="360"/>
        <w:ind w:firstLine="708"/>
        <w:jc w:val="both"/>
        <w:rPr>
          <w:rFonts w:ascii="Times New Roman" w:hAnsi="Times New Roman" w:eastAsia="Times New Roman" w:cs="Times New Roman"/>
          <w:color w:val="000000"/>
          <w:sz w:val="28"/>
          <w:szCs w:val="20"/>
        </w:rPr>
      </w:pPr>
      <w:r>
        <w:rPr/>
      </w:r>
    </w:p>
    <w:sectPr>
      <w:headerReference w:type="default" r:id="rId2"/>
      <w:footerReference w:type="default" r:id="rId3"/>
      <w:type w:val="nextPage"/>
      <w:pgSz w:w="11906" w:h="16838"/>
      <w:pgMar w:left="1701" w:right="567" w:header="709" w:top="1134" w:footer="709" w:bottom="1134" w:gutter="0"/>
      <w:pgNumType w:start="2" w:fmt="decimal"/>
      <w:formProt w:val="false"/>
      <w:titlePg/>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swiss"/>
    <w:pitch w:val="default"/>
  </w:font>
  <w:font w:name="Liberation Serif">
    <w:altName w:val="Times New Roman"/>
    <w:charset w:val="01"/>
    <w:family w:val="swiss"/>
    <w:pitch w:val="default"/>
  </w:font>
  <w:font w:name="PT Sans">
    <w:charset w:val="01"/>
    <w:family w:val="swiss"/>
    <w:pitch w:val="default"/>
  </w:font>
  <w:font w:name="Times New Roman">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7"/>
      <w:jc w:val="center"/>
      <w:rPr>
        <w:rFonts w:ascii="Times New Roman" w:hAnsi="Times New Roman"/>
        <w:sz w:val="28"/>
      </w:rPr>
    </w:pPr>
    <w:r>
      <w:rPr>
        <w:rFonts w:ascii="Times New Roman" w:hAnsi="Times New Roman"/>
        <w:sz w:val="28"/>
      </w:rPr>
    </w:r>
  </w:p>
  <w:p>
    <w:pPr>
      <w:pStyle w:val="Style27"/>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6"/>
      <w:jc w:val="center"/>
      <w:rPr/>
    </w:pPr>
    <w:r>
      <w:rPr/>
    </w:r>
  </w:p>
</w:hdr>
</file>

<file path=word/settings.xml><?xml version="1.0" encoding="utf-8"?>
<w:settings xmlns:w="http://schemas.openxmlformats.org/wordprocessingml/2006/main">
  <w:zoom w:percent="85"/>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Cs w:val="22"/>
        <w:lang w:val="ru-RU" w:eastAsia="ru-RU"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Calibri" w:hAnsi="Calibri" w:eastAsia="" w:cs="" w:asciiTheme="minorHAnsi" w:cstheme="minorBidi" w:eastAsiaTheme="minorEastAsia" w:hAnsiTheme="minorHAnsi"/>
      <w:color w:val="auto"/>
      <w:kern w:val="0"/>
      <w:sz w:val="22"/>
      <w:szCs w:val="22"/>
      <w:lang w:val="ru-RU" w:eastAsia="ru-RU" w:bidi="ar-SA"/>
    </w:rPr>
  </w:style>
  <w:style w:type="paragraph" w:styleId="4">
    <w:name w:val="Heading 4"/>
    <w:basedOn w:val="Style20"/>
    <w:next w:val="Style21"/>
    <w:qFormat/>
    <w:pPr>
      <w:spacing w:before="120" w:after="120"/>
      <w:outlineLvl w:val="3"/>
    </w:pPr>
    <w:rPr>
      <w:rFonts w:ascii="Liberation Serif" w:hAnsi="Liberation Serif" w:eastAsia="Tahoma" w:cs="Tahoma"/>
      <w:b/>
      <w:bCs/>
      <w:sz w:val="24"/>
      <w:szCs w:val="24"/>
    </w:rPr>
  </w:style>
  <w:style w:type="character" w:styleId="DefaultParagraphFont" w:default="1">
    <w:name w:val="Default Paragraph Font"/>
    <w:uiPriority w:val="1"/>
    <w:semiHidden/>
    <w:unhideWhenUsed/>
    <w:qFormat/>
    <w:rPr/>
  </w:style>
  <w:style w:type="character" w:styleId="Style13" w:customStyle="1">
    <w:name w:val="Верхний колонтитул Знак"/>
    <w:basedOn w:val="DefaultParagraphFont"/>
    <w:link w:val="a3"/>
    <w:qFormat/>
    <w:rsid w:val="006e61b0"/>
    <w:rPr>
      <w:rFonts w:eastAsia="Times New Roman" w:cs="Times New Roman"/>
      <w:color w:val="000000"/>
      <w:szCs w:val="20"/>
    </w:rPr>
  </w:style>
  <w:style w:type="character" w:styleId="Style14" w:customStyle="1">
    <w:name w:val="Нижний колонтитул Знак"/>
    <w:basedOn w:val="DefaultParagraphFont"/>
    <w:link w:val="a5"/>
    <w:qFormat/>
    <w:rsid w:val="006e61b0"/>
    <w:rPr>
      <w:rFonts w:eastAsia="Times New Roman" w:cs="Times New Roman"/>
      <w:color w:val="000000"/>
      <w:szCs w:val="20"/>
    </w:rPr>
  </w:style>
  <w:style w:type="character" w:styleId="Style15">
    <w:name w:val="Интернет-ссылка"/>
    <w:basedOn w:val="DefaultParagraphFont"/>
    <w:uiPriority w:val="99"/>
    <w:semiHidden/>
    <w:unhideWhenUsed/>
    <w:rsid w:val="00dc5e9c"/>
    <w:rPr>
      <w:color w:val="0000FF"/>
      <w:u w:val="single"/>
    </w:rPr>
  </w:style>
  <w:style w:type="character" w:styleId="Strong">
    <w:name w:val="Strong"/>
    <w:basedOn w:val="DefaultParagraphFont"/>
    <w:uiPriority w:val="22"/>
    <w:qFormat/>
    <w:rsid w:val="002d126c"/>
    <w:rPr>
      <w:b/>
      <w:bCs/>
    </w:rPr>
  </w:style>
  <w:style w:type="character" w:styleId="Style16">
    <w:name w:val="Выделение"/>
    <w:basedOn w:val="DefaultParagraphFont"/>
    <w:uiPriority w:val="20"/>
    <w:qFormat/>
    <w:rsid w:val="002d126c"/>
    <w:rPr>
      <w:i/>
      <w:iCs/>
    </w:rPr>
  </w:style>
  <w:style w:type="character" w:styleId="Appleconvertedspace" w:customStyle="1">
    <w:name w:val="apple-converted-space"/>
    <w:basedOn w:val="DefaultParagraphFont"/>
    <w:qFormat/>
    <w:rsid w:val="002d126c"/>
    <w:rPr/>
  </w:style>
  <w:style w:type="character" w:styleId="Style17">
    <w:name w:val="Символ сноски"/>
    <w:qFormat/>
    <w:rPr/>
  </w:style>
  <w:style w:type="character" w:styleId="Style18">
    <w:name w:val="Привязка сноски"/>
    <w:rPr>
      <w:vertAlign w:val="superscript"/>
    </w:rPr>
  </w:style>
  <w:style w:type="character" w:styleId="Style19">
    <w:name w:val="Выделение жирным"/>
    <w:qFormat/>
    <w:rPr>
      <w:b/>
      <w:bCs/>
    </w:rPr>
  </w:style>
  <w:style w:type="paragraph" w:styleId="Style20">
    <w:name w:val="Заголовок"/>
    <w:basedOn w:val="Normal"/>
    <w:next w:val="Style21"/>
    <w:qFormat/>
    <w:pPr>
      <w:keepNext w:val="true"/>
      <w:spacing w:before="240" w:after="120"/>
    </w:pPr>
    <w:rPr>
      <w:rFonts w:ascii="PT Sans" w:hAnsi="PT Sans" w:eastAsia="Tahoma" w:cs="Noto Sans Devanagari"/>
      <w:sz w:val="28"/>
      <w:szCs w:val="28"/>
    </w:rPr>
  </w:style>
  <w:style w:type="paragraph" w:styleId="Style21">
    <w:name w:val="Body Text"/>
    <w:basedOn w:val="Normal"/>
    <w:pPr>
      <w:spacing w:lineRule="auto" w:line="276" w:before="0" w:after="140"/>
    </w:pPr>
    <w:rPr/>
  </w:style>
  <w:style w:type="paragraph" w:styleId="Style22">
    <w:name w:val="List"/>
    <w:basedOn w:val="Style21"/>
    <w:pPr/>
    <w:rPr>
      <w:rFonts w:ascii="PT Sans" w:hAnsi="PT Sans" w:cs="Noto Sans Devanagari"/>
    </w:rPr>
  </w:style>
  <w:style w:type="paragraph" w:styleId="Style23">
    <w:name w:val="Caption"/>
    <w:basedOn w:val="Normal"/>
    <w:qFormat/>
    <w:pPr>
      <w:suppressLineNumbers/>
      <w:spacing w:before="120" w:after="120"/>
    </w:pPr>
    <w:rPr>
      <w:rFonts w:ascii="PT Sans" w:hAnsi="PT Sans" w:cs="Noto Sans Devanagari"/>
      <w:i/>
      <w:iCs/>
      <w:sz w:val="24"/>
      <w:szCs w:val="24"/>
    </w:rPr>
  </w:style>
  <w:style w:type="paragraph" w:styleId="Style24">
    <w:name w:val="Указатель"/>
    <w:basedOn w:val="Normal"/>
    <w:qFormat/>
    <w:pPr>
      <w:suppressLineNumbers/>
    </w:pPr>
    <w:rPr>
      <w:rFonts w:ascii="PT Sans" w:hAnsi="PT Sans" w:cs="Noto Sans Devanagari"/>
    </w:rPr>
  </w:style>
  <w:style w:type="paragraph" w:styleId="Style25">
    <w:name w:val="Верхний и нижний колонтитулы"/>
    <w:basedOn w:val="Normal"/>
    <w:qFormat/>
    <w:pPr/>
    <w:rPr/>
  </w:style>
  <w:style w:type="paragraph" w:styleId="Style26">
    <w:name w:val="Header"/>
    <w:basedOn w:val="Normal"/>
    <w:link w:val="a4"/>
    <w:rsid w:val="006e61b0"/>
    <w:pPr>
      <w:tabs>
        <w:tab w:val="clear" w:pos="708"/>
        <w:tab w:val="center" w:pos="4677" w:leader="none"/>
        <w:tab w:val="right" w:pos="9355" w:leader="none"/>
      </w:tabs>
    </w:pPr>
    <w:rPr>
      <w:rFonts w:eastAsia="Times New Roman" w:cs="Times New Roman"/>
      <w:color w:val="000000"/>
      <w:szCs w:val="20"/>
    </w:rPr>
  </w:style>
  <w:style w:type="paragraph" w:styleId="Style27">
    <w:name w:val="Footer"/>
    <w:basedOn w:val="Normal"/>
    <w:link w:val="a6"/>
    <w:rsid w:val="006e61b0"/>
    <w:pPr>
      <w:tabs>
        <w:tab w:val="clear" w:pos="708"/>
        <w:tab w:val="center" w:pos="4677" w:leader="none"/>
        <w:tab w:val="right" w:pos="9355" w:leader="none"/>
      </w:tabs>
    </w:pPr>
    <w:rPr>
      <w:rFonts w:eastAsia="Times New Roman" w:cs="Times New Roman"/>
      <w:color w:val="000000"/>
      <w:szCs w:val="20"/>
    </w:rPr>
  </w:style>
  <w:style w:type="paragraph" w:styleId="Style28">
    <w:name w:val="Содержимое врезки"/>
    <w:basedOn w:val="Normal"/>
    <w:qFormat/>
    <w:pPr/>
    <w:rPr/>
  </w:style>
  <w:style w:type="paragraph" w:styleId="Standard">
    <w:name w:val="Standard"/>
    <w:qFormat/>
    <w:pPr>
      <w:widowControl/>
      <w:suppressAutoHyphens w:val="true"/>
      <w:bidi w:val="0"/>
      <w:spacing w:lineRule="auto" w:line="240" w:before="0" w:after="0"/>
      <w:jc w:val="left"/>
    </w:pPr>
    <w:rPr>
      <w:rFonts w:ascii="Liberation Serif" w:hAnsi="Liberation Serif" w:eastAsia="Noto Sans Devanagari" w:cs="Liberation Serif"/>
      <w:color w:val="000000"/>
      <w:spacing w:val="0"/>
      <w:kern w:val="0"/>
      <w:sz w:val="24"/>
      <w:szCs w:val="20"/>
      <w:lang w:val="ru-RU" w:eastAsia="hi-IN" w:bidi="ar-SA"/>
    </w:rPr>
  </w:style>
  <w:style w:type="paragraph" w:styleId="Style29">
    <w:name w:val="Footnote Text"/>
    <w:basedOn w:val="Normal"/>
    <w:pPr>
      <w:suppressLineNumbers/>
      <w:ind w:left="339" w:hanging="339"/>
    </w:pPr>
    <w:rPr>
      <w:sz w:val="20"/>
      <w:szCs w:val="20"/>
    </w:rPr>
  </w:style>
  <w:style w:type="paragraph" w:styleId="ListParagraph">
    <w:name w:val="List Paragraph"/>
    <w:basedOn w:val="Standard"/>
    <w:qFormat/>
    <w:pPr>
      <w:ind w:left="720" w:firstLine="709"/>
    </w:pPr>
    <w:rPr>
      <w:rFonts w:ascii="Liberation Serif" w:hAnsi="Liberation Serif"/>
      <w:szCs w:val="20"/>
      <w:lang w:eastAsia="hi-IN"/>
    </w:rPr>
  </w:style>
  <w:style w:type="paragraph" w:styleId="NoSpacing">
    <w:name w:val="No Spacing"/>
    <w:qFormat/>
    <w:pPr>
      <w:widowControl/>
      <w:suppressAutoHyphens w:val="true"/>
      <w:bidi w:val="0"/>
      <w:spacing w:lineRule="auto" w:line="240" w:before="0" w:after="0"/>
      <w:ind w:left="0" w:right="0" w:hanging="0"/>
      <w:jc w:val="left"/>
    </w:pPr>
    <w:rPr>
      <w:rFonts w:ascii="Calibri" w:hAnsi="Calibri" w:eastAsia="" w:cs="" w:asciiTheme="minorHAnsi" w:cstheme="minorBidi" w:eastAsiaTheme="minorEastAsia" w:hAnsiTheme="minorHAnsi"/>
      <w:color w:val="auto"/>
      <w:kern w:val="0"/>
      <w:sz w:val="22"/>
      <w:szCs w:val="22"/>
      <w:lang w:val="ru-RU" w:eastAsia="ru-RU" w:bidi="ar-SA"/>
    </w:rPr>
  </w:style>
  <w:style w:type="paragraph" w:styleId="1">
    <w:name w:val="Стиль1"/>
    <w:basedOn w:val="NoSpacing"/>
    <w:qFormat/>
    <w:pPr/>
    <w:rPr>
      <w:rFonts w:eastAsia="" w:eastAsiaTheme="minorEastAsia"/>
    </w:rPr>
  </w:style>
  <w:style w:type="paragraph" w:styleId="2">
    <w:name w:val="Стиль2"/>
    <w:basedOn w:val="1"/>
    <w:qFormat/>
    <w:pPr>
      <w:spacing w:lineRule="auto" w:line="360"/>
      <w:ind w:left="0" w:right="0" w:firstLine="680"/>
    </w:pPr>
    <w:rPr>
      <w:rFonts w:eastAsia="SimSun"/>
      <w:bCs/>
    </w:rPr>
  </w:style>
  <w:style w:type="paragraph" w:styleId="6">
    <w:name w:val="Стиль6"/>
    <w:basedOn w:val="ListParagraph"/>
    <w:qFormat/>
    <w:pPr>
      <w:spacing w:before="0" w:after="0"/>
      <w:ind w:left="0" w:firstLine="709"/>
      <w:jc w:val="both"/>
    </w:pPr>
    <w:rPr>
      <w:rFonts w:cs="Times New Roman"/>
      <w:sz w:val="28"/>
      <w:szCs w:val="28"/>
    </w:rPr>
  </w:style>
  <w:style w:type="paragraph" w:styleId="8">
    <w:name w:val="Стиль8"/>
    <w:basedOn w:val="6"/>
    <w:qFormat/>
    <w:pPr>
      <w:ind w:left="0" w:firstLine="709"/>
    </w:pPr>
    <w:rPr>
      <w:shd w:fill="FFFFFF" w:val="clear"/>
    </w:rPr>
  </w:style>
  <w:style w:type="paragraph" w:styleId="10">
    <w:name w:val="Стиль10"/>
    <w:basedOn w:val="8"/>
    <w:qFormat/>
    <w:pPr/>
    <w:rPr>
      <w:sz w:val="20"/>
      <w:szCs w:val="20"/>
    </w:rPr>
  </w:style>
  <w:style w:type="paragraph" w:styleId="11">
    <w:name w:val="Текст сноски1"/>
    <w:basedOn w:val="Normal"/>
    <w:qFormat/>
    <w:pPr>
      <w:spacing w:lineRule="auto" w:line="240" w:before="0" w:after="0"/>
    </w:pPr>
    <w:rPr>
      <w:sz w:val="20"/>
      <w:szCs w:val="20"/>
    </w:rPr>
  </w:style>
  <w:style w:type="paragraph" w:styleId="Normal1">
    <w:name w:val="LO-normal"/>
    <w:qFormat/>
    <w:pPr>
      <w:widowControl/>
      <w:bidi w:val="0"/>
      <w:spacing w:before="0" w:after="0"/>
      <w:jc w:val="left"/>
    </w:pPr>
    <w:rPr>
      <w:rFonts w:ascii="Calibri" w:hAnsi="Calibri" w:eastAsia="" w:cs="" w:asciiTheme="minorHAnsi" w:cstheme="minorBidi" w:eastAsiaTheme="minorEastAsia" w:hAnsiTheme="minorHAnsi"/>
      <w:color w:val="auto"/>
      <w:kern w:val="0"/>
      <w:sz w:val="22"/>
      <w:szCs w:val="22"/>
      <w:lang w:val="ru-RU" w:eastAsia="ru-RU" w:bidi="ar-SA"/>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Application>LibreOffice/6.4.7.2$Linux_X86_64 LibreOffice_project/40$Build-2</Application>
  <Pages>4</Pages>
  <Words>850</Words>
  <Characters>5478</Characters>
  <CharactersWithSpaces>6381</CharactersWithSpaces>
  <Paragraphs>46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2022-10-13T14:32:00Z</dcterms:created>
  <dc:creator>Александр Михайлов</dc:creator>
  <dc:description/>
  <dc:language>ru-RU</dc:language>
  <cp:lastModifiedBy/>
  <dcterms:modified xsi:type="dcterms:W3CDTF">2023-05-15T17:48:52Z</dcterms:modified>
  <cp:revision>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