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Формирование эмоциональной безопасности подростков в цифровой среде</w:t>
      </w:r>
    </w:p>
    <w:p>
      <w:pPr>
        <w:jc w:val="both"/>
        <w:rPr>
          <w:rFonts w:ascii="Times New Roman" w:hAnsi="Times New Roman" w:cs="Times New Roman"/>
          <w:bCs/>
          <w:i/>
          <w:szCs w:val="18"/>
        </w:rPr>
      </w:pPr>
    </w:p>
    <w:p>
      <w:pPr>
        <w:jc w:val="both"/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i/>
          <w:szCs w:val="18"/>
        </w:rPr>
        <w:t>Аннотация.</w:t>
      </w:r>
      <w:r>
        <w:rPr>
          <w:rFonts w:ascii="Times New Roman" w:hAnsi="Times New Roman" w:cs="Times New Roman"/>
          <w:bCs/>
          <w:szCs w:val="18"/>
        </w:rPr>
        <w:t xml:space="preserve"> В данной статье речь пойдёт о в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лиянии, оказываемым виртуальным общением, и последствия его использования, которые в свою очередь являются противоречивыми, обладая одновременно и положительной и отрицательной направленностью. </w:t>
      </w:r>
    </w:p>
    <w:p>
      <w:pPr>
        <w:pStyle w:val="8"/>
        <w:spacing w:before="0" w:beforeAutospacing="0" w:after="0" w:afterAutospacing="0"/>
        <w:ind w:firstLine="709"/>
        <w:jc w:val="both"/>
        <w:rPr>
          <w:rFonts w:eastAsia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0" w:beforeAutospacing="0" w:after="0" w:afterAutospacing="0"/>
        <w:ind w:firstLine="709"/>
        <w:jc w:val="both"/>
        <w:rPr>
          <w:rFonts w:eastAsia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На сегодняшний день в деструктивные течения в Рунете вовлечены порядка 5 миллионов аккаунтов российских подростков (35% от общего числа подростков в России), и это число продолжает расти. </w:t>
      </w:r>
    </w:p>
    <w:p>
      <w:pPr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2"/>
          <w:szCs w:val="22"/>
          <w:lang w:val="ru-RU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В подростковой среде в социальных медиа фиксируется стремление подростков к группам, продвигающим разрушающее поведение через темы социопатии, массовых и серийных убийств, обесценивания собственной жизни и стремление к смерти, сатанизм и псевдомистические культы, наркомании, ритуальных убийств и самоубийств, нацизма и национализма, экстремизма и радикализма.</w:t>
      </w:r>
      <w:r>
        <w:rPr>
          <w:rFonts w:hint="default" w:ascii="Times New Roman" w:hAnsi="Times New Roman" w:eastAsia="Times New Roman" w:cs="Times New Roman"/>
          <w:color w:val="000000" w:themeColor="text1"/>
          <w:sz w:val="22"/>
          <w:szCs w:val="22"/>
          <w:lang w:val="en-US" w:eastAsia="ru-RU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ascii="Times New Roman" w:hAnsi="Times New Roman" w:cs="Times New Roman"/>
          <w:sz w:val="24"/>
          <w:szCs w:val="22"/>
        </w:rPr>
        <w:t>Васильева Т. В.</w:t>
      </w:r>
      <w:r>
        <w:rPr>
          <w:rFonts w:hint="default" w:ascii="Times New Roman" w:hAnsi="Times New Roman" w:cs="Times New Roman"/>
          <w:sz w:val="24"/>
          <w:szCs w:val="22"/>
          <w:lang w:val="ru-RU"/>
        </w:rPr>
        <w:t>, 2014)</w:t>
      </w:r>
    </w:p>
    <w:p>
      <w:pPr>
        <w:shd w:val="clear" w:color="auto" w:fill="FFFFFF" w:themeFill="background1"/>
        <w:ind w:firstLine="709"/>
        <w:jc w:val="both"/>
        <w:textAlignment w:val="baseline"/>
        <w:rPr>
          <w:rFonts w:hint="default" w:ascii="Times New Roman" w:hAnsi="Times New Roman" w:cs="Times New Roman"/>
          <w:color w:val="000000" w:themeColor="text1"/>
          <w:shd w:val="clear" w:color="auto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Выявление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особенностей саморегуляции, помогающих подросткам чувствовать себя психологически безопасно и  является проблемой, которую решает данное исследование. Именно переходный возраст является одним из факторов оказывающих влияние на развитие данной проблемы. </w:t>
      </w:r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Переходный возраст – это период огромных личностных изменений, касающийся всех сфер жизни подростка. Один из основных показателей данного периода – половое созревание, характеризующееся развитием первичных и вторичных половых признаков, что провоцирует ускоренный рост и изменение активности ЦНС.</w:t>
      </w:r>
      <w:r>
        <w:rPr>
          <w:rFonts w:hint="default" w:ascii="Times New Roman" w:hAnsi="Times New Roman" w:cs="Times New Roman"/>
          <w:bCs/>
          <w:color w:val="000000" w:themeColor="text1"/>
          <w:sz w:val="22"/>
          <w:szCs w:val="22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/>
          <w:sz w:val="24"/>
          <w:szCs w:val="22"/>
        </w:rPr>
        <w:t>Бражникова А. Н.</w:t>
      </w:r>
      <w:r>
        <w:rPr>
          <w:rFonts w:hint="default" w:ascii="Times New Roman" w:hAnsi="Times New Roman" w:cs="Times New Roman"/>
          <w:sz w:val="24"/>
          <w:szCs w:val="22"/>
          <w:lang w:val="ru-RU"/>
        </w:rPr>
        <w:t>, 2012)</w:t>
      </w:r>
    </w:p>
    <w:p>
      <w:pPr>
        <w:shd w:val="clear" w:color="auto" w:fill="FFFFFF" w:themeFill="background1"/>
        <w:ind w:firstLine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Н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е только физиологическими, но и личностно – социальными факторами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характеризуется половое воспитание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. Подросток начинает формировать свою социальную роль соответственно гендерной принадлежности, </w:t>
      </w:r>
      <w:bookmarkStart w:id="2" w:name="_GoBack"/>
      <w:bookmarkEnd w:id="2"/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а также проявлять интерес к противоположному полу. Как девочки, так и мальчики пытаются подражать людям, воплощающим для них социально желаемые образы: это, могут быть старшие товарищи, знаменитости, книжные или киноперсонажи. </w:t>
      </w:r>
      <w:r>
        <w:rPr>
          <w:rFonts w:hint="default" w:ascii="Times New Roman" w:hAnsi="Times New Roman" w:cs="Times New Roman"/>
          <w:color w:val="000000" w:themeColor="text1"/>
          <w:sz w:val="22"/>
          <w:szCs w:val="22"/>
          <w:lang w:val="ru-RU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/>
          <w:sz w:val="24"/>
          <w:szCs w:val="22"/>
        </w:rPr>
        <w:t>Войскунский А. Е.</w:t>
      </w:r>
      <w:r>
        <w:rPr>
          <w:rFonts w:hint="default" w:ascii="Times New Roman" w:hAnsi="Times New Roman" w:cs="Times New Roman"/>
          <w:sz w:val="24"/>
          <w:szCs w:val="22"/>
          <w:lang w:val="ru-RU"/>
        </w:rPr>
        <w:t>, 2021)</w:t>
      </w: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Внешность становится одним из факторов самоутверждения. Мальчики начинают обращать внимание на своё тело, интересоваться спортом, а девочки проявляют интерес к моде, украшениям и косметике. 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Застенчивость зачастую становится спутником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подросткового возраста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Застенчивый подросток часто страдает от недостатков своей внешности, и даже добродушные замечание вызывают в нём гнев, поскольку воспринимаются как свидетельство личностной неполноценности. Таким образом, переходный возраст характеризуется глубокими физиологическими, социальными и психоэмоциональными изменениями. К наиболее явным из них можно отнести: ощущение собственной взрослости (при этом реализовать его в социуме затруднительно), повышенная эмоциональность, внимание к оценкам других людей, поиск собственного «я». 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На этапе становления информационного общества личность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её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конкретных проявлениях может быть достаточно полно охарактеризована с точки зрения постмодернизма, который постулирует плюрализм как атрибут субъекта.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sz w:val="24"/>
          <w:szCs w:val="22"/>
        </w:rPr>
        <w:t>Леонтьев Д. А.</w:t>
      </w:r>
      <w:r>
        <w:rPr>
          <w:rFonts w:hint="default" w:ascii="Times New Roman" w:hAnsi="Times New Roman" w:cs="Times New Roman"/>
          <w:sz w:val="24"/>
          <w:szCs w:val="22"/>
          <w:lang w:val="ru-RU"/>
        </w:rPr>
        <w:t>, 2000)</w:t>
      </w:r>
      <w:r>
        <w:rPr>
          <w:rFonts w:ascii="Times New Roman" w:hAnsi="Times New Roman" w:cs="Times New Roman"/>
          <w:color w:val="000000"/>
          <w:shd w:val="clear" w:color="auto" w:fill="FFFFFF"/>
        </w:rPr>
        <w:t>С этой точки зрения современная личность, которая может быть полностью описана как сетевая личность, отличается отказом от «бессмысленных», а иногда и опасных поисков истины, смысла жизни, правды и своей собственной судьбы. Девиз - это призыв быть самим собой, но если учесть специфику виртуального существа - его множественность для одного и того же реального человека, то личная идентичность превращается в ситуационную идентичность человека, переписка, постоянно меняющуюся от ситуации к ситуации самому себе, то есть происходит изменение личности.</w:t>
      </w:r>
      <w:r>
        <w:rPr>
          <w:rFonts w:hint="default" w:ascii="Times New Roman" w:hAnsi="Times New Roman" w:cs="Times New Roman"/>
          <w:color w:val="000000"/>
          <w:shd w:val="clear" w:color="auto" w:fill="FFFFFF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Веселова В. В.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2019)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Влияние, оказываемое виртуальным общением, и последствия его использования являются противоречивыми, обладая одновременно и положительной и отрицательной направленностью. Молодёжь же, являясь социальной группой, наиболее восприимчивой ко всему новому, оказывается в большей степени подвержена влиянию рассматриваемого явления.</w:t>
      </w:r>
      <w:r>
        <w:rPr>
          <w:rFonts w:hint="default" w:ascii="Times New Roman" w:hAnsi="Times New Roman" w:eastAsia="Times New Roman" w:cs="Times New Roman"/>
          <w:color w:val="000000" w:themeColor="text1"/>
          <w:sz w:val="22"/>
          <w:szCs w:val="22"/>
          <w:lang w:val="en-US" w:eastAsia="ru-RU"/>
          <w14:textFill>
            <w14:solidFill>
              <w14:schemeClr w14:val="tx1"/>
            </w14:solidFill>
          </w14:textFill>
        </w:rPr>
        <w:t>(</w:t>
      </w:r>
      <w:r>
        <w:rPr>
          <w:rStyle w:val="6"/>
          <w:rFonts w:ascii="Times New Roman" w:hAnsi="Times New Roman" w:cs="Times New Roman"/>
          <w:b w:val="0"/>
          <w:bCs w:val="0"/>
          <w:sz w:val="24"/>
          <w:szCs w:val="24"/>
        </w:rPr>
        <w:t>Чистяков А. В.</w:t>
      </w:r>
      <w:r>
        <w:rPr>
          <w:rStyle w:val="6"/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, 2006)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Качественные показатели виртуального общения молодёжи мало исследованы и требуют более тщательного изучения.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>Исследование эмоциональной безопасности детей подросткового возраста проводилось на базе МАОУ «Средняя общеобразовательная школа №51» г. Улан-Удэ. В эксперименте участвовало 24 школьника 10-ых классов.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Подбор эффективного и адекватного методического инструментария был организован посредством анализа и разбора техник и методик, направленных на выявление и изучение формирования эмоциональной безопасности. Стоит отметить, что их количество на настоящий момент возрастает. Остановимся на следующих диагностических методиках:</w:t>
      </w:r>
    </w:p>
    <w:p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опросник 5PFQ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составитель Хийджиро Теуйн</w:t>
      </w:r>
    </w:p>
    <w:p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авторский опросник «Я и социальные сети»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обработки данных, полученных от респондентов, были выявлены следующие результаты:</w:t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выявленным данным с помощью авторского опросника, а</w:t>
      </w:r>
      <w:r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бсолютно все опрашиваемые зарегистрированы в социальных сетях, среди которых они указали «Вконтакте», «Instagram». Более старшая группа также пользуется «Твиттером» «Одноклассники» и «</w:t>
      </w:r>
      <w:r>
        <w:rPr>
          <w:rFonts w:ascii="Times New Roman" w:hAnsi="Times New Roman" w:cs="Times New Roman"/>
          <w:color w:val="000000" w:themeColor="text1"/>
          <w:shd w:val="clear" w:color="auto" w:fill="FFFFFF"/>
          <w:lang w:val="en-US"/>
          <w14:textFill>
            <w14:solidFill>
              <w14:schemeClr w14:val="tx1"/>
            </w14:solidFill>
          </w14:textFill>
        </w:rPr>
        <w:t>Facebook</w:t>
      </w:r>
      <w:r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» не популярны среди молодёжи. Правда, в комментариях к опросу, многие указали, что зарегистрированы в этих социальных сетях, но не проводят там своё время.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Предсказуемо, что старшая возрастная группа, в среднем, проводит больше времени в Интернете, чем младшая.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Среднее количество времени, затрачиваемого подростками непосредственно на виртуальное общение – 4-6 часов, однако более 60% подростков написали в комментариях, что находятся «на связи» круглосуточно. Большинство опрашиваемых признались, что испытывают удовольствие от виртуального общения, при этом, также, подавляющее большинство уверены, что легко смогут прожить и без виртуального общения. 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Больше всего времени подростки проводят в социальных сетях, а также – в сетевых играх. Электронная почта и форумы используются для вопросов, связанных с учёбой, нежели, непосредственно, общения. 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В друзьях находятся как реальные, так и виртуальные знакомые. Среднее количество: 300 – 400 человек, при этом активный контакт поддерживается с не более 10-ю из них. Общение с остальными ограничивается комментариями и «лайками».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В ходе проведённых исследований мы получили следующие результаты </w:t>
      </w: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«Тест 5PFQ Хейджиро Тсуйи»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Шкала: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15-40 баллов – низкий уровень.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41-50 баллов – средний уровень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51-75 баллов – высокий уровень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Исходя их установленных критериев оценивания и полученных баллов исследования были выведены следующие результаты: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</w:rPr>
        <w:t>Экстр</w:t>
      </w: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о</w:t>
      </w: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</w:rPr>
        <w:t>версия – интроверсия</w:t>
      </w: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 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Низкий балл получили 38 % субъектов. Это говорит о том их уровень нахождения в социальных сетях ниже, чем у субъектов, получивших высший балл этого теста. Эти дети являются экстравертами, они предпочитают живое общение виртуальному.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Средний балл 33% субъектов, что может свидетельствовать о том, что они  могут общаться с другими людьми как в интернете, так и в реальной жизни. И сохраняют нейтральный для себя статус между экстравертами и интровертами.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Высокий балл 29 % субъектов. Эти дети, так называемые «заложники цифровизации». Им трудно поддерживать живое общение. Своё спасение они находят в социальных сетях. Такие дети являются интровертами.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/>
          <w:color w:val="auto"/>
          <w:szCs w:val="27"/>
          <w:shd w:val="clear" w:color="auto" w:fill="FFFFFF"/>
          <w:lang w:val="ru-RU"/>
        </w:rPr>
        <w:t>Привязанность – обособленность.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Низкий балл 8% субъекта. Данный результат показывает, что лишь 2 человека обособлены от сети Интернет и не имеют зависимости к цифровым гаджетам.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Средний балл имеют 33% субъектов из этого следует сделать вывод, что эти люди не имеют сильной привязанности к своим гаджетам, но и обходитьс без них им не всегда бывает комфортно.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Высокий балл 59% субъектов. Это говорит о том, что дети находятся под сильном влиянием цифровизации и привязаны к своим гаджетам. Им тяжело расставаться с ними, они нуждаются в постоянном нахождении в сети Интернет.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Самоконтроль - импульсивность.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Низкий балл 42% субъектов. Результат, показывающий хороший уровень самоконтроля, такие люди могут спокойно реагировать на обстановку вокруг, если в их руках нет цифровых гаджетов.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Средний балл 20%  субъектов, данный результат говорит нам о том, что в случает, если человек окажется без каких-либо инструментов цифровизации, они не впадут в панику, но трудность они будут ощущать.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Высокий балл имеют 38% субъектов имеющих повышенный уровень импульсивности. Им трудно находиться без Интернета и гаджетов. У них могут случаться приступы агрессии на данной почве. Им трудно контролировать свои эмоции, так как без цифровых гаджетов, они переходят в некомфортную для себя среду.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Уровень эмоциональной устойчивости.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Низкий балл 13% субъектов. Для этих людей гаджеты не играю особой роли в их жизни. Результат выполнения заданий без использования цифровых технологий не меняется.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 Средний балл 42% субъектов. Это люди, которым требуется гораздо больше времени на выполнение задания без помощи цифровых технологий, чем с их использованием.  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Высокий балл 45% субъектов Результат показывающий, что эти люди не могут сохранять хорошую работоспособность или же она снижается,  если они находятся без гаджетов. 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333333"/>
          <w:szCs w:val="27"/>
          <w:shd w:val="clear" w:color="auto" w:fill="FFFFFF"/>
        </w:rPr>
      </w:pP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>Экспрессивность практичность.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Низкий балл 0%. </w:t>
      </w:r>
      <w:r>
        <w:rPr>
          <w:rFonts w:hint="default" w:ascii="Times New Roman" w:hAnsi="Times New Roman"/>
          <w:b w:val="0"/>
          <w:bCs/>
          <w:color w:val="auto"/>
          <w:szCs w:val="27"/>
          <w:shd w:val="clear" w:color="auto" w:fill="FFFFFF"/>
          <w:lang w:val="ru-RU"/>
        </w:rPr>
        <w:t>Человек с выраженной чертой практичности по своему складу реалист, хорошо адаптирован в обыденной жизни. Он трезво и реалистично смотрит на жизнь, верит в материальные ценности больше, чем в отвлечённые идеи.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Средний балл 46%. Люди, находящиеся на «золотой середине» между тем, чтобы ко всем жизненным событиям подходить с логической меркой, искать рациональные объяснения и практические выгоды. И тем, чтобы </w:t>
      </w:r>
      <w:r>
        <w:rPr>
          <w:rFonts w:hint="default" w:ascii="Times New Roman" w:hAnsi="Times New Roman"/>
          <w:b w:val="0"/>
          <w:bCs/>
          <w:color w:val="auto"/>
          <w:szCs w:val="27"/>
          <w:shd w:val="clear" w:color="auto" w:fill="FFFFFF"/>
          <w:lang w:val="ru-RU"/>
        </w:rPr>
        <w:t>чаще доверяет своим чувствам и интуиции, чем здравому смыслу, мало обращает внимание на текущие повседневные дела и обязанности, избегает рутинную работу.</w:t>
      </w:r>
    </w:p>
    <w:p>
      <w:pPr>
        <w:shd w:val="clear" w:color="auto" w:fill="FFFFFF" w:themeFill="background1"/>
        <w:jc w:val="left"/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7"/>
          <w:shd w:val="clear" w:color="auto" w:fill="FFFFFF"/>
          <w:lang w:val="ru-RU"/>
        </w:rPr>
        <w:t xml:space="preserve">Высокий балл 54 %. </w:t>
      </w:r>
      <w:r>
        <w:rPr>
          <w:rFonts w:hint="default" w:ascii="Times New Roman" w:hAnsi="Times New Roman"/>
          <w:b w:val="0"/>
          <w:bCs/>
          <w:color w:val="auto"/>
          <w:szCs w:val="27"/>
          <w:shd w:val="clear" w:color="auto" w:fill="FFFFFF"/>
          <w:lang w:val="ru-RU"/>
        </w:rPr>
        <w:t>Для человека с такой чертой характерно лёгкое отношение к жизни. Он производит впечатление беззаботного и безответственного. Он легко обучается, но не достаточно серьёзно относится к систематической деятельности, поэтому редко достигает больших успехов в науке.</w:t>
      </w:r>
    </w:p>
    <w:p>
      <w:pPr>
        <w:shd w:val="clear" w:color="auto" w:fill="FFFFFF" w:themeFill="background1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Р</w:t>
      </w: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езультат</w:t>
      </w: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ы</w:t>
      </w: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авторского опросника «Я и Социальные сети»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Шкала: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1-5 баллов – низкий уровень. Говорит о умеренном потреблении социальных сетей, низкой вероятности интернет-зависимости и знании правил пользования социальными сетями.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6-10 баллов – средний уровень. «Золотая» середина показывает, что испытуемый знает правила пользования, но может им пренебрегать. 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11-15 баллов – высокий уровень. Высокий уровень говорит о том, что испытуемый подвержен риску информационной опасности. Пользователь социальных сетей не знает правил пользования социальными сетями.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Исходя из поставленной шкалы данных и полученных результатов исследования, мы сделали следующие выводы: 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Низкий результат имеют 7 субъектов , что составляет 29% от общего количества учащихся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Средний 14 субъектов , что составляет 58% </w:t>
      </w:r>
    </w:p>
    <w:p>
      <w:pPr>
        <w:shd w:val="clear" w:color="auto" w:fill="FFFFFF" w:themeFill="background1"/>
        <w:ind w:firstLine="709"/>
        <w:jc w:val="both"/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Высокий 3 субъекта  13% учеников.</w:t>
      </w:r>
    </w:p>
    <w:p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709"/>
        <w:jc w:val="both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В </w:t>
      </w:r>
      <w:r>
        <w:rPr>
          <w:rFonts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процессе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исследования,  теория о постепенной замене реального общения виртуальным, при этом, незаметной для самого подростка, а также проблема психологического воздействия на сознание подростков в социальных медиа острая тема, требующая тщательного исследования</w:t>
      </w:r>
      <w:r>
        <w:rPr>
          <w:rFonts w:hint="default" w:ascii="Times New Roman" w:hAnsi="Times New Roman" w:cs="Times New Roman"/>
          <w:color w:val="000000" w:themeColor="text1"/>
          <w:lang w:val="ru-RU"/>
          <w14:textFill>
            <w14:solidFill>
              <w14:schemeClr w14:val="tx1"/>
            </w14:solidFill>
          </w14:textFill>
        </w:rPr>
        <w:t>, была подтверждена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ind w:firstLine="709"/>
        <w:jc w:val="both"/>
        <w:rPr>
          <w:rFonts w:hint="default"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Формирование у </w:t>
      </w:r>
      <w:r>
        <w:rPr>
          <w:rFonts w:ascii="Times New Roman" w:hAnsi="Times New Roman" w:cs="Times New Roman"/>
          <w:lang w:val="ru-RU"/>
        </w:rPr>
        <w:t>учеников</w:t>
      </w:r>
      <w:r>
        <w:rPr>
          <w:rFonts w:ascii="Times New Roman" w:hAnsi="Times New Roman" w:cs="Times New Roman"/>
        </w:rPr>
        <w:t xml:space="preserve"> навыков эффективного поведения в сети Интернет -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новая педагогическая задача</w:t>
      </w:r>
      <w:r>
        <w:rPr>
          <w:rFonts w:hint="default" w:ascii="Times New Roman" w:hAnsi="Times New Roman" w:cs="Times New Roman"/>
          <w:lang w:val="ru-RU"/>
        </w:rPr>
        <w:t>, которая на данный момент несомненно актуальна</w:t>
      </w:r>
      <w:r>
        <w:rPr>
          <w:rFonts w:ascii="Times New Roman" w:hAnsi="Times New Roman" w:cs="Times New Roman"/>
        </w:rPr>
        <w:t xml:space="preserve">. На современном этапе развития общества </w:t>
      </w:r>
      <w:r>
        <w:rPr>
          <w:rFonts w:ascii="Times New Roman" w:hAnsi="Times New Roman" w:cs="Times New Roman"/>
          <w:lang w:val="ru-RU"/>
        </w:rPr>
        <w:t>главную</w:t>
      </w:r>
      <w:r>
        <w:rPr>
          <w:rFonts w:hint="default" w:ascii="Times New Roman" w:hAnsi="Times New Roman" w:cs="Times New Roman"/>
          <w:lang w:val="ru-RU"/>
        </w:rPr>
        <w:t xml:space="preserve"> роль в жизни человека играет информационная среда.</w:t>
      </w:r>
    </w:p>
    <w:p>
      <w:pPr>
        <w:ind w:left="480" w:leftChars="200" w:firstLine="468" w:firstLineChars="195"/>
        <w:jc w:val="both"/>
        <w:rPr>
          <w:rFonts w:hint="default"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Совместно</w:t>
      </w:r>
      <w:r>
        <w:rPr>
          <w:rFonts w:hint="default" w:ascii="Times New Roman" w:hAnsi="Times New Roman" w:cs="Times New Roman"/>
          <w:lang w:val="ru-RU"/>
        </w:rPr>
        <w:t xml:space="preserve"> с этой проблемой становится актуальным вопрос интернет -безопасности</w:t>
      </w:r>
      <w:r>
        <w:rPr>
          <w:rFonts w:ascii="Times New Roman" w:hAnsi="Times New Roman" w:cs="Times New Roman"/>
        </w:rPr>
        <w:t xml:space="preserve">, так как стремительное овладение Интернетом детьми и подростками </w:t>
      </w:r>
      <w:r>
        <w:rPr>
          <w:rFonts w:ascii="Times New Roman" w:hAnsi="Times New Roman" w:cs="Times New Roman"/>
          <w:lang w:val="ru-RU"/>
        </w:rPr>
        <w:t>непосредственно</w:t>
      </w:r>
      <w:r>
        <w:rPr>
          <w:rFonts w:hint="default" w:ascii="Times New Roman" w:hAnsi="Times New Roman" w:cs="Times New Roman"/>
          <w:lang w:val="ru-RU"/>
        </w:rPr>
        <w:t xml:space="preserve"> связано</w:t>
      </w:r>
      <w:r>
        <w:rPr>
          <w:rFonts w:ascii="Times New Roman" w:hAnsi="Times New Roman" w:cs="Times New Roman"/>
        </w:rPr>
        <w:t xml:space="preserve"> с их недостаточной </w:t>
      </w:r>
      <w:r>
        <w:rPr>
          <w:rFonts w:ascii="Times New Roman" w:hAnsi="Times New Roman" w:cs="Times New Roman"/>
          <w:lang w:val="ru-RU"/>
        </w:rPr>
        <w:t>осведомлённостью</w:t>
      </w:r>
      <w:r>
        <w:rPr>
          <w:rFonts w:ascii="Times New Roman" w:hAnsi="Times New Roman" w:cs="Times New Roman"/>
        </w:rPr>
        <w:t xml:space="preserve"> как о рисках и угрозах цифрового мира, так и о возможностях </w:t>
      </w:r>
      <w:r>
        <w:rPr>
          <w:rFonts w:ascii="Times New Roman" w:hAnsi="Times New Roman" w:cs="Times New Roman"/>
          <w:lang w:val="ru-RU"/>
        </w:rPr>
        <w:t>сосуществования</w:t>
      </w:r>
      <w:r>
        <w:rPr>
          <w:rFonts w:ascii="Times New Roman" w:hAnsi="Times New Roman" w:cs="Times New Roman"/>
        </w:rPr>
        <w:t xml:space="preserve"> с ними.</w:t>
      </w:r>
      <w:r>
        <w:rPr>
          <w:rFonts w:hint="default" w:ascii="Times New Roman" w:hAnsi="Times New Roman" w:cs="Times New Roman"/>
          <w:lang w:val="ru-RU"/>
        </w:rPr>
        <w:t xml:space="preserve"> Лишь малая часть интернет - угроз, таких как д</w:t>
      </w:r>
      <w:r>
        <w:rPr>
          <w:rFonts w:ascii="Times New Roman" w:hAnsi="Times New Roman" w:cs="Times New Roman"/>
        </w:rPr>
        <w:t xml:space="preserve">еструктивные установки, кибербуллинг и кибермоббинг, интернет-мошенничества, группы </w:t>
      </w:r>
      <w:r>
        <w:rPr>
          <w:rFonts w:ascii="Times New Roman" w:hAnsi="Times New Roman" w:cs="Times New Roman"/>
          <w:lang w:val="ru-RU"/>
        </w:rPr>
        <w:t>содержащие</w:t>
      </w:r>
      <w:r>
        <w:rPr>
          <w:rFonts w:hint="default" w:ascii="Times New Roman" w:hAnsi="Times New Roman" w:cs="Times New Roman"/>
          <w:lang w:val="ru-RU"/>
        </w:rPr>
        <w:t xml:space="preserve"> в себе негативную инормацию и посыл к </w:t>
      </w:r>
      <w:r>
        <w:rPr>
          <w:rFonts w:ascii="Times New Roman" w:hAnsi="Times New Roman" w:cs="Times New Roman"/>
        </w:rPr>
        <w:t xml:space="preserve">смерти в социальных сетях и другой </w:t>
      </w:r>
      <w:r>
        <w:rPr>
          <w:rFonts w:ascii="Times New Roman" w:hAnsi="Times New Roman" w:cs="Times New Roman"/>
          <w:lang w:val="ru-RU"/>
        </w:rPr>
        <w:t>отрицательный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 контент –  которые могут</w:t>
      </w:r>
      <w:r>
        <w:rPr>
          <w:rFonts w:hint="default" w:ascii="Times New Roman" w:hAnsi="Times New Roman" w:cs="Times New Roman"/>
          <w:lang w:val="ru-RU"/>
        </w:rPr>
        <w:t xml:space="preserve"> плохо влиять </w:t>
      </w:r>
      <w:r>
        <w:rPr>
          <w:rFonts w:ascii="Times New Roman" w:hAnsi="Times New Roman" w:cs="Times New Roman"/>
        </w:rPr>
        <w:t xml:space="preserve"> на несовершеннолетнего пользователя. </w:t>
      </w:r>
      <w:r>
        <w:rPr>
          <w:rFonts w:ascii="Times New Roman" w:hAnsi="Times New Roman" w:cs="Times New Roman"/>
          <w:lang w:val="ru-RU"/>
        </w:rPr>
        <w:t>Важнейшей</w:t>
      </w:r>
      <w:r>
        <w:rPr>
          <w:rFonts w:hint="default" w:ascii="Times New Roman" w:hAnsi="Times New Roman" w:cs="Times New Roman"/>
          <w:lang w:val="ru-RU"/>
        </w:rPr>
        <w:t xml:space="preserve"> задачей информационного общества является обеспечение психологической безопасности ребёнка и подростка в интернете, так же во многом это задача семейного и школьного воспитания.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Веселова В. В.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2019)</w:t>
      </w:r>
      <w:r>
        <w:rPr>
          <w:rFonts w:hint="default" w:ascii="Times New Roman" w:hAnsi="Times New Roman" w:cs="Times New Roman"/>
          <w:lang w:val="ru-RU"/>
        </w:rPr>
        <w:t>Основной задачей образовательной среды является не только обучение и воспитание школьников , но и также их личностное развитие, необходимость рассмотрения психологического аспекта информационно-психологической безопасности выходит на первый план. С воздействием недоброкачественной информации на психологическое состояние личности подростка, что несёт за собой угрозу интеллектуальному духовно-нравственному состоянию человека, а также угрозу его физическому здоровью, и связана эта задача. (</w:t>
      </w:r>
      <w:r>
        <w:rPr>
          <w:rFonts w:ascii="Times New Roman" w:hAnsi="Times New Roman" w:cs="Times New Roman"/>
          <w:sz w:val="24"/>
          <w:szCs w:val="24"/>
        </w:rPr>
        <w:t xml:space="preserve">Молчан Э. М.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2019)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val="ru-RU"/>
        </w:rPr>
        <w:t>Нами</w:t>
      </w:r>
      <w:r>
        <w:rPr>
          <w:rFonts w:hint="default" w:ascii="Times New Roman" w:hAnsi="Times New Roman" w:cs="Times New Roman"/>
          <w:lang w:val="ru-RU"/>
        </w:rPr>
        <w:t xml:space="preserve"> была разработана программа по формированию эмоциональной безопасности подростков в цифровой среде, нами была разработана программа для решения этой проблемы.</w:t>
      </w:r>
      <w:r>
        <w:rPr>
          <w:rFonts w:ascii="Times New Roman" w:hAnsi="Times New Roman" w:cs="Times New Roman"/>
        </w:rPr>
        <w:t xml:space="preserve"> Целью </w:t>
      </w:r>
      <w:r>
        <w:rPr>
          <w:rFonts w:ascii="Times New Roman" w:hAnsi="Times New Roman" w:cs="Times New Roman"/>
          <w:lang w:val="ru-RU"/>
        </w:rPr>
        <w:t>данной</w:t>
      </w:r>
      <w:r>
        <w:rPr>
          <w:rFonts w:hint="default" w:ascii="Times New Roman" w:hAnsi="Times New Roman" w:cs="Times New Roman"/>
          <w:lang w:val="ru-RU"/>
        </w:rPr>
        <w:t xml:space="preserve"> программы </w:t>
      </w:r>
      <w:r>
        <w:rPr>
          <w:rFonts w:ascii="Times New Roman" w:hAnsi="Times New Roman" w:cs="Times New Roman"/>
        </w:rPr>
        <w:t xml:space="preserve"> является формирование компетенций, способствующих обеспечению информационно-психологической безопасности школьников старшего возраста.</w:t>
      </w:r>
    </w:p>
    <w:p>
      <w:pPr>
        <w:shd w:val="clear" w:color="auto" w:fill="FFFFFF" w:themeFill="background1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Исходя из теоретических основ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 и проведённого исследования, нельзя не отметить двойственность влияния виртуального общения на личность подростка. С одной стороны, оно даёт доступ к неограниченному количеству информации и собеседников, возможность выбрать комфортную для себя социальную среду «по интересам» и полноценно сформировать свою идентичность. С другой стороны, общение как процесс взаимодействия требует, прежде все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softHyphen/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го, взаимопонимания, «взаимочувствования». 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Изменение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процесса взаимопонимания и трансформация накопленного опыта общения: из человеческих отношений постепенно исчезают гуманизм и теплота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>, всё это происходит из-за влияния Интернета и социальных сетей. Кризис самоидентичности и уход от реальности может быть вызван всем этим в неустойчивом подростковом возрасте.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 Виртуальное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 xml:space="preserve"> общение является обыденным способом ухода от действительности. Возможностью избежания этого может послужить хорошая социализация подростка в реальной жизни.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 Это могут быть интересы, хобби, хорошие отношения с семьёй и друзьями, успехи в учёбе и т.д. Поощрение</w:t>
      </w:r>
      <w:r>
        <w:rPr>
          <w:rFonts w:hint="default" w:ascii="Times New Roman" w:hAnsi="Times New Roman" w:eastAsia="Times New Roman" w:cs="Times New Roman"/>
          <w:color w:val="000000" w:themeColor="text1"/>
          <w:lang w:val="en-US" w:eastAsia="ru-RU"/>
          <w14:textFill>
            <w14:solidFill>
              <w14:schemeClr w14:val="tx1"/>
            </w14:solidFill>
          </w14:textFill>
        </w:rPr>
        <w:t xml:space="preserve"> стремлений подростка к взрослости и ответственности стоит применять в воспитательных социальных институтах (семья, школа), а также следует акцентировать внимание на успехах подростка для дальнейшего развития. Благодаря этому виртуальное общение уже не будет иметь компенсаторскую, а начнёт выступать только лишь в качестве дополнительной функции.</w:t>
      </w:r>
      <w:r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cs="Times New Roman"/>
          <w:sz w:val="24"/>
          <w:szCs w:val="24"/>
        </w:rPr>
      </w:pPr>
      <w:bookmarkStart w:id="0" w:name="_Toc125345505"/>
      <w:bookmarkStart w:id="1" w:name="_Toc106894342"/>
      <w:r>
        <w:rPr>
          <w:rFonts w:cs="Times New Roman"/>
          <w:sz w:val="24"/>
          <w:szCs w:val="24"/>
        </w:rPr>
        <w:t>СПИСОК ЛИТЕРАТУРЫ</w:t>
      </w:r>
      <w:bookmarkEnd w:id="0"/>
      <w:bookmarkEnd w:id="1"/>
    </w:p>
    <w:p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Балюшина Ю. Л. Трансформация ценностных ориентаций личности в период становления информационного общества / Ю. Л. Балюшина // Концепт. – 2014. – Т.13. – С. 6-10.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fldChar w:fldCharType="begin"/>
      </w:r>
      <w:r>
        <w:instrText xml:space="preserve"> HYPERLINK "http://e-koncept.ru/2014/64083.htm" </w:instrText>
      </w:r>
      <w:r>
        <w:fldChar w:fldCharType="separate"/>
      </w:r>
      <w:r>
        <w:rPr>
          <w:rStyle w:val="5"/>
          <w:rFonts w:ascii="Times New Roman" w:hAnsi="Times New Roman" w:cs="Times New Roman"/>
          <w:iCs/>
          <w:sz w:val="24"/>
          <w:szCs w:val="24"/>
          <w:shd w:val="clear" w:color="auto" w:fill="FFFFFF"/>
        </w:rPr>
        <w:t>http://e-koncept.ru/2014/64083.htm</w:t>
      </w:r>
      <w:r>
        <w:rPr>
          <w:rStyle w:val="5"/>
          <w:rFonts w:ascii="Times New Roman" w:hAnsi="Times New Roman" w:cs="Times New Roman"/>
          <w:iCs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(дата обращения: 13.12.2022).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Веселова В. В. Векторы социализации, обусловленные цифровой трансформацией / В. В. Веселова // Социальная педагогика. – 2019. – № 3. – С. 18-23.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fldChar w:fldCharType="begin"/>
      </w:r>
      <w:r>
        <w:instrText xml:space="preserve"> HYPERLINK "https://cyberleninka.ru/article/n/vektory-sotsializatsii-obuslovlennye-tsifrovoy-transformatsiey/viewer"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4"/>
          <w:szCs w:val="24"/>
        </w:rPr>
        <w:t>https://cyberleninka.ru/article/n/vektory-sotsializatsii-obuslovlennye-tsifrovoy-transformatsiey/viewer</w:t>
      </w:r>
      <w:r>
        <w:rPr>
          <w:rStyle w:val="5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обращения: 18.11.2022).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 xml:space="preserve">Кротенко Т. Ю. Цифровая социализация в образовании / Т. Ю. Кротенко // Инновационная экономика: перспективы развития и совершенствования. – 2020. – № 2 (44). – С. 46-50.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fldChar w:fldCharType="begin"/>
      </w:r>
      <w:r>
        <w:instrText xml:space="preserve"> HYPERLINK "https://cyberleninka.ru/article/n/tsifrovaya-sotsializatsiya-v-obrazovanii/viewer"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4"/>
          <w:szCs w:val="24"/>
        </w:rPr>
        <w:t>https://cyberleninka.ru/article/n/tsifrovaya-sotsializatsiya-v-obrazovanii/viewer</w:t>
      </w:r>
      <w:r>
        <w:rPr>
          <w:rStyle w:val="5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обращения: 22.12.2022).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 xml:space="preserve">Молчан Э. М. Влияние цифровизации на формирование духовно – нравственных ценностей субъектов взаимодействия в эпоху глобализации / Э. М. Молчун // Вестник Московского государственного университета. – 2019. – №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– С. 55-65.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fldChar w:fldCharType="begin"/>
      </w:r>
      <w:r>
        <w:instrText xml:space="preserve"> HYPERLINK "https://cyberleninka.ru/article/n/vliyanie-tsifrovizatsii-na-formirovanie-duhovno-nravstvennyh-tsennostey-subektov-vzaimodeystviya-v-epohu-globalizatsii/viewer"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https</w:t>
      </w:r>
      <w:r>
        <w:rPr>
          <w:rStyle w:val="5"/>
          <w:rFonts w:ascii="Times New Roman" w:hAnsi="Times New Roman" w:cs="Times New Roman"/>
          <w:sz w:val="24"/>
          <w:szCs w:val="24"/>
        </w:rPr>
        <w:t>://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cyberleninka</w:t>
      </w:r>
      <w:r>
        <w:rPr>
          <w:rStyle w:val="5"/>
          <w:rFonts w:ascii="Times New Roman" w:hAnsi="Times New Roman" w:cs="Times New Roman"/>
          <w:sz w:val="24"/>
          <w:szCs w:val="24"/>
        </w:rPr>
        <w:t>.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Style w:val="5"/>
          <w:rFonts w:ascii="Times New Roman" w:hAnsi="Times New Roman" w:cs="Times New Roman"/>
          <w:sz w:val="24"/>
          <w:szCs w:val="24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article</w:t>
      </w:r>
      <w:r>
        <w:rPr>
          <w:rStyle w:val="5"/>
          <w:rFonts w:ascii="Times New Roman" w:hAnsi="Times New Roman" w:cs="Times New Roman"/>
          <w:sz w:val="24"/>
          <w:szCs w:val="24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Style w:val="5"/>
          <w:rFonts w:ascii="Times New Roman" w:hAnsi="Times New Roman" w:cs="Times New Roman"/>
          <w:sz w:val="24"/>
          <w:szCs w:val="24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vliyanie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tsifrovizatsii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formirovanie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duhovno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nravstvennyh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tsennostey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subektov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vzaimodeystviya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epohu</w:t>
      </w:r>
      <w:r>
        <w:rPr>
          <w:rStyle w:val="5"/>
          <w:rFonts w:ascii="Times New Roman" w:hAnsi="Times New Roman" w:cs="Times New Roman"/>
          <w:sz w:val="24"/>
          <w:szCs w:val="24"/>
        </w:rPr>
        <w:t>-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globalizatsii</w:t>
      </w:r>
      <w:r>
        <w:rPr>
          <w:rStyle w:val="5"/>
          <w:rFonts w:ascii="Times New Roman" w:hAnsi="Times New Roman" w:cs="Times New Roman"/>
          <w:sz w:val="24"/>
          <w:szCs w:val="24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t>viewer</w:t>
      </w:r>
      <w:r>
        <w:rPr>
          <w:rStyle w:val="5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обращения: 2.12.2022).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7D66FD"/>
    <w:multiLevelType w:val="multilevel"/>
    <w:tmpl w:val="217D66FD"/>
    <w:lvl w:ilvl="0" w:tentative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C6EC0"/>
    <w:multiLevelType w:val="multilevel"/>
    <w:tmpl w:val="756C6EC0"/>
    <w:lvl w:ilvl="0" w:tentative="0">
      <w:start w:val="1"/>
      <w:numFmt w:val="bullet"/>
      <w:lvlText w:val="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862002"/>
    <w:rsid w:val="004D5620"/>
    <w:rsid w:val="00692D55"/>
    <w:rsid w:val="009A31A3"/>
    <w:rsid w:val="00A64C32"/>
    <w:rsid w:val="00C27FC0"/>
    <w:rsid w:val="00F445CD"/>
    <w:rsid w:val="4A0E630E"/>
    <w:rsid w:val="4FD6000F"/>
    <w:rsid w:val="57A47115"/>
    <w:rsid w:val="5E70258F"/>
    <w:rsid w:val="61E351ED"/>
    <w:rsid w:val="6C862002"/>
    <w:rsid w:val="6F4C575C"/>
    <w:rsid w:val="6F9F7A8B"/>
    <w:rsid w:val="798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/>
      <w:jc w:val="center"/>
      <w:outlineLvl w:val="0"/>
    </w:pPr>
    <w:rPr>
      <w:rFonts w:ascii="Times New Roman" w:hAnsi="Times New Roman" w:eastAsiaTheme="majorEastAsia" w:cstheme="majorBidi"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Title"/>
    <w:basedOn w:val="1"/>
    <w:qFormat/>
    <w:uiPriority w:val="0"/>
    <w:pPr>
      <w:jc w:val="center"/>
    </w:pPr>
    <w:rPr>
      <w:rFonts w:ascii="Times New Roman" w:hAnsi="Times New Roman" w:eastAsia="Times New Roman" w:cs="Times New Roman"/>
      <w:b/>
      <w:caps/>
      <w:sz w:val="28"/>
      <w:szCs w:val="20"/>
      <w:lang w:eastAsia="ru-RU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 w:eastAsiaTheme="minorEastAsia"/>
      <w:lang w:eastAsia="ru-RU"/>
    </w:rPr>
  </w:style>
  <w:style w:type="table" w:styleId="9">
    <w:name w:val="Table Grid"/>
    <w:basedOn w:val="4"/>
    <w:qFormat/>
    <w:uiPriority w:val="0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1627</Words>
  <Characters>9279</Characters>
  <Lines>77</Lines>
  <Paragraphs>21</Paragraphs>
  <TotalTime>2</TotalTime>
  <ScaleCrop>false</ScaleCrop>
  <LinksUpToDate>false</LinksUpToDate>
  <CharactersWithSpaces>10885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2023-04-12T08:30:00Z</dcterms:created>
  <dc:creator>Кристина Тимофе�</dc:creator>
  <cp:lastModifiedBy>1</cp:lastModifiedBy>
  <dcterms:modified xsi:type="dcterms:W3CDTF">2023-05-26T17:14:40Z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2B2551F8B790440298E961834355F3A8</vt:lpwstr>
  </property>
</Properties>
</file>