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extended-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1000000">
      <w:pPr>
        <w:spacing w:after="0" w:line="240" w:lineRule="auto"/>
        <w:ind/>
        <w:jc w:val="center"/>
        <w:rPr>
          <w:rFonts w:ascii="Times New Roman" w:hAnsi="Times New Roman"/>
          <w:b w:val="1"/>
          <w:sz w:val="20"/>
        </w:rPr>
      </w:pPr>
      <w:r>
        <w:rPr>
          <w:rFonts w:ascii="Times New Roman" w:hAnsi="Times New Roman"/>
          <w:b w:val="1"/>
          <w:sz w:val="20"/>
        </w:rPr>
        <w:t>Понятие и значение обстоятельств , смягчающих и отягчающих уголовное наказание</w:t>
      </w:r>
    </w:p>
    <w:p w14:paraId="02000000">
      <w:pPr>
        <w:spacing w:after="0" w:line="240" w:lineRule="auto"/>
        <w:ind/>
        <w:jc w:val="center"/>
        <w:rPr>
          <w:rFonts w:ascii="Times New Roman" w:hAnsi="Times New Roman"/>
          <w:b w:val="1"/>
          <w:sz w:val="20"/>
        </w:rPr>
      </w:pPr>
    </w:p>
    <w:p w14:paraId="03000000">
      <w:pPr>
        <w:spacing w:after="0" w:line="240" w:lineRule="auto"/>
        <w:ind/>
        <w:jc w:val="center"/>
        <w:rPr>
          <w:rFonts w:ascii="Times New Roman" w:hAnsi="Times New Roman"/>
          <w:b w:val="1"/>
          <w:sz w:val="20"/>
        </w:rPr>
      </w:pPr>
      <w:r>
        <w:rPr>
          <w:rFonts w:ascii="Times New Roman" w:hAnsi="Times New Roman"/>
          <w:b w:val="1"/>
          <w:sz w:val="20"/>
        </w:rPr>
        <w:t>З.Г.Джалилов, С.А. Поляков</w:t>
      </w:r>
    </w:p>
    <w:p w14:paraId="04000000">
      <w:pPr>
        <w:spacing w:after="0" w:line="240" w:lineRule="auto"/>
        <w:ind/>
        <w:jc w:val="center"/>
        <w:rPr>
          <w:rFonts w:ascii="Times New Roman" w:hAnsi="Times New Roman"/>
          <w:b w:val="1"/>
          <w:sz w:val="20"/>
        </w:rPr>
      </w:pPr>
      <w:r>
        <w:rPr>
          <w:rFonts w:ascii="Times New Roman" w:hAnsi="Times New Roman"/>
          <w:b w:val="1"/>
          <w:sz w:val="20"/>
        </w:rPr>
        <w:t>Новосибирский военный ордена Жукова институт имени генерала И.К.Яковлева войск национальной гвардии Российской Федерации</w:t>
      </w:r>
    </w:p>
    <w:p w14:paraId="05000000">
      <w:pPr>
        <w:spacing w:after="0" w:line="240" w:lineRule="auto"/>
        <w:ind/>
        <w:jc w:val="center"/>
        <w:rPr>
          <w:rFonts w:ascii="Times New Roman" w:hAnsi="Times New Roman"/>
          <w:b w:val="1"/>
          <w:sz w:val="20"/>
        </w:rPr>
      </w:pPr>
      <w:r>
        <w:rPr>
          <w:rFonts w:ascii="Times New Roman" w:hAnsi="Times New Roman"/>
          <w:b w:val="1"/>
          <w:sz w:val="20"/>
        </w:rPr>
        <w:t>Г. Новосибирск, lollla76@mail.ru</w:t>
      </w:r>
    </w:p>
    <w:p w14:paraId="06000000">
      <w:pPr>
        <w:widowControl w:val="0"/>
        <w:spacing w:after="0" w:line="240" w:lineRule="auto"/>
        <w:ind/>
        <w:jc w:val="center"/>
        <w:rPr>
          <w:rFonts w:ascii="Times New Roman" w:hAnsi="Times New Roman"/>
          <w:b w:val="1"/>
          <w:sz w:val="20"/>
        </w:rPr>
      </w:pPr>
    </w:p>
    <w:p w14:paraId="07000000">
      <w:pPr>
        <w:spacing w:after="0" w:line="240" w:lineRule="auto"/>
        <w:ind w:firstLine="284"/>
        <w:jc w:val="both"/>
        <w:rPr>
          <w:rFonts w:ascii="Times New Roman" w:hAnsi="Times New Roman"/>
          <w:i w:val="1"/>
          <w:sz w:val="18"/>
        </w:rPr>
      </w:pPr>
      <w:r>
        <w:rPr>
          <w:rFonts w:ascii="Times New Roman" w:hAnsi="Times New Roman"/>
          <w:b w:val="1"/>
          <w:i w:val="1"/>
          <w:sz w:val="20"/>
        </w:rPr>
        <w:t>Аннотация</w:t>
      </w:r>
      <w:r>
        <w:rPr>
          <w:rFonts w:ascii="Times New Roman" w:hAnsi="Times New Roman"/>
          <w:b w:val="1"/>
          <w:sz w:val="20"/>
        </w:rPr>
        <w:t xml:space="preserve">. </w:t>
      </w:r>
      <w:r>
        <w:rPr>
          <w:rFonts w:ascii="Times New Roman" w:hAnsi="Times New Roman"/>
          <w:b w:val="0"/>
          <w:i w:val="1"/>
          <w:sz w:val="18"/>
        </w:rPr>
        <w:t>Уголовное законодательство России, в первую очередь, стоит на защите основных конституционных</w:t>
      </w:r>
      <w:r>
        <w:rPr>
          <w:rFonts w:ascii="Times New Roman" w:hAnsi="Times New Roman"/>
          <w:b w:val="0"/>
          <w:i w:val="1"/>
          <w:sz w:val="18"/>
        </w:rPr>
        <w:t xml:space="preserve"> прав своих граждан, а также общества и государства. Одним из основных способов защиты прав является прописанная в УК России ответственность за совершенные деяния, которые нарушают права и расцениваются как преступные. Реализуется уголовная ответственность, главным образом посредством назначения наказания лицам, которые признаны виновными в совершении преступного деяния в порядке, предусмотренном уголовным законодательством. Назначение наказания преступнику является закономерным и предсказуемым результатом за совершение им преступного деяния.</w:t>
      </w:r>
    </w:p>
    <w:p w14:paraId="08000000">
      <w:pPr>
        <w:spacing w:after="0" w:line="240" w:lineRule="auto"/>
        <w:ind w:firstLine="284"/>
        <w:jc w:val="both"/>
        <w:rPr>
          <w:rFonts w:ascii="Times New Roman" w:hAnsi="Times New Roman"/>
          <w:i w:val="1"/>
          <w:sz w:val="18"/>
        </w:rPr>
      </w:pPr>
      <w:r>
        <w:rPr>
          <w:rFonts w:ascii="Times New Roman" w:hAnsi="Times New Roman"/>
          <w:b w:val="0"/>
          <w:i w:val="1"/>
          <w:sz w:val="18"/>
        </w:rPr>
        <w:t>Действующее уголовное законодательство содержит два вида обстоятельств, учитываемых при назначении наказания. Значение одних из этих обстоятельств - оказывать вли</w:t>
      </w:r>
      <w:r>
        <w:rPr>
          <w:rFonts w:ascii="Times New Roman" w:hAnsi="Times New Roman"/>
          <w:i w:val="1"/>
          <w:sz w:val="18"/>
        </w:rPr>
        <w:t>яние на отягощения либо смягчения наказания. Другие, законодателем рассматриваются в качестве признаков совершенного конкретного состава преступления, которые влияют на квалификацию, и этим предопределяют вынесение наказания, в пределах санкции установленной нормами Уголовного кодекса.</w:t>
      </w:r>
    </w:p>
    <w:p w14:paraId="09000000">
      <w:pPr>
        <w:spacing w:after="0" w:line="240" w:lineRule="auto"/>
        <w:ind w:firstLine="284"/>
        <w:jc w:val="both"/>
        <w:rPr>
          <w:rFonts w:ascii="Times New Roman" w:hAnsi="Times New Roman"/>
          <w:i w:val="1"/>
          <w:sz w:val="18"/>
        </w:rPr>
      </w:pPr>
      <w:r>
        <w:rPr>
          <w:rFonts w:ascii="Times New Roman" w:hAnsi="Times New Roman"/>
          <w:b w:val="1"/>
          <w:i w:val="1"/>
          <w:sz w:val="18"/>
        </w:rPr>
        <w:t>Ключевые</w:t>
      </w:r>
      <w:r>
        <w:rPr>
          <w:rFonts w:ascii="Times New Roman" w:hAnsi="Times New Roman"/>
          <w:b w:val="1"/>
          <w:i w:val="1"/>
          <w:spacing w:val="1"/>
          <w:sz w:val="18"/>
        </w:rPr>
        <w:t xml:space="preserve"> </w:t>
      </w:r>
      <w:r>
        <w:rPr>
          <w:rFonts w:ascii="Times New Roman" w:hAnsi="Times New Roman"/>
          <w:b w:val="1"/>
          <w:i w:val="1"/>
          <w:sz w:val="18"/>
        </w:rPr>
        <w:t>слова</w:t>
      </w:r>
      <w:r>
        <w:rPr>
          <w:rFonts w:ascii="Times New Roman" w:hAnsi="Times New Roman"/>
          <w:i w:val="1"/>
          <w:sz w:val="18"/>
        </w:rPr>
        <w:t>: уголовное право, наказание, обстоятельства, смягчающие и отягчающие наказание.</w:t>
      </w:r>
    </w:p>
    <w:p w14:paraId="0A000000">
      <w:pPr>
        <w:widowControl w:val="0"/>
        <w:spacing w:after="0" w:line="240" w:lineRule="auto"/>
        <w:ind w:firstLine="284"/>
        <w:jc w:val="both"/>
        <w:rPr>
          <w:rFonts w:ascii="Times New Roman" w:hAnsi="Times New Roman"/>
          <w:i w:val="1"/>
          <w:sz w:val="18"/>
        </w:rPr>
      </w:pPr>
    </w:p>
    <w:p w14:paraId="0B000000">
      <w:pPr>
        <w:tabs>
          <w:tab w:leader="none" w:pos="916" w:val="left"/>
          <w:tab w:leader="none" w:pos="1832" w:val="left"/>
          <w:tab w:leader="none" w:pos="2748" w:val="left"/>
          <w:tab w:leader="none" w:pos="3664" w:val="left"/>
          <w:tab w:leader="none" w:pos="4580" w:val="left"/>
          <w:tab w:leader="none" w:pos="5496" w:val="left"/>
          <w:tab w:leader="none" w:pos="6412" w:val="left"/>
          <w:tab w:leader="none" w:pos="7328" w:val="left"/>
          <w:tab w:leader="none" w:pos="8244" w:val="left"/>
          <w:tab w:leader="none" w:pos="9160" w:val="left"/>
          <w:tab w:leader="none" w:pos="10076" w:val="left"/>
          <w:tab w:leader="none" w:pos="10992" w:val="left"/>
          <w:tab w:leader="none" w:pos="11908" w:val="left"/>
          <w:tab w:leader="none" w:pos="12824" w:val="left"/>
          <w:tab w:leader="none" w:pos="13740" w:val="left"/>
          <w:tab w:leader="none" w:pos="14656" w:val="left"/>
        </w:tabs>
        <w:spacing w:after="0" w:line="240" w:lineRule="auto"/>
        <w:ind w:firstLine="284"/>
        <w:jc w:val="both"/>
        <w:rPr>
          <w:rFonts w:ascii="Times New Roman" w:hAnsi="Times New Roman"/>
          <w:i w:val="1"/>
          <w:sz w:val="18"/>
        </w:rPr>
      </w:pPr>
      <w:r>
        <w:rPr>
          <w:rFonts w:ascii="Times New Roman" w:hAnsi="Times New Roman"/>
          <w:b w:val="1"/>
          <w:i w:val="1"/>
          <w:sz w:val="18"/>
        </w:rPr>
        <w:t>Annotation.</w:t>
      </w:r>
      <w:r>
        <w:rPr>
          <w:rFonts w:ascii="Times New Roman" w:hAnsi="Times New Roman"/>
          <w:i w:val="1"/>
          <w:sz w:val="18"/>
        </w:rPr>
        <w:t xml:space="preserve"> </w:t>
      </w:r>
      <w:r>
        <w:rPr>
          <w:rFonts w:ascii="Times New Roman" w:hAnsi="Times New Roman"/>
          <w:i w:val="1"/>
        </w:rPr>
        <w:t>The criminal legislation of Russia, first of all, stands for the protection of the basic constitutional rights of its citizens, as well as society and the state. One of the main ways to protect rights is the responsibility prescribed in the Criminal Code of Russia for committed acts that violate rights and are regarded as criminal. Criminal liability is implemented, mainly through the imposition of punishment on persons who are found guilty of a criminal act in the manner prescribed by criminal law. Assigning punishment to a criminal is a natural and predictable result for committing a criminal act.</w:t>
      </w:r>
    </w:p>
    <w:p w14:paraId="0C000000">
      <w:pPr>
        <w:tabs>
          <w:tab w:leader="none" w:pos="916" w:val="left"/>
          <w:tab w:leader="none" w:pos="1832" w:val="left"/>
          <w:tab w:leader="none" w:pos="2748" w:val="left"/>
          <w:tab w:leader="none" w:pos="3664" w:val="left"/>
          <w:tab w:leader="none" w:pos="4580" w:val="left"/>
          <w:tab w:leader="none" w:pos="5496" w:val="left"/>
          <w:tab w:leader="none" w:pos="6412" w:val="left"/>
          <w:tab w:leader="none" w:pos="7328" w:val="left"/>
          <w:tab w:leader="none" w:pos="8244" w:val="left"/>
          <w:tab w:leader="none" w:pos="9160" w:val="left"/>
          <w:tab w:leader="none" w:pos="10076" w:val="left"/>
          <w:tab w:leader="none" w:pos="10992" w:val="left"/>
          <w:tab w:leader="none" w:pos="11908" w:val="left"/>
          <w:tab w:leader="none" w:pos="12824" w:val="left"/>
          <w:tab w:leader="none" w:pos="13740" w:val="left"/>
          <w:tab w:leader="none" w:pos="14656" w:val="left"/>
        </w:tabs>
        <w:spacing w:after="0" w:line="240" w:lineRule="auto"/>
        <w:ind w:firstLine="284"/>
        <w:jc w:val="both"/>
        <w:rPr>
          <w:rFonts w:ascii="Times New Roman" w:hAnsi="Times New Roman"/>
          <w:i w:val="1"/>
          <w:sz w:val="18"/>
        </w:rPr>
      </w:pPr>
      <w:r>
        <w:rPr>
          <w:rFonts w:ascii="Times New Roman" w:hAnsi="Times New Roman"/>
          <w:i w:val="1"/>
        </w:rPr>
        <w:t>The current criminal legislation contains two types of circumstances taken into account when sentencing. The significance of one of these circumstances is to influence the aggravation or mitigation of punishment. Others are considered by the legislator as signs of a committed specific corpus delicti that affect the qualification, and this predetermines the imposition of punishment, within the limits of the sanction established by the norms of the Criminal Code.</w:t>
      </w:r>
    </w:p>
    <w:p w14:paraId="0D000000">
      <w:pPr>
        <w:tabs>
          <w:tab w:leader="none" w:pos="916" w:val="left"/>
          <w:tab w:leader="none" w:pos="1832" w:val="left"/>
          <w:tab w:leader="none" w:pos="2748" w:val="left"/>
          <w:tab w:leader="none" w:pos="3664" w:val="left"/>
          <w:tab w:leader="none" w:pos="4580" w:val="left"/>
          <w:tab w:leader="none" w:pos="5496" w:val="left"/>
          <w:tab w:leader="none" w:pos="6412" w:val="left"/>
          <w:tab w:leader="none" w:pos="7328" w:val="left"/>
          <w:tab w:leader="none" w:pos="8244" w:val="left"/>
          <w:tab w:leader="none" w:pos="9160" w:val="left"/>
          <w:tab w:leader="none" w:pos="10076" w:val="left"/>
          <w:tab w:leader="none" w:pos="10992" w:val="left"/>
          <w:tab w:leader="none" w:pos="11908" w:val="left"/>
          <w:tab w:leader="none" w:pos="12824" w:val="left"/>
          <w:tab w:leader="none" w:pos="13740" w:val="left"/>
          <w:tab w:leader="none" w:pos="14656" w:val="left"/>
        </w:tabs>
        <w:spacing w:after="0" w:line="240" w:lineRule="auto"/>
        <w:ind w:firstLine="284"/>
        <w:jc w:val="both"/>
        <w:rPr>
          <w:rFonts w:ascii="Times New Roman" w:hAnsi="Times New Roman"/>
          <w:i w:val="1"/>
          <w:sz w:val="18"/>
        </w:rPr>
      </w:pPr>
      <w:r>
        <w:rPr>
          <w:rFonts w:ascii="Times New Roman" w:hAnsi="Times New Roman"/>
          <w:b w:val="1"/>
          <w:i w:val="1"/>
          <w:sz w:val="18"/>
        </w:rPr>
        <w:t>Key words</w:t>
      </w:r>
      <w:r>
        <w:rPr>
          <w:rFonts w:ascii="Times New Roman" w:hAnsi="Times New Roman"/>
          <w:i w:val="1"/>
          <w:sz w:val="18"/>
        </w:rPr>
        <w:t xml:space="preserve">: </w:t>
      </w:r>
      <w:r>
        <w:rPr>
          <w:rFonts w:ascii="Times New Roman" w:hAnsi="Times New Roman"/>
          <w:i w:val="1"/>
        </w:rPr>
        <w:t>criminal law,</w:t>
      </w:r>
      <w:r>
        <w:rPr>
          <w:rFonts w:ascii="Times New Roman" w:hAnsi="Times New Roman"/>
          <w:i w:val="1"/>
        </w:rPr>
        <w:t>punishment,</w:t>
      </w:r>
      <w:r>
        <w:rPr>
          <w:rFonts w:ascii="Times New Roman" w:hAnsi="Times New Roman"/>
          <w:i w:val="1"/>
        </w:rPr>
        <w:t>mitigating and aggravating circumstances.</w:t>
      </w:r>
    </w:p>
    <w:p w14:paraId="0E000000">
      <w:pPr>
        <w:widowControl w:val="0"/>
        <w:spacing w:after="0" w:line="240" w:lineRule="auto"/>
        <w:ind w:firstLine="284"/>
        <w:jc w:val="both"/>
        <w:rPr>
          <w:rFonts w:ascii="Times New Roman" w:hAnsi="Times New Roman"/>
          <w:i w:val="1"/>
          <w:sz w:val="18"/>
        </w:rPr>
      </w:pPr>
    </w:p>
    <w:p w14:paraId="0F000000">
      <w:pPr>
        <w:spacing w:line="240" w:lineRule="auto"/>
        <w:ind w:firstLine="709" w:left="0" w:right="0"/>
        <w:jc w:val="both"/>
        <w:rPr>
          <w:rFonts w:ascii="Times New Roman" w:hAnsi="Times New Roman"/>
          <w:sz w:val="20"/>
        </w:rPr>
      </w:pPr>
      <w:r>
        <w:rPr>
          <w:rFonts w:ascii="Times New Roman" w:hAnsi="Times New Roman"/>
          <w:sz w:val="20"/>
        </w:rPr>
        <w:t>В науке уголовного права есть мнение, что "основными инструментами индивидуализации наказания в уголовном праве России являются обстоятельства, смягчающие и отягчающие наказание"</w:t>
      </w:r>
      <w:r>
        <w:rPr>
          <w:rFonts w:ascii="Times New Roman" w:hAnsi="Times New Roman"/>
          <w:sz w:val="20"/>
        </w:rPr>
        <w:t xml:space="preserve"> . И действительно, названные обстоятельства важны в процессе индивидуализации. Основным же критерием индивидуализации является все же степень общественной опасности преступления, смягчающие и отягчающие обстоятельства лишь помогают в ее установлении. </w:t>
      </w:r>
    </w:p>
    <w:p w14:paraId="10000000">
      <w:pPr>
        <w:spacing w:line="240" w:lineRule="auto"/>
        <w:ind w:firstLine="709" w:left="0" w:right="0"/>
        <w:jc w:val="both"/>
        <w:rPr>
          <w:rFonts w:ascii="Times New Roman" w:hAnsi="Times New Roman"/>
          <w:sz w:val="20"/>
        </w:rPr>
      </w:pPr>
      <w:r>
        <w:rPr>
          <w:rFonts w:ascii="Times New Roman" w:hAnsi="Times New Roman"/>
          <w:sz w:val="20"/>
        </w:rPr>
        <w:t>При назначении наказания суд обязан учитывать обстоятельства, смягчающие и отягчающие наказание. Данные обстоятельства имеют принципиально важное значение для индивидуализации наказания виновному лицу. Как правильно отмечает большинство авторов</w:t>
      </w:r>
      <w:r>
        <w:rPr>
          <w:rFonts w:ascii="Times New Roman" w:hAnsi="Times New Roman"/>
          <w:sz w:val="20"/>
        </w:rPr>
        <w:t xml:space="preserve"> , их суть состоит в том, что, с одной стороны, они охватывают широко распространенные в реальной жизни ситуации и потому наиболее типичны для разнообразных случаев совершения преступлений, а с другой - законодатель включает в перечень именно те обстоятельства, которые оказывают существенное влияние на степень общественной опасности совершенного преступления и личности виновного. В юридической литературе институту назначения наказания посвящено немало исследований, многие проблемы назначения мер уголовно- правового воздействия остаются спорными или нерешенными. Дискуссии ведутся как по вопросу о назначении наказания вообще, так и при наличии </w:t>
      </w:r>
    </w:p>
    <w:p w14:paraId="11000000">
      <w:pPr>
        <w:spacing w:line="240" w:lineRule="auto"/>
        <w:ind w:firstLine="0" w:left="0" w:right="0"/>
        <w:jc w:val="both"/>
        <w:rPr>
          <w:rFonts w:ascii="Times New Roman" w:hAnsi="Times New Roman"/>
          <w:sz w:val="20"/>
        </w:rPr>
      </w:pPr>
      <w:r>
        <w:rPr>
          <w:rFonts w:ascii="Times New Roman" w:hAnsi="Times New Roman"/>
          <w:sz w:val="20"/>
        </w:rPr>
        <w:t xml:space="preserve">смягчающих и отягчающих его обстоятельств в частности. Повышенное внимание к проблеме назначения наказания - явление не случайное, поскольку назначение наказания судом - заключительный акт правосудия. </w:t>
      </w:r>
      <w:r>
        <w:rPr>
          <w:rFonts w:ascii="Times New Roman" w:hAnsi="Times New Roman"/>
          <w:sz w:val="20"/>
        </w:rPr>
        <w:t>Важно сказать, что до настоящего времени единого мнения относительно правовой природы смягчающих и отягчающих наказание обстоятельств нет. Среди исследователей не решен вопрос о том, какое же наименование наилучшим образом отражает сущность и специфику таких обстоятельств. М. Исаев и М. Шаргородский считают, что эти обстоятельства оказывают неизмеримое влияние на вину, поэтому именуют их обстоятельствами, смягчающими и отягчающими вину. Т.Сергеева и М.Бажанов придерживаются мнения, что смягчающие и отягчающие наказание обстоятельства отражаются существенным образом на степени вины.</w:t>
      </w:r>
      <w:r>
        <w:rPr>
          <w:rFonts w:ascii="Times New Roman" w:hAnsi="Times New Roman"/>
          <w:sz w:val="20"/>
        </w:rPr>
        <w:t xml:space="preserve"> И. Карпец убежден в оказании влияния смягчающих и отягчающих обстоятельств на общественную опасность деяния</w:t>
      </w:r>
      <w:r>
        <w:rPr>
          <w:rFonts w:ascii="Times New Roman" w:hAnsi="Times New Roman"/>
          <w:sz w:val="20"/>
        </w:rPr>
        <w:t xml:space="preserve"> . О. Мясников уверен, что "более удачным является наименование исследуемых обстоятельств, встречающееся в дореволюционной литературе: "обстоятельства, увеличивающие и уменьшающие меру наказания"</w:t>
      </w:r>
      <w:r>
        <w:rPr>
          <w:rFonts w:ascii="Times New Roman" w:hAnsi="Times New Roman"/>
          <w:sz w:val="20"/>
          <w:vertAlign w:val="superscript"/>
        </w:rPr>
        <w:t xml:space="preserve"> </w:t>
      </w:r>
      <w:r>
        <w:rPr>
          <w:rFonts w:ascii="Times New Roman" w:hAnsi="Times New Roman"/>
          <w:sz w:val="20"/>
        </w:rPr>
        <w:t xml:space="preserve">.Учет обстоятельств, смягчающих и отягчающих наказание, имеет особенно существенное значение при применении такой суровой меры наказания, как лишение свободы. Индивидуализируя наказание, суды должны постоянно помнить, что разница в сроках лишения свободы важна не только для осужденного, но и для всей судебной системы, призванной искоренять преступность. Гибкость санкций </w:t>
      </w:r>
      <w:r>
        <w:rPr>
          <w:rFonts w:ascii="Times New Roman" w:hAnsi="Times New Roman"/>
          <w:sz w:val="20"/>
        </w:rPr>
        <w:t xml:space="preserve">действующего российского Уголовного кодекса и широкий простор между низшим и высшим пределом санкций дают судам все необходимые для этого </w:t>
      </w:r>
      <w:r>
        <w:rPr>
          <w:rFonts w:ascii="Times New Roman" w:hAnsi="Times New Roman"/>
          <w:sz w:val="20"/>
        </w:rPr>
        <w:t xml:space="preserve"> </w:t>
      </w:r>
      <w:r>
        <w:rPr>
          <w:rFonts w:ascii="Times New Roman" w:hAnsi="Times New Roman"/>
          <w:sz w:val="20"/>
        </w:rPr>
        <w:t>возможности. Обобщение судебной практики показывает, что в приговорах обстоятельства, смягчающие наказание, не указанные в законе, встречаются в несколько раз чаще, чем обстоятельства, в законе указанные (в соотношении примерно 4:1</w:t>
      </w:r>
      <w:r>
        <w:rPr>
          <w:rFonts w:ascii="Times New Roman" w:hAnsi="Times New Roman"/>
          <w:sz w:val="20"/>
        </w:rPr>
        <w:t xml:space="preserve"> . Данный факт, а также иные вышеуказанные проблемы и </w:t>
      </w:r>
      <w:r>
        <w:rPr>
          <w:rFonts w:ascii="Times New Roman" w:hAnsi="Times New Roman"/>
          <w:sz w:val="20"/>
        </w:rPr>
        <w:t xml:space="preserve"> неясности предопределяют интерес автора в выборе темы научного исследования. </w:t>
      </w:r>
    </w:p>
    <w:p w14:paraId="12000000">
      <w:pPr>
        <w:spacing w:line="240" w:lineRule="auto"/>
        <w:ind w:firstLine="709" w:left="0" w:right="0"/>
        <w:jc w:val="both"/>
        <w:rPr>
          <w:rFonts w:ascii="Times New Roman" w:hAnsi="Times New Roman"/>
          <w:sz w:val="20"/>
        </w:rPr>
      </w:pPr>
      <w:r>
        <w:rPr>
          <w:rFonts w:ascii="Times New Roman" w:hAnsi="Times New Roman"/>
          <w:sz w:val="20"/>
        </w:rPr>
        <w:t xml:space="preserve">Теоретические и практические проблемы, затрагивающие институт смягчающих и отягчающих обстоятельств, в разной степени рассматривались такими учеными и правоведами как: Г.А. Кригер, Г.Л. Кригер, Л.В. Иногамова-Хегай, Д.С. Дядькин, О.А. Мясников, М.И. Бажанов, М.М. Бабаев, А.Д. Соловьев, Б. Викторов, В.С. Минская, А.Ю. Буланов, А.В. Курц, Н.Ф. Кузнецова, В.И. Ткаченко, В.М. Степашин, Т.В. Непомнящая, Ю.А. Красиков и другими теоретиками. Вышеперечисленные авторы в своих исследованиях проводили детальный анализ теоретических положений об институте смягчающих и отягчающих наказание обстоятельств, подробно рассматривали судебно-следственную практику, касающуюся вопросов применения норм о назначении наказания с учетом имеющихся смягчающих или отягчающих обстоятельств, а также делали обоснованные предложения по вопросам совершенствования уголовно-правовой системы. Несмотря на значительную исследованность рассматриваемой темы, некоторые вопросы применения института смягчающих и отягчающих наказание обстоятельств до настоящего момента являются спорными или невыясненными. Представленные в теории уголовного права понятия cущность и правовая природа института смягчающих и отягчающих наказание обстоятельств вызывают неоднозначную оценку и порождают определенные вопросы. Ни в теории, ни в практике нет единого  </w:t>
      </w:r>
    </w:p>
    <w:p w14:paraId="13000000">
      <w:pPr>
        <w:pStyle w:val="Style_1"/>
        <w:spacing w:line="240" w:lineRule="auto"/>
        <w:ind/>
        <w:rPr>
          <w:rFonts w:ascii="Times New Roman" w:hAnsi="Times New Roman"/>
          <w:sz w:val="20"/>
        </w:rPr>
      </w:pPr>
      <w:r>
        <w:rPr>
          <w:rFonts w:ascii="Times New Roman" w:hAnsi="Times New Roman"/>
          <w:sz w:val="20"/>
        </w:rPr>
        <w:t>мнения относительно влияния конкретных смягчающих или отягчающих обстоятельств на назначаемое судом наказание. Остается открытым вопрос о том, является ли учет смягчающих и отягчающих обстоятельств правом или же обязанностью суда. Разрешение этих и иных вопросов института смягчающих и отягчающих наказание обстоятельств имеет важное значение для правильного и справедливого назначения уголовного наказания.</w:t>
      </w:r>
    </w:p>
    <w:p w14:paraId="14000000">
      <w:pPr>
        <w:spacing w:line="240" w:lineRule="auto"/>
        <w:ind w:firstLine="709" w:left="0" w:right="0"/>
        <w:jc w:val="both"/>
        <w:rPr>
          <w:rFonts w:ascii="Times New Roman" w:hAnsi="Times New Roman"/>
          <w:b w:val="0"/>
          <w:sz w:val="20"/>
        </w:rPr>
      </w:pPr>
      <w:r>
        <w:rPr>
          <w:rFonts w:ascii="Times New Roman" w:hAnsi="Times New Roman"/>
          <w:b w:val="0"/>
          <w:sz w:val="20"/>
        </w:rPr>
        <w:t xml:space="preserve">Таким образом, обстоятельства, смягчающие или отягчающие наказание следует понимать не только как отдельно взятые части общественно опасного деяния и личности, а как разновидность находящихся за пределами состава преступления данных, характеризующих преступление или личность виновного, оказывающие влияние на степень общественной опасности, позволяющие суду индивидуализировать назначаемое наказание, при этом не исчерпывающие их содержание. </w:t>
      </w:r>
    </w:p>
    <w:p w14:paraId="15000000">
      <w:pPr>
        <w:spacing w:line="240" w:lineRule="auto"/>
        <w:ind w:firstLine="709" w:left="0" w:right="0"/>
        <w:jc w:val="both"/>
        <w:rPr>
          <w:rFonts w:ascii="Times New Roman" w:hAnsi="Times New Roman"/>
          <w:b w:val="1"/>
          <w:sz w:val="20"/>
        </w:rPr>
      </w:pPr>
      <w:r>
        <w:rPr>
          <w:rFonts w:ascii="Times New Roman" w:hAnsi="Times New Roman"/>
          <w:b w:val="0"/>
          <w:sz w:val="20"/>
        </w:rPr>
        <w:t xml:space="preserve">Последнее обусловлено тем, что такие понятия как «преступление» и «личность» значительно шире и содержат в себе ряд других понятий, а также тем, что отдельно взятые смягчающие и отягчающие наказание обстоятельства не соотносятся ни с преступлением, ни с личностью виновного, а указывают на степень общественной опасности содеянного. В конечном итоге содержание представленных понятий в своей совокупности характеризует общественную опасность преступного поведения, образуя целостную картину. Возникает вопрос о смысле отдельного определения смягчающих и отягчающих наказания обстоятельств. Данное определение в первую очередь ориентировано на правоприменительные органы в целях учета при назначении наказания наиболее значимых, типичных обстоятельств, встречающихся в жизни, поскольку дифференциация и индивидуализация наказания и уголовной ответственности в целом невозможны без учета тех или иных обстоятельств, которые существенным образом могут повлиять на исход уголовного дела. </w:t>
      </w:r>
    </w:p>
    <w:p w14:paraId="16000000">
      <w:pPr>
        <w:pStyle w:val="Style_1"/>
        <w:spacing w:line="240" w:lineRule="auto"/>
        <w:ind/>
        <w:rPr>
          <w:rFonts w:ascii="Times New Roman" w:hAnsi="Times New Roman"/>
          <w:sz w:val="20"/>
        </w:rPr>
      </w:pPr>
      <w:r>
        <w:rPr>
          <w:rFonts w:ascii="Times New Roman" w:hAnsi="Times New Roman"/>
          <w:b w:val="0"/>
          <w:sz w:val="20"/>
        </w:rPr>
        <w:t>Кроме всего прочего, встречаются случаи, при которых отдельные обстоятельства, смягчающие или отягчающие наказание, не относятся к признакам личности виновного или к признакам состава общественно опасного деяния, например, противоправность или аморальность поведения потерпевшего, послужившего поводом для совершения преступления (п. "з" ч. 1 ст. 61 УК РФ), или совершение преступления с использованием доверия, оказанного виновному в силу его служебного положения или договора (п. "м" ч. 1 ст. 63 УК РФ), и др. Эти признаки не являются характеристикой преступления или личности виновного, однако они должны учитываются в качестве смягчающего и отягчающего наказание обстоятельств. Их учет возможен и необходим в силу того, что они, не характеризуя непосредственно преступление и личность виновного, тем не менее, влияют на их общественную опасность.</w:t>
      </w:r>
    </w:p>
    <w:p w14:paraId="17000000">
      <w:pPr>
        <w:spacing w:line="240" w:lineRule="auto"/>
        <w:ind w:firstLine="709" w:left="0" w:right="0"/>
        <w:jc w:val="both"/>
        <w:rPr>
          <w:rFonts w:ascii="Times New Roman" w:hAnsi="Times New Roman"/>
          <w:sz w:val="20"/>
        </w:rPr>
      </w:pPr>
      <w:r>
        <w:rPr>
          <w:rFonts w:ascii="Times New Roman" w:hAnsi="Times New Roman"/>
          <w:sz w:val="20"/>
        </w:rPr>
        <w:t xml:space="preserve">Анализ сущности и правовой природы предусмотренных законом смягчающих и отягчающих наказание обстоятельств позволяет сделать вывод, что они представляют собой данные, характеризующие особенности преступного деяния и личности виновного. Эти особенности присущи как объективной, так и субъективной стороне состава преступления. Судам при назначении наказания необходимо принимать во внимание обстоятельства смягчающие или отягчающие ответственность, когда они оказывают непосредственное влияние на общественную опасность преступления и личность самого виновного, тем самым уменьшая ее или увеличивая. Представляется правильным мнение о том, что если смягчающие и отягчающие обстоятельства имеются лишь формально и в действительности никак не влияют на общественную опасность содеянного их учет при назначении наказания является недопустимым. </w:t>
      </w:r>
    </w:p>
    <w:p w14:paraId="18000000">
      <w:pPr>
        <w:spacing w:line="240" w:lineRule="auto"/>
        <w:ind w:firstLine="709" w:left="0" w:right="0"/>
        <w:jc w:val="both"/>
        <w:rPr>
          <w:rFonts w:ascii="Times New Roman" w:hAnsi="Times New Roman"/>
          <w:sz w:val="20"/>
        </w:rPr>
      </w:pPr>
      <w:r>
        <w:rPr>
          <w:rFonts w:ascii="Times New Roman" w:hAnsi="Times New Roman"/>
          <w:sz w:val="20"/>
        </w:rPr>
        <w:t xml:space="preserve">Что касается проблемы соотношения между характером и степенью общественной опасности преступления, личностью виновного и обстоятельств, смягчающих и отягчающих наказание стоит сказать, что состав преступления, являясь образующей частью преступного действия, по своей сути определяет пределы наказуемости деяния, закрепляя первоначальные рамки индивидуализации наказания. Обстоятельства смягчающие и отягчающие ответственность характеризуют общественно-опасное деяние с разных сторон, к которым относятся: состав преступления, личность виновного, ее предпреступное и постпреступное поведение. Следовательно, названные обстоятельства, оставаясь за границами конкретного состава преступления, оказывают влияние на степень наказуемости лица, совершившего преступление, и обусловливают конкретную степень общественной опасности преступного поведения в целом. </w:t>
      </w:r>
    </w:p>
    <w:p w14:paraId="19000000">
      <w:pPr>
        <w:spacing w:line="240" w:lineRule="auto"/>
        <w:ind w:firstLine="709" w:left="0" w:right="0"/>
        <w:jc w:val="both"/>
        <w:rPr>
          <w:rFonts w:ascii="Times New Roman" w:hAnsi="Times New Roman"/>
          <w:sz w:val="20"/>
        </w:rPr>
      </w:pPr>
      <w:r>
        <w:rPr>
          <w:rFonts w:ascii="Times New Roman" w:hAnsi="Times New Roman"/>
          <w:sz w:val="20"/>
        </w:rPr>
        <w:t xml:space="preserve">Таким образом, обстоятельства, смягчающие или отягчающие наказание следует понимать не только как отдельно взятые части  общественно опасного деяния и личности, а как разновидность находящихся за пределами состава преступления данных, характеризующих преступление или личность виновного, оказывающие влияние на степень общественной опасности, позволяющие суду индивидуализировать назначаемое наказание, при этом не исчерпывающие их содержание. </w:t>
      </w:r>
    </w:p>
    <w:p w14:paraId="1A000000">
      <w:pPr>
        <w:spacing w:line="240" w:lineRule="auto"/>
        <w:ind w:firstLine="709" w:left="0" w:right="0"/>
        <w:jc w:val="both"/>
        <w:rPr>
          <w:rFonts w:ascii="Times New Roman" w:hAnsi="Times New Roman"/>
          <w:sz w:val="20"/>
        </w:rPr>
      </w:pPr>
      <w:r>
        <w:rPr>
          <w:rFonts w:ascii="Times New Roman" w:hAnsi="Times New Roman"/>
          <w:sz w:val="20"/>
        </w:rPr>
        <w:t xml:space="preserve">В данной статье представлен вариант классификации смягчающих и отягчающих наказание обстоятельств, согласно которому предлагается классифицировать исследуемые обстоятельства на два вида и четыре группы: </w:t>
      </w:r>
    </w:p>
    <w:p w14:paraId="1B000000">
      <w:pPr>
        <w:spacing w:line="240" w:lineRule="auto"/>
        <w:ind w:firstLine="709" w:left="0" w:right="0"/>
        <w:jc w:val="both"/>
        <w:rPr>
          <w:rFonts w:ascii="Times New Roman" w:hAnsi="Times New Roman"/>
          <w:sz w:val="20"/>
        </w:rPr>
      </w:pPr>
      <w:r>
        <w:rPr>
          <w:rFonts w:ascii="Times New Roman" w:hAnsi="Times New Roman"/>
          <w:sz w:val="20"/>
        </w:rPr>
        <w:t xml:space="preserve">- обстоятельства, влияющие на общественную опасность преступления: смягчающие и отягчающие наказание; </w:t>
      </w:r>
    </w:p>
    <w:p w14:paraId="1C000000">
      <w:pPr>
        <w:spacing w:line="240" w:lineRule="auto"/>
        <w:ind w:firstLine="709" w:left="0" w:right="0"/>
        <w:jc w:val="both"/>
        <w:rPr>
          <w:rFonts w:ascii="Times New Roman" w:hAnsi="Times New Roman"/>
          <w:sz w:val="20"/>
        </w:rPr>
      </w:pPr>
      <w:r>
        <w:rPr>
          <w:rFonts w:ascii="Times New Roman" w:hAnsi="Times New Roman"/>
          <w:sz w:val="20"/>
        </w:rPr>
        <w:t>- обстоятельства, влияющие на общественную опасность личности преступника: смягчающие и отягчающие наказание.</w:t>
      </w:r>
    </w:p>
    <w:p w14:paraId="1D000000">
      <w:pPr>
        <w:spacing w:line="240" w:lineRule="auto"/>
        <w:ind w:firstLine="709" w:left="0" w:right="0"/>
        <w:jc w:val="both"/>
        <w:rPr>
          <w:rFonts w:ascii="Times New Roman" w:hAnsi="Times New Roman"/>
          <w:sz w:val="20"/>
        </w:rPr>
      </w:pPr>
      <w:r>
        <w:rPr>
          <w:rFonts w:ascii="Times New Roman" w:hAnsi="Times New Roman"/>
          <w:sz w:val="20"/>
        </w:rPr>
        <w:t xml:space="preserve">Учет обстоятельств, смягчающих и отягчающих наказание, имеет особенно существенное значение при применении такой суровой меры наказания, как лишение свободы. Индивидуализируя наказание, суды должны постоянно помнить, что разница в сроках лишения свободы важна не только для осужденного, но и для всей судебной системы, призванной искоренять преступность. Гибкость санкций действующего российского Уголовного кодекса и широкий простор между низшим и высшим пределом санкций дают судам все необходимые для этого возможности. </w:t>
      </w:r>
    </w:p>
    <w:p w14:paraId="1E000000">
      <w:pPr>
        <w:spacing w:line="240" w:lineRule="auto"/>
        <w:ind w:firstLine="709" w:left="0" w:right="0"/>
        <w:jc w:val="both"/>
        <w:rPr>
          <w:rFonts w:ascii="Times New Roman" w:hAnsi="Times New Roman"/>
          <w:sz w:val="20"/>
        </w:rPr>
      </w:pPr>
      <w:r>
        <w:rPr>
          <w:rFonts w:ascii="Times New Roman" w:hAnsi="Times New Roman"/>
          <w:sz w:val="20"/>
        </w:rPr>
        <w:t xml:space="preserve">Суд обязан учитывать обстоятельства, смягчающие и отягчающие наказание, при его назначении. Если суд счел те или иные обстоятельства установленными, он должен указать их в приговоре, мотивировав свои выводы, и это должно отразиться на виде, сроке или размере наказания. Поэтому если в конкретном уголовном деле при назначении виновному наказания суд ссылается на одно или несколько обстоятельств, смягчающих наказание последнего, но тем не менее назначает ему максимальное наказание, предусмотренное за данное преступление, то такой приговор подлежит отмене вследствие его явной несправедливости. Процессуальным основанием для отмены такого приговора является ч. 1 ст. 382 УПК РФ. </w:t>
      </w:r>
    </w:p>
    <w:p w14:paraId="1F000000">
      <w:pPr>
        <w:spacing w:line="240" w:lineRule="auto"/>
        <w:ind w:firstLine="709" w:left="0" w:right="0"/>
        <w:jc w:val="both"/>
        <w:rPr>
          <w:rFonts w:ascii="Times New Roman" w:hAnsi="Times New Roman"/>
          <w:sz w:val="20"/>
        </w:rPr>
      </w:pPr>
      <w:r>
        <w:rPr>
          <w:rFonts w:ascii="Times New Roman" w:hAnsi="Times New Roman"/>
          <w:sz w:val="20"/>
        </w:rPr>
        <w:t xml:space="preserve">Обратим внимание еще на одну наметившуюся тенденцию. В большинстве случаев при рассмотрении уголовных дел в особом порядке суды признают смягчающими наказание обстоятельствами полное признание вины подсудимым. Возникает двоякая ситуация. Рассмотрение уголовного дела в особом порядке судопроизводства уже предполагает признание вины подсудимым в инкриминируемом преступлении, вследствие чего максимальное наказание не может превышать двух третей от более строгого, 69 предусмотренного санкцией статьи. Признание же указанного обстоятельства смягчающим улучшает и, соответственно, снижает и так уже сниженный особым порядком срок назначаемой меры уголовно-правового воздействия. Следовательно, мы полагаем, что признание вины может быть учтено при назначении наказания, но в качестве смягчающего обстоятельства, позволяющего повторно снизить наказание, учитываться не должно. </w:t>
      </w:r>
    </w:p>
    <w:p w14:paraId="20000000">
      <w:pPr>
        <w:pStyle w:val="Style_1"/>
        <w:spacing w:line="240" w:lineRule="auto"/>
        <w:ind w:firstLine="709"/>
        <w:rPr>
          <w:rFonts w:ascii="Times New Roman" w:hAnsi="Times New Roman"/>
          <w:sz w:val="20"/>
        </w:rPr>
      </w:pPr>
      <w:r>
        <w:rPr>
          <w:rFonts w:ascii="Times New Roman" w:hAnsi="Times New Roman"/>
          <w:sz w:val="20"/>
        </w:rPr>
        <w:t>Ввиду вышеизложенного можно констатировать, что судам в первую очередь при рассмотрении вопроса о наличии смягчающих обстоятельств по конкретному уголовному делу необходимо ориентироваться на известные закону обстоятельства, смягчающие наказание, и только потом, в порядке дополнения, учитывать и иные, не закрепленные в УК обстоятельства.</w:t>
      </w:r>
    </w:p>
    <w:p w14:paraId="21000000">
      <w:pPr>
        <w:pStyle w:val="Style_1"/>
        <w:spacing w:line="240" w:lineRule="auto"/>
        <w:ind w:firstLine="709"/>
        <w:rPr>
          <w:rFonts w:ascii="Times New Roman" w:hAnsi="Times New Roman"/>
          <w:sz w:val="20"/>
        </w:rPr>
      </w:pPr>
    </w:p>
    <w:p w14:paraId="22000000">
      <w:pPr>
        <w:pStyle w:val="Style_1"/>
        <w:spacing w:line="240" w:lineRule="auto"/>
        <w:ind w:firstLine="709"/>
        <w:rPr>
          <w:rFonts w:ascii="Times New Roman" w:hAnsi="Times New Roman"/>
          <w:sz w:val="20"/>
        </w:rPr>
      </w:pPr>
      <w:r>
        <w:rPr>
          <w:rFonts w:ascii="Times New Roman" w:hAnsi="Times New Roman"/>
          <w:sz w:val="20"/>
        </w:rPr>
        <w:t>Литература</w:t>
      </w:r>
    </w:p>
    <w:p w14:paraId="23000000">
      <w:pPr>
        <w:pStyle w:val="Style_1"/>
        <w:spacing w:line="240" w:lineRule="auto"/>
        <w:ind w:firstLine="709"/>
        <w:rPr>
          <w:rFonts w:ascii="Times New Roman" w:hAnsi="Times New Roman"/>
          <w:sz w:val="20"/>
        </w:rPr>
      </w:pPr>
      <w:r>
        <w:rPr>
          <w:rFonts w:ascii="Times New Roman" w:hAnsi="Times New Roman"/>
          <w:sz w:val="20"/>
        </w:rPr>
        <w:t>1.</w:t>
      </w:r>
      <w:r>
        <w:rPr>
          <w:rFonts w:ascii="Times New Roman" w:hAnsi="Times New Roman"/>
          <w:b w:val="0"/>
          <w:i w:val="0"/>
          <w:caps w:val="0"/>
          <w:color w:val="333333"/>
          <w:spacing w:val="0"/>
          <w:sz w:val="20"/>
          <w:highlight w:val="white"/>
        </w:rPr>
        <w:t xml:space="preserve"> Уголовный кодекс Российской Федерации от 13.06.1996 № 63-ФЗ (ред. от 12.04.2020) // Собрание законодательства РФ. – 1996. - № 25. - Ст. 2954. </w:t>
      </w:r>
    </w:p>
    <w:p w14:paraId="24000000">
      <w:pPr>
        <w:pStyle w:val="Style_1"/>
        <w:spacing w:line="240" w:lineRule="auto"/>
        <w:ind w:firstLine="709"/>
        <w:rPr>
          <w:rFonts w:ascii="Times New Roman" w:hAnsi="Times New Roman"/>
          <w:sz w:val="20"/>
        </w:rPr>
      </w:pPr>
      <w:r>
        <w:rPr>
          <w:rFonts w:ascii="Times New Roman" w:hAnsi="Times New Roman"/>
          <w:sz w:val="20"/>
        </w:rPr>
        <w:t>2.Бабаев М.М. Индивидуализация наказания несовершеннолетних. М., 1968. С. 41;</w:t>
      </w:r>
    </w:p>
    <w:p w14:paraId="25000000">
      <w:pPr>
        <w:pStyle w:val="Style_1"/>
        <w:spacing w:line="240" w:lineRule="auto"/>
        <w:ind w:firstLine="709"/>
        <w:rPr>
          <w:rFonts w:ascii="Times New Roman" w:hAnsi="Times New Roman"/>
          <w:sz w:val="20"/>
        </w:rPr>
      </w:pPr>
      <w:r>
        <w:rPr>
          <w:rFonts w:ascii="Times New Roman" w:hAnsi="Times New Roman"/>
          <w:sz w:val="20"/>
        </w:rPr>
        <w:t xml:space="preserve"> 3.</w:t>
      </w:r>
      <w:r>
        <w:rPr>
          <w:rFonts w:ascii="Times New Roman" w:hAnsi="Times New Roman"/>
          <w:sz w:val="20"/>
        </w:rPr>
        <w:t>Дядькин Д.С. Обстоятельства, смягчающие наказание, не указанные в законе // Российский следователь. 2008. № 11. С. 25.</w:t>
      </w:r>
    </w:p>
    <w:p w14:paraId="26000000">
      <w:pPr>
        <w:pStyle w:val="Style_2"/>
        <w:spacing w:line="240" w:lineRule="auto"/>
        <w:ind/>
        <w:rPr>
          <w:rFonts w:ascii="Times New Roman" w:hAnsi="Times New Roman"/>
          <w:sz w:val="20"/>
        </w:rPr>
      </w:pPr>
      <w:r>
        <w:rPr>
          <w:rFonts w:ascii="Times New Roman" w:hAnsi="Times New Roman"/>
          <w:sz w:val="20"/>
        </w:rPr>
        <w:t>Карпец И.И. Отягчающие и смягчающие обстоятельства в уголовном праве. М., 1959. С. 27.</w:t>
      </w:r>
    </w:p>
    <w:p w14:paraId="27000000">
      <w:pPr>
        <w:pStyle w:val="Style_1"/>
        <w:spacing w:line="240" w:lineRule="auto"/>
        <w:ind w:firstLine="709"/>
        <w:rPr>
          <w:rFonts w:ascii="Times New Roman" w:hAnsi="Times New Roman"/>
          <w:sz w:val="20"/>
        </w:rPr>
      </w:pPr>
      <w:r>
        <w:rPr>
          <w:rFonts w:ascii="Times New Roman" w:hAnsi="Times New Roman"/>
          <w:sz w:val="20"/>
        </w:rPr>
        <w:t>4.Мясников О.А. Смягчающие и отягчающие наказание обстоятельства в теории, законодательстве и в судебной практике. М., 2002. С. 17</w:t>
      </w:r>
    </w:p>
    <w:p w14:paraId="28000000">
      <w:pPr>
        <w:pStyle w:val="Style_1"/>
        <w:spacing w:line="240" w:lineRule="auto"/>
        <w:ind w:firstLine="709"/>
        <w:rPr>
          <w:rFonts w:ascii="Times New Roman" w:hAnsi="Times New Roman"/>
          <w:sz w:val="20"/>
        </w:rPr>
      </w:pPr>
      <w:r>
        <w:rPr>
          <w:rFonts w:ascii="Times New Roman" w:hAnsi="Times New Roman"/>
          <w:sz w:val="20"/>
        </w:rPr>
        <w:t>5.Становский М.Н. Назначение наказания. СПб., 1999. С. 167</w:t>
      </w:r>
    </w:p>
    <w:p w14:paraId="29000000">
      <w:pPr>
        <w:pStyle w:val="Style_1"/>
        <w:spacing w:line="240" w:lineRule="auto"/>
        <w:ind w:firstLine="709"/>
        <w:rPr>
          <w:rFonts w:ascii="Times New Roman" w:hAnsi="Times New Roman"/>
          <w:sz w:val="20"/>
        </w:rPr>
      </w:pPr>
      <w:r>
        <w:rPr>
          <w:rFonts w:ascii="Times New Roman" w:hAnsi="Times New Roman"/>
          <w:sz w:val="20"/>
        </w:rPr>
        <w:t>6.Флоря К.Н. Назначение наказания с учетом причин совершенного преступления.</w:t>
      </w:r>
    </w:p>
    <w:p w14:paraId="2A000000">
      <w:pPr>
        <w:pStyle w:val="Style_1"/>
        <w:spacing w:line="240" w:lineRule="auto"/>
        <w:ind w:firstLine="709"/>
        <w:rPr>
          <w:rFonts w:ascii="Times New Roman" w:hAnsi="Times New Roman"/>
          <w:sz w:val="20"/>
        </w:rPr>
      </w:pPr>
      <w:r>
        <w:rPr>
          <w:rFonts w:ascii="Times New Roman" w:hAnsi="Times New Roman"/>
          <w:sz w:val="20"/>
        </w:rPr>
        <w:t>7.Шишкин А.А. Индивидуализация уголовного наказания с учетом обстоятельств, связанных с содействием правоохранительным органам: Автореф. дис. ... канд. юрид. наук: 12.00.08. Ростов н/Д, 2012. С. 1</w:t>
      </w:r>
      <w:r>
        <w:rPr>
          <w:rFonts w:ascii="Times New Roman" w:hAnsi="Times New Roman"/>
          <w:sz w:val="24"/>
        </w:rPr>
        <w:t>.</w:t>
      </w:r>
    </w:p>
    <w:sectPr>
      <w:pgSz w:h="16838" w:w="11906"/>
      <w:pgMar w:bottom="1134" w:left="1701" w:right="850"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XO Thames" w:hAnsi="XO Thames"/>
        <w:color w:val="000000"/>
        <w:spacing w:val="0"/>
        <w:sz w:val="24"/>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1" w:type="paragraph">
    <w:name w:val="Normal"/>
    <w:link w:val="Style_1_ch"/>
    <w:uiPriority w:val="0"/>
    <w:qFormat/>
    <w:pPr>
      <w:spacing w:line="276" w:lineRule="auto"/>
      <w:ind/>
    </w:pPr>
    <w:rPr>
      <w:rFonts w:ascii="XO Thames" w:hAnsi="XO Thames"/>
      <w:sz w:val="24"/>
    </w:rPr>
  </w:style>
  <w:style w:default="1" w:styleId="Style_1_ch" w:type="character">
    <w:name w:val="Normal"/>
    <w:link w:val="Style_1"/>
    <w:rPr>
      <w:rFonts w:ascii="XO Thames" w:hAnsi="XO Thames"/>
      <w:sz w:val="24"/>
    </w:rPr>
  </w:style>
  <w:style w:styleId="Style_3" w:type="paragraph">
    <w:name w:val="toc 2"/>
    <w:next w:val="Style_1"/>
    <w:link w:val="Style_3_ch"/>
    <w:uiPriority w:val="39"/>
    <w:pPr>
      <w:ind w:firstLine="0" w:left="200"/>
    </w:pPr>
  </w:style>
  <w:style w:styleId="Style_3_ch" w:type="character">
    <w:name w:val="toc 2"/>
    <w:link w:val="Style_3"/>
  </w:style>
  <w:style w:styleId="Style_4" w:type="paragraph">
    <w:name w:val="toc 4"/>
    <w:next w:val="Style_1"/>
    <w:link w:val="Style_4_ch"/>
    <w:uiPriority w:val="39"/>
    <w:pPr>
      <w:ind w:firstLine="0" w:left="600"/>
    </w:pPr>
  </w:style>
  <w:style w:styleId="Style_4_ch" w:type="character">
    <w:name w:val="toc 4"/>
    <w:link w:val="Style_4"/>
  </w:style>
  <w:style w:styleId="Style_5" w:type="paragraph">
    <w:name w:val="toc 6"/>
    <w:next w:val="Style_1"/>
    <w:link w:val="Style_5_ch"/>
    <w:uiPriority w:val="39"/>
    <w:pPr>
      <w:ind w:firstLine="0" w:left="1000"/>
    </w:pPr>
  </w:style>
  <w:style w:styleId="Style_5_ch" w:type="character">
    <w:name w:val="toc 6"/>
    <w:link w:val="Style_5"/>
  </w:style>
  <w:style w:styleId="Style_6" w:type="paragraph">
    <w:name w:val="toc 7"/>
    <w:next w:val="Style_1"/>
    <w:link w:val="Style_6_ch"/>
    <w:uiPriority w:val="39"/>
    <w:pPr>
      <w:ind w:firstLine="0" w:left="1200"/>
    </w:pPr>
  </w:style>
  <w:style w:styleId="Style_6_ch" w:type="character">
    <w:name w:val="toc 7"/>
    <w:link w:val="Style_6"/>
  </w:style>
  <w:style w:styleId="Style_7" w:type="paragraph">
    <w:name w:val="heading 3"/>
    <w:next w:val="Style_1"/>
    <w:link w:val="Style_7_ch"/>
    <w:uiPriority w:val="9"/>
    <w:qFormat/>
    <w:pPr>
      <w:ind/>
      <w:outlineLvl w:val="2"/>
    </w:pPr>
    <w:rPr>
      <w:rFonts w:ascii="XO Thames" w:hAnsi="XO Thames"/>
      <w:b w:val="1"/>
      <w:i w:val="1"/>
      <w:color w:val="000000"/>
    </w:rPr>
  </w:style>
  <w:style w:styleId="Style_7_ch" w:type="character">
    <w:name w:val="heading 3"/>
    <w:link w:val="Style_7"/>
    <w:rPr>
      <w:rFonts w:ascii="XO Thames" w:hAnsi="XO Thames"/>
      <w:b w:val="1"/>
      <w:i w:val="1"/>
      <w:color w:val="000000"/>
    </w:rPr>
  </w:style>
  <w:style w:styleId="Style_8" w:type="paragraph">
    <w:name w:val="toc 3"/>
    <w:next w:val="Style_1"/>
    <w:link w:val="Style_8_ch"/>
    <w:uiPriority w:val="39"/>
    <w:pPr>
      <w:ind w:firstLine="0" w:left="400"/>
    </w:pPr>
  </w:style>
  <w:style w:styleId="Style_8_ch" w:type="character">
    <w:name w:val="toc 3"/>
    <w:link w:val="Style_8"/>
  </w:style>
  <w:style w:styleId="Style_9" w:type="paragraph">
    <w:name w:val="heading 5"/>
    <w:next w:val="Style_1"/>
    <w:link w:val="Style_9_ch"/>
    <w:uiPriority w:val="9"/>
    <w:qFormat/>
    <w:pPr>
      <w:spacing w:after="120" w:before="120"/>
      <w:ind/>
      <w:outlineLvl w:val="4"/>
    </w:pPr>
    <w:rPr>
      <w:rFonts w:ascii="XO Thames" w:hAnsi="XO Thames"/>
      <w:b w:val="1"/>
      <w:color w:val="000000"/>
      <w:sz w:val="22"/>
    </w:rPr>
  </w:style>
  <w:style w:styleId="Style_9_ch" w:type="character">
    <w:name w:val="heading 5"/>
    <w:link w:val="Style_9"/>
    <w:rPr>
      <w:rFonts w:ascii="XO Thames" w:hAnsi="XO Thames"/>
      <w:b w:val="1"/>
      <w:color w:val="000000"/>
      <w:sz w:val="22"/>
    </w:rPr>
  </w:style>
  <w:style w:styleId="Style_10" w:type="paragraph">
    <w:name w:val="heading 1"/>
    <w:next w:val="Style_1"/>
    <w:link w:val="Style_10_ch"/>
    <w:uiPriority w:val="9"/>
    <w:qFormat/>
    <w:pPr>
      <w:spacing w:after="120" w:before="120"/>
      <w:ind/>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2" w:type="paragraph">
    <w:name w:val="Footnote"/>
    <w:link w:val="Style_2_ch"/>
    <w:pPr>
      <w:ind/>
      <w:jc w:val="left"/>
    </w:pPr>
    <w:rPr>
      <w:rFonts w:ascii="XO Thames" w:hAnsi="XO Thames"/>
      <w:sz w:val="22"/>
    </w:rPr>
  </w:style>
  <w:style w:styleId="Style_2_ch" w:type="character">
    <w:name w:val="Footnote"/>
    <w:link w:val="Style_2"/>
    <w:rPr>
      <w:rFonts w:ascii="XO Thames" w:hAnsi="XO Thames"/>
      <w:sz w:val="22"/>
    </w:rPr>
  </w:style>
  <w:style w:styleId="Style_12" w:type="paragraph">
    <w:name w:val="toc 1"/>
    <w:next w:val="Style_1"/>
    <w:link w:val="Style_12_ch"/>
    <w:uiPriority w:val="39"/>
    <w:pPr>
      <w:ind w:firstLine="0" w:left="0"/>
    </w:pPr>
    <w:rPr>
      <w:rFonts w:ascii="XO Thames" w:hAnsi="XO Thames"/>
      <w:b w:val="1"/>
    </w:rPr>
  </w:style>
  <w:style w:styleId="Style_12_ch" w:type="character">
    <w:name w:val="toc 1"/>
    <w:link w:val="Style_12"/>
    <w:rPr>
      <w:rFonts w:ascii="XO Thames" w:hAnsi="XO Thames"/>
      <w:b w:val="1"/>
    </w:rPr>
  </w:style>
  <w:style w:styleId="Style_13" w:type="paragraph">
    <w:name w:val="Header and Footer"/>
    <w:link w:val="Style_13_ch"/>
    <w:pPr>
      <w:spacing w:line="360" w:lineRule="auto"/>
      <w:ind/>
    </w:pPr>
    <w:rPr>
      <w:rFonts w:ascii="XO Thames" w:hAnsi="XO Thames"/>
      <w:sz w:val="20"/>
    </w:rPr>
  </w:style>
  <w:style w:styleId="Style_13_ch" w:type="character">
    <w:name w:val="Header and Footer"/>
    <w:link w:val="Style_13"/>
    <w:rPr>
      <w:rFonts w:ascii="XO Thames" w:hAnsi="XO Thames"/>
      <w:sz w:val="20"/>
    </w:rPr>
  </w:style>
  <w:style w:styleId="Style_14" w:type="paragraph">
    <w:name w:val="toc 9"/>
    <w:next w:val="Style_1"/>
    <w:link w:val="Style_14_ch"/>
    <w:uiPriority w:val="39"/>
    <w:pPr>
      <w:ind w:firstLine="0" w:left="1600"/>
    </w:pPr>
  </w:style>
  <w:style w:styleId="Style_14_ch" w:type="character">
    <w:name w:val="toc 9"/>
    <w:link w:val="Style_14"/>
  </w:style>
  <w:style w:styleId="Style_15" w:type="paragraph">
    <w:name w:val="toc 8"/>
    <w:next w:val="Style_1"/>
    <w:link w:val="Style_15_ch"/>
    <w:uiPriority w:val="39"/>
    <w:pPr>
      <w:ind w:firstLine="0" w:left="1400"/>
    </w:pPr>
  </w:style>
  <w:style w:styleId="Style_15_ch" w:type="character">
    <w:name w:val="toc 8"/>
    <w:link w:val="Style_15"/>
  </w:style>
  <w:style w:styleId="Style_16" w:type="paragraph">
    <w:name w:val="toc 5"/>
    <w:next w:val="Style_1"/>
    <w:link w:val="Style_16_ch"/>
    <w:uiPriority w:val="39"/>
    <w:pPr>
      <w:ind w:firstLine="0" w:left="800"/>
    </w:pPr>
  </w:style>
  <w:style w:styleId="Style_16_ch" w:type="character">
    <w:name w:val="toc 5"/>
    <w:link w:val="Style_16"/>
  </w:style>
  <w:style w:styleId="Style_17" w:type="paragraph">
    <w:name w:val="Subtitle"/>
    <w:next w:val="Style_1"/>
    <w:link w:val="Style_17_ch"/>
    <w:uiPriority w:val="11"/>
    <w:qFormat/>
    <w:rPr>
      <w:rFonts w:ascii="XO Thames" w:hAnsi="XO Thames"/>
      <w:i w:val="1"/>
      <w:color w:val="616161"/>
      <w:sz w:val="24"/>
    </w:rPr>
  </w:style>
  <w:style w:styleId="Style_17_ch" w:type="character">
    <w:name w:val="Subtitle"/>
    <w:link w:val="Style_17"/>
    <w:rPr>
      <w:rFonts w:ascii="XO Thames" w:hAnsi="XO Thames"/>
      <w:i w:val="1"/>
      <w:color w:val="616161"/>
      <w:sz w:val="24"/>
    </w:rPr>
  </w:style>
  <w:style w:styleId="Style_18" w:type="paragraph">
    <w:name w:val="toc 10"/>
    <w:next w:val="Style_1"/>
    <w:link w:val="Style_18_ch"/>
    <w:uiPriority w:val="39"/>
    <w:pPr>
      <w:ind w:firstLine="0" w:left="1800"/>
    </w:pPr>
  </w:style>
  <w:style w:styleId="Style_18_ch" w:type="character">
    <w:name w:val="toc 10"/>
    <w:link w:val="Style_18"/>
  </w:style>
  <w:style w:styleId="Style_19" w:type="paragraph">
    <w:name w:val="Title"/>
    <w:next w:val="Style_1"/>
    <w:link w:val="Style_19_ch"/>
    <w:uiPriority w:val="10"/>
    <w:qFormat/>
    <w:rPr>
      <w:rFonts w:ascii="XO Thames" w:hAnsi="XO Thames"/>
      <w:b w:val="1"/>
      <w:sz w:val="52"/>
    </w:rPr>
  </w:style>
  <w:style w:styleId="Style_19_ch" w:type="character">
    <w:name w:val="Title"/>
    <w:link w:val="Style_19"/>
    <w:rPr>
      <w:rFonts w:ascii="XO Thames" w:hAnsi="XO Thames"/>
      <w:b w:val="1"/>
      <w:sz w:val="52"/>
    </w:rPr>
  </w:style>
  <w:style w:styleId="Style_20" w:type="paragraph">
    <w:name w:val="heading 4"/>
    <w:next w:val="Style_1"/>
    <w:link w:val="Style_20_ch"/>
    <w:uiPriority w:val="9"/>
    <w:qFormat/>
    <w:pPr>
      <w:spacing w:after="120" w:before="120"/>
      <w:ind/>
      <w:outlineLvl w:val="3"/>
    </w:pPr>
    <w:rPr>
      <w:rFonts w:ascii="XO Thames" w:hAnsi="XO Thames"/>
      <w:b w:val="1"/>
      <w:color w:val="595959"/>
      <w:sz w:val="26"/>
    </w:rPr>
  </w:style>
  <w:style w:styleId="Style_20_ch" w:type="character">
    <w:name w:val="heading 4"/>
    <w:link w:val="Style_20"/>
    <w:rPr>
      <w:rFonts w:ascii="XO Thames" w:hAnsi="XO Thames"/>
      <w:b w:val="1"/>
      <w:color w:val="595959"/>
      <w:sz w:val="26"/>
    </w:rPr>
  </w:style>
  <w:style w:styleId="Style_21" w:type="paragraph">
    <w:name w:val="heading 2"/>
    <w:next w:val="Style_1"/>
    <w:link w:val="Style_21_ch"/>
    <w:uiPriority w:val="9"/>
    <w:qFormat/>
    <w:pPr>
      <w:spacing w:after="120" w:before="120"/>
      <w:ind/>
      <w:outlineLvl w:val="1"/>
    </w:pPr>
    <w:rPr>
      <w:rFonts w:ascii="XO Thames" w:hAnsi="XO Thames"/>
      <w:b w:val="1"/>
      <w:color w:val="00A0FF"/>
      <w:sz w:val="26"/>
    </w:rPr>
  </w:style>
  <w:style w:styleId="Style_21_ch" w:type="character">
    <w:name w:val="heading 2"/>
    <w:link w:val="Style_21"/>
    <w:rPr>
      <w:rFonts w:ascii="XO Thames" w:hAnsi="XO Thames"/>
      <w:b w:val="1"/>
      <w:color w:val="00A0FF"/>
      <w:sz w:val="26"/>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_rels/core.xml.rels><?xml version="1.0" encoding="UTF-8" standalone="no" ?>
<Relationships xmlns="http://schemas.openxmlformats.org/package/2006/relationships">
  <Relationship Id="rId1" Target="core.xml" Type="http://schemas.openxmlformats.org/officeDocument/2006/relationships/extended-properties"/>
</Relationships>

</file>

<file path=docProps/app.xml><?xml version="1.0" encoding="utf-8"?>
<Properties xmlns="http://schemas.openxmlformats.org/officeDocument/2006/extended-properties">
  <Template>Normal.dotm</Template>
  <TotalTime>0</TotalTime>
  <DocSecurity>0</DocSecurity>
  <ScaleCrop>false</ScaleCrop>
  <Application>MyOffice-CoreFramework-Linux/21.0-851.365.4708.482.1@RELEASE-DESKTOP-ROSEMARY-ST-3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2022-10-28T03:37:08Z</dcterms:modified>
</cp:coreProperties>
</file>