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widowControl w:val="false"/>
        <w:tabs>
          <w:tab w:val="left" w:pos="180" w:leader="none"/>
        </w:tabs>
        <w:ind w:left="3402" w:hanging="0"/>
        <w:jc w:val="right"/>
      </w:pPr>
      <w:bookmarkStart w:id="0" w:name="_GoBack"/>
      <w:bookmarkEnd w:id="0"/>
      <w:r>
        <w:rPr>
          <w:b/>
          <w:bCs/>
          <w:i/>
          <w:iCs/>
          <w:sz w:val="22"/>
          <w:szCs w:val="22"/>
        </w:rPr>
        <w:t>К. С.Хворак</w:t>
      </w:r>
      <w:r>
        <w:rPr>
          <w:i/>
          <w:iCs/>
          <w:sz w:val="22"/>
          <w:szCs w:val="22"/>
        </w:rPr>
        <w:t xml:space="preserve">, </w:t>
      </w:r>
      <w:r/>
    </w:p>
    <w:p>
      <w:pPr>
        <w:pStyle w:val="Default"/>
        <w:widowControl w:val="false"/>
        <w:tabs>
          <w:tab w:val="left" w:pos="180" w:leader="none"/>
        </w:tabs>
        <w:jc w:val="right"/>
      </w:pPr>
      <w:r>
        <w:rPr>
          <w:i/>
          <w:iCs/>
          <w:sz w:val="22"/>
          <w:szCs w:val="22"/>
        </w:rPr>
        <w:t xml:space="preserve">учитель начальных классов </w:t>
      </w:r>
      <w:r/>
    </w:p>
    <w:p>
      <w:pPr>
        <w:pStyle w:val="Default"/>
        <w:widowControl w:val="false"/>
        <w:tabs>
          <w:tab w:val="left" w:pos="180" w:leader="none"/>
        </w:tabs>
        <w:jc w:val="right"/>
      </w:pPr>
      <w:bookmarkStart w:id="1" w:name="__UnoMark__14300_811521394"/>
      <w:bookmarkEnd w:id="1"/>
      <w:r>
        <w:rPr>
          <w:i/>
          <w:iCs/>
          <w:sz w:val="22"/>
          <w:szCs w:val="22"/>
        </w:rPr>
        <w:t>МБОУ г.Астрахани «СОШ №20»</w:t>
      </w:r>
      <w:r>
        <w:rPr>
          <w:i/>
          <w:iCs/>
          <w:sz w:val="22"/>
          <w:szCs w:val="22"/>
        </w:rPr>
        <w:t>,</w:t>
      </w:r>
      <w:r/>
    </w:p>
    <w:p>
      <w:pPr>
        <w:pStyle w:val="Default"/>
        <w:widowControl w:val="false"/>
        <w:tabs>
          <w:tab w:val="left" w:pos="180" w:leader="none"/>
        </w:tabs>
        <w:ind w:left="3402" w:hanging="0"/>
        <w:jc w:val="right"/>
      </w:pPr>
      <w:r>
        <w:rPr>
          <w:i/>
          <w:iCs/>
          <w:sz w:val="22"/>
          <w:szCs w:val="22"/>
          <w:lang w:val="de-DE"/>
        </w:rPr>
        <w:t xml:space="preserve">e-mail: </w:t>
      </w:r>
      <w:r>
        <w:rPr>
          <w:b/>
          <w:i/>
          <w:iCs/>
          <w:sz w:val="22"/>
          <w:szCs w:val="22"/>
          <w:lang w:val="de-DE"/>
        </w:rPr>
        <w:t>khvorak@inbox.ru,</w:t>
      </w:r>
      <w:r/>
    </w:p>
    <w:p>
      <w:pPr>
        <w:pStyle w:val="Default"/>
        <w:widowControl w:val="false"/>
        <w:tabs>
          <w:tab w:val="left" w:pos="180" w:leader="none"/>
        </w:tabs>
        <w:ind w:left="3402" w:hanging="0"/>
        <w:jc w:val="right"/>
      </w:pPr>
      <w:r>
        <w:rPr>
          <w:i/>
          <w:iCs/>
          <w:sz w:val="22"/>
          <w:szCs w:val="22"/>
        </w:rPr>
        <w:t>г. Астрахань</w:t>
      </w:r>
      <w:r/>
    </w:p>
    <w:p>
      <w:pPr>
        <w:pStyle w:val="Normal"/>
        <w:jc w:val="both"/>
        <w:rPr>
          <w:sz w:val="22"/>
          <w:b/>
          <w:sz w:val="22"/>
          <w:b/>
          <w:szCs w:val="22"/>
          <w:bCs/>
          <w:lang w:val="ru-RU"/>
        </w:rPr>
      </w:pPr>
      <w:r>
        <w:rPr>
          <w:b/>
          <w:bCs/>
          <w:sz w:val="22"/>
          <w:szCs w:val="22"/>
          <w:lang w:val="ru-RU"/>
        </w:rPr>
      </w:r>
      <w:r/>
    </w:p>
    <w:p>
      <w:pPr>
        <w:pStyle w:val="Normal"/>
        <w:jc w:val="center"/>
        <w:rPr>
          <w:sz w:val="22"/>
          <w:b/>
          <w:sz w:val="22"/>
          <w:b/>
          <w:szCs w:val="22"/>
          <w:bCs/>
          <w:lang w:val="ru-RU"/>
        </w:rPr>
      </w:pPr>
      <w:r>
        <w:rPr>
          <w:b/>
          <w:bCs/>
          <w:sz w:val="22"/>
          <w:szCs w:val="22"/>
          <w:lang w:val="ru-RU"/>
        </w:rPr>
        <w:t>ВНЕУРОЧНАЯ  ДЕЯТЕЛЬНОСТЬ</w:t>
      </w:r>
      <w:r/>
    </w:p>
    <w:p>
      <w:pPr>
        <w:pStyle w:val="Normal"/>
        <w:jc w:val="center"/>
        <w:rPr>
          <w:lang w:val="ru-RU"/>
        </w:rPr>
      </w:pPr>
      <w:r>
        <w:rPr>
          <w:b/>
          <w:bCs/>
          <w:sz w:val="22"/>
          <w:szCs w:val="22"/>
          <w:lang w:val="ru-RU"/>
        </w:rPr>
        <w:t>КАК СРЕДСТВО РАЗВИТИЯ ТВОРЧЕСКИХ СПОСОБНОСТЕЙ</w:t>
      </w:r>
      <w:r>
        <w:rPr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МЛАДШИХ ШКОЛЬНИКОВ</w:t>
      </w:r>
      <w:r/>
    </w:p>
    <w:p>
      <w:pPr>
        <w:pStyle w:val="Normal"/>
        <w:jc w:val="center"/>
        <w:rPr>
          <w:sz w:val="22"/>
          <w:b/>
          <w:sz w:val="22"/>
          <w:b/>
          <w:szCs w:val="22"/>
          <w:bCs/>
          <w:lang w:val="ru-RU"/>
        </w:rPr>
      </w:pPr>
      <w:r>
        <w:rPr>
          <w:b/>
          <w:bCs/>
          <w:sz w:val="22"/>
          <w:szCs w:val="22"/>
          <w:lang w:val="ru-RU"/>
        </w:rPr>
      </w:r>
      <w:r/>
    </w:p>
    <w:p>
      <w:pPr>
        <w:pStyle w:val="Normal"/>
        <w:jc w:val="both"/>
        <w:rPr>
          <w:lang w:val="ru-RU"/>
        </w:rPr>
      </w:pPr>
      <w:r>
        <w:rPr>
          <w:b/>
          <w:bCs/>
          <w:sz w:val="22"/>
          <w:szCs w:val="22"/>
          <w:lang w:val="ru-RU"/>
        </w:rPr>
        <w:t xml:space="preserve">Аннотация: </w:t>
      </w:r>
      <w:r>
        <w:rPr>
          <w:sz w:val="22"/>
          <w:szCs w:val="22"/>
          <w:lang w:val="ru-RU"/>
        </w:rPr>
        <w:t>данная статья посвящена проблеме развития творческих способностей у младших школьников, изучению особенностей их формирования во внеурочной деятельности; определение основных форм и видов внеурочной деятельности, способствующих развитию творческих способностей обучающихся.</w:t>
      </w:r>
      <w:r/>
    </w:p>
    <w:p>
      <w:pPr>
        <w:pStyle w:val="Normal"/>
        <w:jc w:val="both"/>
        <w:rPr>
          <w:lang w:val="ru-RU"/>
        </w:rPr>
      </w:pPr>
      <w:r>
        <w:rPr>
          <w:b/>
          <w:bCs/>
          <w:sz w:val="22"/>
          <w:szCs w:val="22"/>
          <w:lang w:val="ru-RU"/>
        </w:rPr>
        <w:t xml:space="preserve">Ключевые слова: </w:t>
      </w:r>
      <w:r>
        <w:rPr>
          <w:sz w:val="22"/>
          <w:szCs w:val="22"/>
          <w:lang w:val="ru-RU"/>
        </w:rPr>
        <w:t>творческие способности, развитие, внеурочная деятельность, обучающиеся, младшие школьники.</w:t>
      </w:r>
      <w:r/>
    </w:p>
    <w:p>
      <w:pPr>
        <w:pStyle w:val="Normal"/>
        <w:jc w:val="both"/>
        <w:rPr>
          <w:sz w:val="22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</w:r>
      <w:r/>
    </w:p>
    <w:p>
      <w:pPr>
        <w:pStyle w:val="Normal"/>
        <w:jc w:val="both"/>
        <w:rPr>
          <w:sz w:val="22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В основе Федерального государственного  образовательного стандарта  начального общего образования лежит системно – деятельностный подход, который предполагает в том числе и «… рост творческого потенциала каждого обучающегося».[1] </w:t>
      </w:r>
      <w:r/>
    </w:p>
    <w:p>
      <w:pPr>
        <w:pStyle w:val="Normal"/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Учителя-практики понимают, что желаемый результат  обучения - это не просто овладение конкретными знаниями, умениями и навыками, но и,  прежде всего, развитие творческих способностей. Известно, что  нереализованность творческого потенциала часто становится одной из проблем современного старшеклассника. </w:t>
      </w:r>
      <w:r/>
    </w:p>
    <w:p>
      <w:pPr>
        <w:pStyle w:val="Normal"/>
        <w:jc w:val="both"/>
        <w:rPr>
          <w:lang w:val="ru-RU"/>
        </w:rPr>
      </w:pPr>
      <w:r>
        <w:rPr>
          <w:rFonts w:cs="Times New Roman"/>
          <w:color w:val="000000"/>
          <w:sz w:val="22"/>
          <w:szCs w:val="22"/>
          <w:lang w:val="ru-RU"/>
        </w:rPr>
        <w:t>Таким образом,  творческая деятельность должна занимать равные позиции с другими показателями обученности. Вот почему  младших школьников нужно погружать в процесс творчества, начиная с первого класса.</w:t>
      </w:r>
      <w:r/>
    </w:p>
    <w:p>
      <w:pPr>
        <w:pStyle w:val="Normal"/>
        <w:jc w:val="both"/>
        <w:rPr>
          <w:lang w:val="ru-RU"/>
        </w:rPr>
      </w:pPr>
      <w:r>
        <w:rPr>
          <w:rFonts w:cs="Times New Roman"/>
          <w:color w:val="000000"/>
          <w:sz w:val="22"/>
          <w:szCs w:val="22"/>
          <w:lang w:val="ru-RU"/>
        </w:rPr>
        <w:t>Проблема развития способностей всегда во внимании  психолого-педагогических исследований, тем не менее,   актуальность данной темы очевидна. Как организовать обучение в начальных классах, чтобы работа по развитию творческих способностей была эффективна? Рассмотрим возможные пути решения в данной статье.</w:t>
      </w:r>
      <w:r/>
    </w:p>
    <w:p>
      <w:pPr>
        <w:pStyle w:val="Normal"/>
        <w:jc w:val="both"/>
        <w:rPr>
          <w:sz w:val="22"/>
          <w:sz w:val="22"/>
          <w:szCs w:val="22"/>
          <w:rFonts w:cs="Times New Roman"/>
          <w:color w:val="000000"/>
          <w:lang w:val="ru-RU"/>
        </w:rPr>
      </w:pPr>
      <w:r>
        <w:rPr>
          <w:rFonts w:cs="Times New Roman"/>
          <w:color w:val="000000"/>
          <w:sz w:val="22"/>
          <w:szCs w:val="22"/>
          <w:lang w:val="ru-RU"/>
        </w:rPr>
        <w:t>Принципиальное отличие творческой деятельности от учебной можно рассмотреть через сравнение их целей. Цель учебной деятельности: формирование умение учиться. Для творческой деятельности приоритетной задачей становится развитие способности искать и находить новые пути и нестандартные способы достижения планируемого результата.</w:t>
      </w:r>
      <w:r/>
    </w:p>
    <w:p>
      <w:pPr>
        <w:pStyle w:val="Normal"/>
        <w:jc w:val="both"/>
        <w:rPr>
          <w:lang w:val="ru-RU"/>
        </w:rPr>
      </w:pPr>
      <w:r>
        <w:rPr>
          <w:rFonts w:cs="Times New Roman"/>
          <w:color w:val="000000"/>
          <w:sz w:val="22"/>
          <w:szCs w:val="22"/>
          <w:lang w:val="ru-RU"/>
        </w:rPr>
        <w:t xml:space="preserve">Творческие способности - </w:t>
      </w:r>
      <w:hyperlink r:id="rId2">
        <w:r>
          <w:rPr>
            <w:rStyle w:val="Style14"/>
            <w:rFonts w:cs="Times New Roman"/>
            <w:color w:val="000000"/>
            <w:sz w:val="22"/>
            <w:szCs w:val="22"/>
            <w:lang w:val="ru-RU"/>
          </w:rPr>
          <w:t>способности</w:t>
        </w:r>
      </w:hyperlink>
      <w:r>
        <w:rPr>
          <w:rFonts w:cs="Times New Roman"/>
          <w:color w:val="000000"/>
          <w:sz w:val="22"/>
          <w:szCs w:val="22"/>
          <w:lang w:val="ru-RU"/>
        </w:rPr>
        <w:t xml:space="preserve"> человека принимать творческие решения, принимать и создавать принципиально новые идеи.</w:t>
      </w:r>
      <w:r/>
    </w:p>
    <w:p>
      <w:pPr>
        <w:pStyle w:val="Style18"/>
        <w:spacing w:before="0" w:after="0"/>
        <w:ind w:left="57" w:firstLine="567"/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Развитие творческих способностей осуществляется на всех уроках и внеклассных мероприятиях. Наибольший эффект в развитии творческих способностей</w:t>
      </w:r>
      <w:r>
        <w:rPr>
          <w:rFonts w:ascii="Calibri" w:hAnsi="Calibri"/>
          <w:color w:val="000000"/>
          <w:sz w:val="22"/>
          <w:szCs w:val="22"/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>младшего школьника может оказать: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-реализация кружковых или факультативных занятий по специально разработанной программе,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-вовлечение учащихся в творческое взаимодействие со сверстниками;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-дидактические и сюжетно – ролевые игры во внеурочное  время;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-экскурсии, наблюдения;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-творческие мастерские. [3]</w:t>
      </w:r>
      <w:r/>
    </w:p>
    <w:p>
      <w:pPr>
        <w:pStyle w:val="Style18"/>
        <w:spacing w:before="0" w:after="0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 xml:space="preserve">-упражнения творческого характера. 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Наиболее эффективной сферой развития творческих способностей учащихся является искусство, художественная деятельность, данной сферой можно продуктивно заниматься во внеурочной деятельности. Вместе с тем мы убеждены, что креативность возможно развивать по каждому направлению развития личности и в рамках любого вида внеурочной деятельности.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Внеурочная деятельность позволяет выполнять главное требование творчества – дать ребёнку свободу выбора действий. Организуя внеурочную деятельность и общение по схеме взаимодействия «учитель = ученик», мы создаём равнозначное участие учителя и обучающихся в процессе сотворчества. То есть, дети выступают как равные участники и создатели внеурочных занятий. Рассмотрим несколько фрагментов внеурочных занятий, позволяющих увидеть механизм работы на практике.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1 класс. Тема занятия: «Звуки и буквы русского языка»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Направление: общеинтеллектуальное 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Вид деятельности: игровая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Форма занятия: ролевая игра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Этап занятия: работа в группах по 3 человека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Задание: обсудить и выбрать один вариант задания из двух предложенных, выполнить его в группе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Вариант 1. Придумать и разыграть сценку разговора звуков и букв в слогах ЖИ – ШИ.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Вариант 2. Нарисовать плакат «Звуки и буквы идут друг другу  в гости»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Планируемый результат: научатся самостоятельно определять особенности звука и буквы: сходство и различие.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2 класс. Тема занятия: Зачем взрослые придумали слово «нельзя»?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Направление: духовно - нравственное 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Вид деятельности: проблемно-ценностное общение  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Форма занятия: этическая беседа с элементами творческих упражнений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Этап занятия: работа в парах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Задание: придумайте 3 правила со словом НЕЛЬЗЯ,  покажите это жестами или символами без слов.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Планируемый результат: научатся создавать свои правила поведения и общения в школе, в классе, среди своих друзей.</w:t>
      </w:r>
      <w:r/>
    </w:p>
    <w:p>
      <w:pPr>
        <w:pStyle w:val="Style18"/>
        <w:spacing w:before="0" w:after="0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3 класс. Тема занятия: Как я люблю отдыхать после учебного труда</w:t>
      </w:r>
      <w:r/>
    </w:p>
    <w:p>
      <w:pPr>
        <w:pStyle w:val="Style18"/>
        <w:spacing w:before="0" w:after="0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Направление: общекультурное </w:t>
      </w:r>
      <w:r/>
    </w:p>
    <w:p>
      <w:pPr>
        <w:pStyle w:val="Style18"/>
        <w:spacing w:before="0" w:after="0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Вид деятельности: досугово-развлекательная деятельность (досуговое общение)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Форма занятия: творческие посиделки.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Этап занятия: рефлексия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Задание: используя различные виды искусства, показать свои эмоции от презентаций одноклассников</w:t>
      </w:r>
      <w:r/>
    </w:p>
    <w:p>
      <w:pPr>
        <w:pStyle w:val="Style18"/>
        <w:spacing w:before="0" w:after="0"/>
        <w:ind w:left="57" w:firstLine="567"/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Планируемый результат: учатся друг у друга организовать свободное время</w:t>
      </w:r>
      <w:r>
        <w:rPr>
          <w:lang w:val="ru-RU"/>
        </w:rPr>
        <w:t xml:space="preserve"> через </w:t>
      </w:r>
      <w:r>
        <w:rPr>
          <w:color w:val="000000"/>
          <w:sz w:val="22"/>
          <w:szCs w:val="22"/>
          <w:lang w:val="ru-RU"/>
        </w:rPr>
        <w:t>различные виды деятельности.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4 класс. Тема занятия: Добрые дела своими руками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Направление: социальное 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Вид деятельности: социальное творчество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Форма занятия: КТД (коллективно-творческое дело).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Этап занятия: коллективное планирование КТД</w:t>
      </w:r>
      <w:r/>
    </w:p>
    <w:p>
      <w:pPr>
        <w:pStyle w:val="Style18"/>
        <w:spacing w:before="0" w:after="0"/>
        <w:ind w:left="57" w:firstLine="567"/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Задание: (планирование происходит в микрогруппах)</w:t>
      </w:r>
      <w:r>
        <w:rPr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>Как назовём наше дело? Что и для кого будем делать? С кем вместе это будем делать? Кто будет участником? Кто и кому будет помогать?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Планируемый результат: учатся уважать чужое мнение, проявлять толерантность к другой точке зрения.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sz w:val="22"/>
          <w:szCs w:val="22"/>
          <w:iCs/>
          <w:bCs/>
          <w:color w:val="000000"/>
          <w:lang w:val="ru-RU"/>
        </w:rPr>
      </w:pPr>
      <w:r>
        <w:rPr>
          <w:bCs/>
          <w:iCs/>
          <w:color w:val="000000"/>
          <w:sz w:val="22"/>
          <w:szCs w:val="22"/>
          <w:lang w:val="ru-RU"/>
        </w:rPr>
        <w:t xml:space="preserve">Представленные фрагменты  внеурочных занятий объединяет общая идея: любая деятельность может стать творческой, когда мы помогаем младшим школьникам взглянуть на известные явления с разных сторон. Для этого необходимо создавать креативные ситуации, погружать в творческое пространство. Особо отметим  позицию самого учителя, который готов к свободному общению с ребятами, показывает модель человека,  увлечённого и самосозидающего.   </w:t>
      </w:r>
      <w:r/>
    </w:p>
    <w:p>
      <w:pPr>
        <w:pStyle w:val="Style18"/>
        <w:spacing w:before="0" w:after="0"/>
        <w:ind w:left="57" w:firstLine="567"/>
        <w:jc w:val="both"/>
        <w:rPr>
          <w:sz w:val="22"/>
          <w:i/>
          <w:b/>
          <w:sz w:val="22"/>
          <w:i/>
          <w:b/>
          <w:szCs w:val="22"/>
          <w:iCs/>
          <w:bCs/>
          <w:color w:val="000000"/>
          <w:lang w:val="ru-RU"/>
        </w:rPr>
      </w:pPr>
      <w:r>
        <w:rPr>
          <w:b/>
          <w:bCs/>
          <w:i/>
          <w:iCs/>
          <w:color w:val="000000"/>
          <w:sz w:val="22"/>
          <w:szCs w:val="22"/>
          <w:lang w:val="ru-RU"/>
        </w:rPr>
        <w:t>Литература и примечания:</w:t>
      </w:r>
      <w:r/>
    </w:p>
    <w:p>
      <w:pPr>
        <w:pStyle w:val="Style18"/>
        <w:spacing w:before="57" w:after="120"/>
        <w:jc w:val="both"/>
        <w:rPr>
          <w:lang w:val="ru-RU"/>
        </w:rPr>
      </w:pPr>
      <w:r>
        <w:rPr>
          <w:bCs/>
          <w:iCs/>
          <w:color w:val="000000"/>
          <w:sz w:val="22"/>
          <w:szCs w:val="22"/>
          <w:lang w:val="ru-RU"/>
        </w:rPr>
        <w:t>[1]</w:t>
      </w:r>
      <w:r>
        <w:rPr>
          <w:lang w:val="ru-RU"/>
        </w:rPr>
        <w:t xml:space="preserve"> </w:t>
      </w:r>
      <w:r>
        <w:rPr>
          <w:bCs/>
          <w:iCs/>
          <w:color w:val="000000"/>
          <w:sz w:val="22"/>
          <w:szCs w:val="22"/>
          <w:lang w:val="ru-RU"/>
        </w:rPr>
        <w:t>Федеральный государственный образовательный стандарт  начального общего образования // fgos.ru[Электронный текст]</w:t>
      </w:r>
      <w:r/>
    </w:p>
    <w:p>
      <w:pPr>
        <w:pStyle w:val="Style18"/>
        <w:spacing w:before="57" w:after="0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>[2] Баранова А.В., Кисляков А.В. Моделируем внеурочную деятельность обучающихся/ А. В. Баранова. – М.: Просвещение, 2013. – 96 с.</w:t>
      </w:r>
      <w:r/>
    </w:p>
    <w:p>
      <w:pPr>
        <w:pStyle w:val="Style18"/>
        <w:spacing w:before="57" w:after="0"/>
        <w:jc w:val="both"/>
        <w:rPr>
          <w:sz w:val="22"/>
          <w:sz w:val="22"/>
          <w:szCs w:val="22"/>
          <w:color w:val="000000"/>
          <w:lang w:val="ru-RU"/>
        </w:rPr>
      </w:pPr>
      <w:r>
        <w:rPr>
          <w:color w:val="000000" w:themeColor="text1" w:themeShade="ff" w:themeTint="ff"/>
          <w:sz w:val="22"/>
          <w:szCs w:val="22"/>
          <w:lang w:val="ru-RU"/>
        </w:rPr>
        <w:t>[3] Винокурова Н.К. Развитие творческих способностей учащихся / Н.К. Винокурова. - М.: Педагогический поиск, 2009. – 144 с.</w:t>
      </w:r>
      <w:r/>
    </w:p>
    <w:p>
      <w:pPr>
        <w:pStyle w:val="Style18"/>
        <w:spacing w:before="57" w:after="0"/>
        <w:jc w:val="both"/>
        <w:rPr>
          <w:sz w:val="22"/>
          <w:sz w:val="22"/>
          <w:szCs w:val="22"/>
          <w:color w:val="000000" w:themeColor="text1" w:themeShade="ff" w:themeTint="ff"/>
          <w:lang w:val="ru-RU"/>
        </w:rPr>
      </w:pPr>
      <w:r>
        <w:rPr>
          <w:color w:val="000000" w:themeColor="text1" w:themeShade="ff" w:themeTint="ff"/>
          <w:sz w:val="22"/>
          <w:szCs w:val="22"/>
          <w:lang w:val="ru-RU"/>
        </w:rPr>
      </w:r>
      <w:r/>
    </w:p>
    <w:p>
      <w:pPr>
        <w:pStyle w:val="Style18"/>
        <w:spacing w:before="57" w:after="0"/>
        <w:jc w:val="right"/>
      </w:pPr>
      <w:r>
        <w:rPr>
          <w:color w:val="000000" w:themeColor="text1" w:themeShade="ff" w:themeTint="ff"/>
          <w:sz w:val="22"/>
          <w:szCs w:val="22"/>
          <w:lang w:val="ru-RU"/>
        </w:rPr>
        <w:t>© К.С. Хворак, 20</w:t>
      </w:r>
      <w:r>
        <w:rPr>
          <w:color w:val="000000" w:themeColor="text1" w:themeShade="ff" w:themeTint="ff"/>
          <w:sz w:val="22"/>
          <w:szCs w:val="22"/>
          <w:lang w:val="ru-RU"/>
        </w:rPr>
        <w:t>23</w:t>
      </w:r>
      <w:r/>
    </w:p>
    <w:p>
      <w:pPr>
        <w:pStyle w:val="Style18"/>
        <w:spacing w:before="57" w:after="0"/>
        <w:jc w:val="both"/>
        <w:rPr>
          <w:sz w:val="22"/>
          <w:sz w:val="22"/>
          <w:szCs w:val="22"/>
          <w:color w:val="000000" w:themeColor="text1" w:themeShade="ff" w:themeTint="ff"/>
          <w:lang w:val="ru-RU"/>
        </w:rPr>
      </w:pPr>
      <w:r>
        <w:rPr>
          <w:color w:val="000000" w:themeColor="text1" w:themeShade="ff" w:themeTint="ff"/>
          <w:sz w:val="22"/>
          <w:szCs w:val="22"/>
          <w:lang w:val="ru-RU"/>
        </w:rPr>
      </w:r>
      <w:r/>
    </w:p>
    <w:p>
      <w:pPr>
        <w:pStyle w:val="Style18"/>
        <w:spacing w:before="57" w:after="0"/>
        <w:ind w:left="0" w:firstLine="567"/>
        <w:jc w:val="both"/>
        <w:rPr>
          <w:sz w:val="22"/>
          <w:sz w:val="22"/>
          <w:szCs w:val="22"/>
          <w:color w:val="000000" w:themeColor="text1" w:themeShade="ff" w:themeTint="ff"/>
          <w:lang w:val="ru-RU"/>
        </w:rPr>
      </w:pPr>
      <w:r>
        <w:rPr>
          <w:color w:val="000000" w:themeColor="text1" w:themeShade="ff" w:themeTint="ff"/>
          <w:sz w:val="22"/>
          <w:szCs w:val="22"/>
          <w:lang w:val="ru-RU"/>
        </w:rPr>
      </w:r>
      <w:r/>
    </w:p>
    <w:p>
      <w:pPr>
        <w:pStyle w:val="Style18"/>
        <w:spacing w:before="57" w:after="0"/>
        <w:jc w:val="both"/>
        <w:rPr>
          <w:sz w:val="22"/>
          <w:sz w:val="22"/>
          <w:szCs w:val="22"/>
          <w:color w:val="000000" w:themeColor="text1" w:themeShade="ff" w:themeTint="ff"/>
          <w:lang w:val="ru-RU"/>
        </w:rPr>
      </w:pPr>
      <w:r>
        <w:rPr>
          <w:color w:val="000000" w:themeColor="text1" w:themeShade="ff" w:themeTint="ff"/>
          <w:sz w:val="22"/>
          <w:szCs w:val="22"/>
          <w:lang w:val="ru-RU"/>
        </w:rPr>
      </w:r>
      <w:r/>
    </w:p>
    <w:p>
      <w:pPr>
        <w:pStyle w:val="Style18"/>
        <w:spacing w:before="57" w:after="0"/>
        <w:jc w:val="both"/>
        <w:rPr>
          <w:sz w:val="22"/>
          <w:sz w:val="22"/>
          <w:szCs w:val="22"/>
          <w:color w:val="000000" w:themeColor="text1" w:themeShade="ff" w:themeTint="ff"/>
          <w:lang w:val="ru-RU"/>
        </w:rPr>
      </w:pPr>
      <w:r>
        <w:rPr>
          <w:color w:val="000000" w:themeColor="text1" w:themeShade="ff" w:themeTint="ff"/>
          <w:sz w:val="22"/>
          <w:szCs w:val="22"/>
          <w:lang w:val="ru-RU"/>
        </w:rPr>
      </w:r>
      <w:r/>
    </w:p>
    <w:p>
      <w:pPr>
        <w:pStyle w:val="Style18"/>
        <w:spacing w:before="57" w:after="0"/>
        <w:jc w:val="both"/>
        <w:rPr/>
      </w:pPr>
      <w:r>
        <w:rPr/>
      </w:r>
      <w:r/>
    </w:p>
    <w:sectPr>
      <w:type w:val="nextPage"/>
      <w:pgSz w:w="8391" w:h="11906"/>
      <w:pgMar w:left="1191" w:right="1077" w:header="0" w:top="1020" w:footer="0" w:bottom="102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Arial">
    <w:charset w:val="cc"/>
    <w:family w:val="swiss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567"/>
  <w:compat>
    <w:compatSetting w:name="compatibilityMode" w:uri="http://schemas.microsoft.com/office/word" w:val="14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>
        <w:textAlignment w:val="baseline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customStyle="1">
    <w:name w:val="Normal"/>
    <w:pPr>
      <w:widowControl/>
      <w:suppressAutoHyphens w:val="true"/>
      <w:bidi w:val="0"/>
      <w:ind w:firstLine="567"/>
      <w:jc w:val="left"/>
      <w:textAlignment w:val="baseline"/>
    </w:pPr>
    <w:rPr>
      <w:rFonts w:ascii="Times New Roman" w:hAnsi="Times New Roman" w:eastAsia="Andale Sans UI" w:cs="Tahoma"/>
      <w:color w:val="auto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Интернет-ссылка"/>
    <w:rPr>
      <w:color w:val="000080"/>
      <w:u w:val="single"/>
      <w:lang w:val="zxx" w:eastAsia="zxx" w:bidi="zxx"/>
    </w:rPr>
  </w:style>
  <w:style w:type="character" w:styleId="Style15" w:customStyle="1">
    <w:name w:val="Выделение жирным"/>
    <w:rPr>
      <w:b/>
      <w:bCs/>
    </w:rPr>
  </w:style>
  <w:style w:type="character" w:styleId="Style16" w:customStyle="1">
    <w:name w:val="Маркеры списка"/>
    <w:rPr>
      <w:rFonts w:ascii="OpenSymbol" w:hAnsi="OpenSymbol" w:eastAsia="OpenSymbol" w:cs="OpenSymbol"/>
    </w:rPr>
  </w:style>
  <w:style w:type="paragraph" w:styleId="Style17" w:customStyle="1">
    <w:name w:val="Заголовок"/>
    <w:basedOn w:val="Normal"/>
    <w:next w:val="Style18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8" w:customStyle="1">
    <w:name w:val="Основной текст"/>
    <w:basedOn w:val="Normal"/>
    <w:pPr>
      <w:spacing w:lineRule="auto" w:line="288" w:before="0" w:after="120"/>
    </w:pPr>
    <w:rPr/>
  </w:style>
  <w:style w:type="paragraph" w:styleId="Style19">
    <w:name w:val="Список"/>
    <w:basedOn w:val="Style18"/>
    <w:pPr/>
    <w:rPr>
      <w:rFonts w:cs="Arial"/>
    </w:rPr>
  </w:style>
  <w:style w:type="paragraph" w:styleId="Style20">
    <w:name w:val="Название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 w:customStyle="1">
    <w:name w:val="Указатель"/>
    <w:basedOn w:val="Normal"/>
    <w:pPr>
      <w:suppressLineNumbers/>
    </w:pPr>
    <w:rPr>
      <w:rFonts w:cs="Arial"/>
    </w:rPr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styleId="Default" w:customStyle="1">
    <w:name w:val="Default"/>
    <w:pPr>
      <w:widowControl/>
      <w:suppressAutoHyphens w:val="true"/>
      <w:bidi w:val="0"/>
      <w:ind w:firstLine="567"/>
      <w:jc w:val="left"/>
      <w:textAlignment w:val="baseline"/>
    </w:pPr>
    <w:rPr>
      <w:rFonts w:eastAsia="Times New Roman" w:cs="Times New Roman" w:ascii="Times New Roman" w:hAnsi="Times New Roman"/>
      <w:color w:val="000000"/>
      <w:sz w:val="24"/>
      <w:szCs w:val="24"/>
      <w:lang w:val="ru-RU" w:eastAsia="ru-RU" w:bidi="ar-SA"/>
    </w:rPr>
  </w:style>
  <w:style w:type="paragraph" w:styleId="Style22" w:customStyle="1">
    <w:name w:val="Знак Знак Знак Знак"/>
    <w:basedOn w:val="Normal"/>
    <w:pPr>
      <w:pageBreakBefore/>
      <w:spacing w:lineRule="auto" w:line="360" w:before="0" w:after="160"/>
    </w:pPr>
    <w:rPr>
      <w:rFonts w:eastAsia="Times New Roman" w:cs="Times New Roman"/>
      <w:sz w:val="28"/>
      <w:szCs w:val="20"/>
      <w:lang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u.wikipedia.org/wiki/&#1057;&#1087;&#1086;&#1089;&#1086;&#1073;&#1085;&#1086;&#1089;&#1090;&#1080;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Application>LibreOffice/4.3.1.2$Windows_x86 LibreOffice_project/958349dc3b25111dbca392fbc281a05559ef6848</Application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2019-12-23T08:10:00Z</dcterms:created>
  <dc:creator>Documents</dc:creator>
  <dc:language>ru-RU</dc:language>
  <dcterms:modified xsi:type="dcterms:W3CDTF">2023-07-04T12:28:25Z</dcterms:modified>
  <cp:revision>4</cp:revision>
</cp:coreProperties>
</file>