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41"/>
        <w:pBdr/>
        <w:spacing w:after="100" w:afterAutospacing="1" w:line="360" w:lineRule="auto"/>
        <w:ind w:right="57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            Игровые технологии на уроках немецкого языка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1"/>
        <w:pBdr/>
        <w:spacing w:after="100" w:afterAutospacing="1" w:line="360" w:lineRule="auto"/>
        <w:ind w:right="57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1"/>
        <w:pBdr/>
        <w:spacing w:after="100" w:afterAutospacing="1" w:line="360" w:lineRule="auto"/>
        <w:ind w:right="57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Гуманизация образования, ориентация на личность и максимальное развитие ее уникальности, приоритет человеческого и личностного над другими ценностями – эти идеи побуждают к поиску адекватных им педагогических технологий.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1"/>
        <w:pBdr/>
        <w:spacing w:after="100" w:afterAutospacing="1" w:line="360" w:lineRule="auto"/>
        <w:ind w:right="5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ной из таких технологий, реализующей задачи гуманизации образования, является игровая, представляющая собой систему применения различных дидактических игр в обучении, формирующих умение решать задачи на основе компетентного выбора альтернативных вариантов.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1"/>
        <w:pBdr/>
        <w:spacing w:after="100" w:afterAutospacing="1"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Использование игры в процессе обучения связано с ее преимущественными возможностями в решении дидактических задач, с ролью игровой деятельности в развитии личности.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1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Игровая технология обесп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ечивает достижение единства эмоционального и рационального в обучении. В процессе игровой технологии ученик сталкивается с ситуациями выбора, в которых он проявляет индивидуальность, свободу в выборе заданий, содержания и организационных форм деятельности.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1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Упражнения игрового характера могут быть разными по-своему назначению, содержанию, способам организации и проведения их, материальной оснащенности, ко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личеству участников. С их помощью можно решать какую-либо одну задачу (совершенствовать лексические, грамматические навыки и т.д.) или же целый комплекс задач: формировать речевые умения, развивать наблюдательность, внимание, творческие способности и т. д.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обучении иностранному языку в начальных классах важно, чтобы уже в этом юном возрасте реб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енок захотел заниматься иностранным языком и делал это с удовольствием и радостью. Игра повышает интерес обучающихся к учебным занятиям, стимулирует рост познавательной активности, что позволяет учащимся получать и усваивать большое количество информации.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Я полностью поддерживаю теорию М. Ф. Стронина, который в своей книге «Обучающие игры на уроках иностранного языка» подразделяет игры на следующие категории: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лексические игры,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грамматические игры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фонетические игры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орфографические игры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Приведу примеры игр, которые  я использую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на начальном этапе обучения.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Лексические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Цели: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       тренировать учащихся в употреблении лексики в ситуациях, приближенных к естественной обстановке;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       активизировать речемыслительную деятельность учащихся;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       развивать речевую реакцию учащихся.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2"/>
        <w:pBdr/>
        <w:spacing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                            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 «Кто быстрее?»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pStyle w:val="842"/>
        <w:pBdr/>
        <w:spacing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2 человека становятся у стены.Остальные учащиеся говорят по русски изучаемую лексику. Тот, кто правильно вспомнил перевод, делает шаг вперед. Победил самый быстрый.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«Собери портфель»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2"/>
        <w:pBdr/>
        <w:spacing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Ход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240" w:lineRule="atLeast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игре участвует весь класс. Выходят к доске по желанию.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Учитель: Поможем Буратино собраться в школу.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Ученик берёт находящиеся на столе предметы, складывает их в портфель, называя каждый предмет по-немецки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 описывая его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val="ru-RU"/>
        </w:rPr>
        <w:t xml:space="preserve">Что пропало?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val="ru-RU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  <w:t xml:space="preserve">На стол выкладываю ряд предметов ( канцелярия, муляжи овощей, игрушечную мебель) в зависимости от темы. Хором повторяем лексику, показывая каждый предмет.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de-D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  <w:t xml:space="preserve">Затем закрываю платком стол, убираю  часть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en-US"/>
        </w:rPr>
        <w:t xml:space="preserve">Was f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de-DE"/>
        </w:rPr>
        <w:t xml:space="preserve">ehlt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  <w:t xml:space="preserve">?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de-D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  <w:t xml:space="preserve">_ учащиеся отвечают, я кладу каждый названный предмет на место.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ru-RU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«Собери картинку»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Ход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37"/>
        <w:pBdr/>
        <w:spacing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Каждой команде дается конверт, в котором находятся 12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частей от картинки. Нужно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собрать картинку и дать ее описа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ние с помощью структур 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de-DE"/>
        </w:rPr>
        <w:t xml:space="preserve">Das ist... Es ist groß/ klein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7"/>
        <w:pBdr/>
        <w:spacing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37"/>
        <w:pBdr/>
        <w:spacing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«Загадки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про животных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Учитель загадывает загадку, ученики отгадывают</w:t>
      </w:r>
      <w:r>
        <w:rPr>
          <w:rFonts w:ascii="Times New Roman" w:hAnsi="Times New Roman" w:eastAsia="Times New Roman" w:cs="Times New Roman"/>
          <w:sz w:val="28"/>
          <w:szCs w:val="28"/>
          <w:lang w:val="de-D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Er kann schwimmen,er ist kalt, er frisst Grass.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ER ist groß, braun, er kann laufen.Er frisst Fleisch.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/>
        </w:rPr>
        <w:t xml:space="preserve">Снежный шар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de-D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Bdr/>
        <w:spacing/>
        <w:ind w:firstLine="0"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Первый 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грок говорит –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Ich war in Moskau und habe dort Museum besucht.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</w:r>
    </w:p>
    <w:p>
      <w:pPr>
        <w:pBdr/>
        <w:spacing/>
        <w:ind w:firstLine="0" w:left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Второй-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Ich war in Moskau und habe dort Museum besucht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de-DE"/>
        </w:rPr>
        <w:t xml:space="preserve">und die Sehenswürdigkeiten besichtigt.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</w:r>
    </w:p>
    <w:p>
      <w:pPr>
        <w:pBdr/>
        <w:spacing/>
        <w:ind w:firstLine="0" w:left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  <w:t xml:space="preserve">Третий повторяет вышесказанное и добавляет свой вариант.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ru-RU"/>
        </w:rPr>
      </w:r>
    </w:p>
    <w:p>
      <w:pPr>
        <w:pBdr/>
        <w:spacing/>
        <w:ind w:firstLine="0" w:left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Грамматические игры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val="ru-RU"/>
        </w:rPr>
      </w:r>
      <w:r>
        <w:rPr>
          <w:b/>
          <w:bCs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Цели: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 научить учащихся употреблению речевых образцов, содержащих определенные грамматические трудности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-  развивать речевую реакцию учащихся.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-формировать интерес учащихся 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изучению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английского языка.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«Угадай-ка»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Ход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руках ведущего – черный ящик (или коробка), в котором находится незнакомый предмет. Члены команд должны задать ведущему по одному наводящему вопросу.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  <w:t xml:space="preserve">Is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de-DE"/>
        </w:rPr>
        <w:t xml:space="preserve">t es groß?Ist es schwarz?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 После этого они должны дать ответ, что находится в ящике.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                 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 « Стул»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Рядом с доской ставим стул. При повторении предлогов места на немецком языке учащийся или залезает на стул, или стоит рядом, а иногда и под стул.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Орфографические игры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Цели: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-проверка усвоения орфографии изученного материала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-развитие памяти, мышления, внимания детей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формирование интереса к изучению немецкого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«Картинка»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Ход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37"/>
        <w:pBdr/>
        <w:spacing w:after="0" w:line="360" w:lineRule="auto"/>
        <w:ind w:left="851"/>
        <w:jc w:val="both"/>
        <w:rPr>
          <w:rFonts w:ascii="Times New Roman" w:hAnsi="Times New Roman" w:cs="Times New Roman"/>
          <w:color w:val="66669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аждый участник получает по картинке с изображением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предметов, животных и т. д. Представители команд выходят к доске, разделенной на две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части, и записывают слова, соответствующие предметам, изображенным на картинке. После того, как обучаемый написал слово, он должен прочитать его и показать свою картинку. Выигрывает команда, которая быстрее и с меньшим количеством ошибок запишет все слова.</w:t>
      </w:r>
      <w:r>
        <w:rPr>
          <w:rFonts w:ascii="Times New Roman" w:hAnsi="Times New Roman" w:eastAsia="Times New Roman" w:cs="Times New Roman"/>
          <w:iCs/>
          <w:color w:val="66669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666699"/>
          <w:sz w:val="28"/>
          <w:szCs w:val="28"/>
        </w:rPr>
      </w:r>
      <w:r>
        <w:rPr>
          <w:rFonts w:ascii="Times New Roman" w:hAnsi="Times New Roman" w:cs="Times New Roman"/>
          <w:color w:val="666699"/>
          <w:sz w:val="28"/>
          <w:szCs w:val="28"/>
        </w:rPr>
      </w:r>
    </w:p>
    <w:p>
      <w:pPr>
        <w:pStyle w:val="837"/>
        <w:pBdr/>
        <w:spacing w:after="0" w:line="360" w:lineRule="auto"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 xml:space="preserve">Дежурная буква»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51"/>
        <w:pBdr/>
        <w:spacing w:line="36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Ход игры: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1"/>
        <w:pBdr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Обучаемым раздаются карточки и предлагается написать как можно больше слов, в которых указанная буква стоит на определенном месте.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Например, учитель говорит: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«Сегодня у нас дежурная буква «о», она стоит на первом месте. Кто напишет больше слов, в которых буква «о» стоит на первом месте?»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Время выполнения задания регламентируется (3-5 минут)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 w:line="36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Фонетические игры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Цели: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развитие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речевых навыков и умений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– формирование навыков аудирования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tabs>
          <w:tab w:val="left" w:leader="none" w:pos="3559"/>
        </w:tabs>
        <w:spacing/>
        <w:ind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«Цветочки и пчелки»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Каждая команда делится на две группы. Первая группа - цветочки,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вторая - пчелки. Каждый ученик получает карточку со звуками или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словами в транскрипции. На цветочках написана транскрипция слова, в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котором один звук пропущен. На пчелках написаны пропущенные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звуки. Каждая пчелка должна опуститься на соответствующий цветочек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Паучок 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</w:p>
    <w:p>
      <w:pPr>
        <w:pStyle w:val="837"/>
        <w:pBdr/>
        <w:spacing w:line="360" w:lineRule="auto"/>
        <w:ind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Ход игры: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37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Учитель пишет начальную и последнюю букву слова. Ученики называют отсутствующие буквы.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«Чья команда лучше споет песню?»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Команда – победительница получает пять баллов.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Пение на уроках иностранного языка позволяет включить в активную познавательную деятельность каждого ребенка, создает предпосылки для коллективной работы в атмосфере положительных эмоций.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8"/>
        <w:pBdr/>
        <w:spacing w:after="0" w:afterAutospacing="0" w:before="0" w:beforeAutospacing="0" w:line="360" w:lineRule="auto"/>
        <w:ind/>
        <w:contextualSpacing w:val="tru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своей работе я так же использую игровые технологии с применением ИКТ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(обучающие компьютерные программы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de-DE"/>
        </w:rPr>
        <w:t xml:space="preserve"> Fridelin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de-DE"/>
        </w:rPr>
        <w:t xml:space="preserve">)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которые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дают возможность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автоматизировать языковые и речевые действия, осуществ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индивидуальный подход к обучению.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Дети проявляют самостоятельность, активность, интерес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изучению  языка.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Все виды игровых технологий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предоставляют широкое поле для детской фантазии, создают благоприятные условия для развития наблюдательности, памяти, мышления и речи.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Планируя свои уроки, я думаю не только о том, чтобы ученики запомнили новые слова, ту или иную структуру, но и стремлюсь создать все возможности для развития индивидуальности каждого ребёнка. Игра всегда предполагает принятия решения  -  как поступить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что сказать, как выиграть. Желание решить эти вопросы убыстряет мыслительную деятельность играющих. А если ребёнок будет думать на иностранном языке? Конечно же, здесь таятся богатые обучающие возможности. Дети, однако, над этим не задумываются. Для них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игра,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прежде всего -  увлекательное занятие. В игре все равны. Она посильна даже сла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бым ученикам.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тмосфера увлечённости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чувство равенства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 радости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ощущение посильности заданий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всё это даёт возможность ребятам преодолеть стеснительность, мешающую свободно употреблять в речи слова чужого языка и благотворно сказывается на результатах обучения. Незаметно усваивается языковой материал, а вместе с этим 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зникает чувство удовлетворения 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оказывается, я могу говорить наравне со всеми.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Неразрывная связь игры с жизнью позволяет, детям через ситуации, предметы, обсуждения, которые присутствуют в игре, получить опыт как речевой, так и социальный, который понадобится им в жизни.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Игра не заменяет полностью традиционные формы и методы обучения; она рационально их дополняет, позволяя более эффективно достигать поставленной цели и задачи конкретного занятия и всего учебного процесса.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</w:p>
    <w:p>
      <w:pPr>
        <w:pStyle w:val="837"/>
        <w:pBdr/>
        <w:spacing/>
        <w:ind/>
        <w:rPr>
          <w:rStyle w:val="843"/>
          <w:rFonts w:ascii="Times New Roman" w:hAnsi="Times New Roman" w:cs="Times New Roman"/>
          <w:b w:val="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</w:p>
    <w:p>
      <w:pPr>
        <w:pStyle w:val="837"/>
        <w:pBdr/>
        <w:spacing/>
        <w:ind/>
        <w:rPr>
          <w:rStyle w:val="843"/>
          <w:rFonts w:ascii="Times New Roman" w:hAnsi="Times New Roman" w:cs="Times New Roman"/>
          <w:b w:val="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center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/>
        <w:jc w:val="left"/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Источники материалов</w:t>
      </w:r>
      <w:r>
        <w:rPr>
          <w:rStyle w:val="843"/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:</w:t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Style w:val="843"/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837"/>
        <w:pBdr/>
        <w:spacing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1.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Ременчукова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И.Б.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« Игровые технологии на уроках», 2е изд.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.Волгоград : Учитель,2008.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Стронин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М.Ф.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« Обучающие игры на уроке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ностранного языка»,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Москва: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«Просвещение»,1981г.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pBdr/>
        <w:spacing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3.Интернет ресурс: </w:t>
      </w:r>
      <w:r>
        <w:rPr>
          <w:rFonts w:ascii="Times New Roman" w:hAnsi="Times New Roman" w:eastAsia="Times New Roman" w:cs="Times New Roman"/>
          <w:sz w:val="28"/>
          <w:szCs w:val="28"/>
          <w:lang w:val="en-US" w:eastAsia="zh-CN"/>
        </w:rPr>
        <w:t xml:space="preserve">www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en-US" w:eastAsia="zh-CN"/>
        </w:rPr>
        <w:t xml:space="preserve">Petrova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en-US" w:eastAsia="zh-CN"/>
        </w:rPr>
        <w:t xml:space="preserve">edusite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en-US" w:eastAsia="zh-CN"/>
        </w:rPr>
        <w:t xml:space="preserve">ru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pBdr/>
        <w:spacing w:line="360" w:lineRule="auto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pBdr/>
        <w:spacing w:after="0" w:line="240" w:lineRule="auto"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pBdr/>
        <w:spacing w:line="242" w:lineRule="auto"/>
        <w:ind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sectPr>
      <w:footnotePr/>
      <w:endnotePr/>
      <w:type w:val="nextPage"/>
      <w:pgSz w:h="16838" w:orient="portrait" w:w="11906"/>
      <w:pgMar w:top="1418" w:right="1418" w:bottom="141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1"/>
    <w:lvlOverride w:ilvl="0">
      <w:startOverride w:val="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7"/>
    <w:next w:val="837"/>
    <w:link w:val="660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link w:val="65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61">
    <w:name w:val="Heading 2"/>
    <w:basedOn w:val="837"/>
    <w:next w:val="837"/>
    <w:link w:val="66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link w:val="66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63">
    <w:name w:val="Heading 3"/>
    <w:basedOn w:val="837"/>
    <w:next w:val="837"/>
    <w:link w:val="66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link w:val="66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65">
    <w:name w:val="Heading 4"/>
    <w:basedOn w:val="837"/>
    <w:next w:val="837"/>
    <w:link w:val="66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link w:val="66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7"/>
    <w:next w:val="837"/>
    <w:link w:val="66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link w:val="66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7"/>
    <w:next w:val="837"/>
    <w:link w:val="67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link w:val="66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7"/>
    <w:next w:val="837"/>
    <w:link w:val="67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link w:val="67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7"/>
    <w:next w:val="837"/>
    <w:link w:val="67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link w:val="67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7"/>
    <w:next w:val="837"/>
    <w:link w:val="67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link w:val="67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77">
    <w:name w:val="List Paragraph"/>
    <w:basedOn w:val="837"/>
    <w:uiPriority w:val="34"/>
    <w:qFormat/>
    <w:pPr>
      <w:pBdr/>
      <w:spacing/>
      <w:ind w:left="720"/>
      <w:contextualSpacing w:val="true"/>
    </w:pPr>
  </w:style>
  <w:style w:type="paragraph" w:styleId="678">
    <w:name w:val="No Spacing"/>
    <w:uiPriority w:val="1"/>
    <w:qFormat/>
    <w:pPr>
      <w:pBdr/>
      <w:spacing w:after="0" w:before="0" w:line="240" w:lineRule="auto"/>
      <w:ind/>
    </w:pPr>
  </w:style>
  <w:style w:type="paragraph" w:styleId="679">
    <w:name w:val="Title"/>
    <w:basedOn w:val="837"/>
    <w:next w:val="837"/>
    <w:link w:val="68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80">
    <w:name w:val="Title Char"/>
    <w:link w:val="679"/>
    <w:uiPriority w:val="10"/>
    <w:pPr>
      <w:pBdr/>
      <w:spacing/>
      <w:ind/>
    </w:pPr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82">
    <w:name w:val="Subtitle Char"/>
    <w:link w:val="681"/>
    <w:uiPriority w:val="11"/>
    <w:pPr>
      <w:pBdr/>
      <w:spacing/>
      <w:ind/>
    </w:pPr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pBdr/>
      <w:spacing/>
      <w:ind w:right="720" w:left="720"/>
    </w:pPr>
    <w:rPr>
      <w:i/>
    </w:rPr>
  </w:style>
  <w:style w:type="character" w:styleId="684">
    <w:name w:val="Quote Char"/>
    <w:link w:val="683"/>
    <w:uiPriority w:val="29"/>
    <w:pPr>
      <w:pBdr/>
      <w:spacing/>
      <w:ind/>
    </w:pPr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86">
    <w:name w:val="Intense Quote Char"/>
    <w:link w:val="685"/>
    <w:uiPriority w:val="30"/>
    <w:pPr>
      <w:pBdr/>
      <w:spacing/>
      <w:ind/>
    </w:pPr>
    <w:rPr>
      <w:i/>
    </w:rPr>
  </w:style>
  <w:style w:type="paragraph" w:styleId="687">
    <w:name w:val="Header"/>
    <w:basedOn w:val="837"/>
    <w:link w:val="68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88">
    <w:name w:val="Header Char"/>
    <w:link w:val="687"/>
    <w:uiPriority w:val="99"/>
    <w:pPr>
      <w:pBdr/>
      <w:spacing/>
      <w:ind/>
    </w:pPr>
  </w:style>
  <w:style w:type="paragraph" w:styleId="689">
    <w:name w:val="Footer"/>
    <w:basedOn w:val="837"/>
    <w:link w:val="69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0">
    <w:name w:val="Footer Char"/>
    <w:link w:val="689"/>
    <w:uiPriority w:val="99"/>
    <w:pPr>
      <w:pBdr/>
      <w:spacing/>
      <w:ind/>
    </w:pPr>
  </w:style>
  <w:style w:type="paragraph" w:styleId="691">
    <w:name w:val="Caption"/>
    <w:basedOn w:val="837"/>
    <w:next w:val="83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  <w:pPr>
      <w:pBdr/>
      <w:spacing/>
      <w:ind/>
    </w:pPr>
  </w:style>
  <w:style w:type="table" w:styleId="693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1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21">
    <w:name w:val="Footnote Text Char"/>
    <w:link w:val="820"/>
    <w:uiPriority w:val="99"/>
    <w:pPr>
      <w:pBdr/>
      <w:spacing/>
      <w:ind/>
    </w:pPr>
    <w:rPr>
      <w:sz w:val="18"/>
    </w:rPr>
  </w:style>
  <w:style w:type="character" w:styleId="82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24">
    <w:name w:val="Endnote Text Char"/>
    <w:link w:val="823"/>
    <w:uiPriority w:val="99"/>
    <w:pPr>
      <w:pBdr/>
      <w:spacing/>
      <w:ind/>
    </w:pPr>
    <w:rPr>
      <w:sz w:val="20"/>
    </w:rPr>
  </w:style>
  <w:style w:type="character" w:styleId="82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pBdr/>
      <w:spacing w:after="57"/>
      <w:ind w:right="0" w:firstLine="0" w:left="0"/>
    </w:pPr>
  </w:style>
  <w:style w:type="paragraph" w:styleId="827">
    <w:name w:val="toc 2"/>
    <w:basedOn w:val="837"/>
    <w:next w:val="837"/>
    <w:uiPriority w:val="39"/>
    <w:unhideWhenUsed/>
    <w:pPr>
      <w:pBdr/>
      <w:spacing w:after="57"/>
      <w:ind w:right="0" w:firstLine="0" w:left="283"/>
    </w:pPr>
  </w:style>
  <w:style w:type="paragraph" w:styleId="828">
    <w:name w:val="toc 3"/>
    <w:basedOn w:val="837"/>
    <w:next w:val="837"/>
    <w:uiPriority w:val="39"/>
    <w:unhideWhenUsed/>
    <w:pPr>
      <w:pBdr/>
      <w:spacing w:after="57"/>
      <w:ind w:right="0" w:firstLine="0" w:left="567"/>
    </w:pPr>
  </w:style>
  <w:style w:type="paragraph" w:styleId="829">
    <w:name w:val="toc 4"/>
    <w:basedOn w:val="837"/>
    <w:next w:val="837"/>
    <w:uiPriority w:val="39"/>
    <w:unhideWhenUsed/>
    <w:pPr>
      <w:pBdr/>
      <w:spacing w:after="57"/>
      <w:ind w:right="0" w:firstLine="0" w:left="850"/>
    </w:pPr>
  </w:style>
  <w:style w:type="paragraph" w:styleId="830">
    <w:name w:val="toc 5"/>
    <w:basedOn w:val="837"/>
    <w:next w:val="837"/>
    <w:uiPriority w:val="39"/>
    <w:unhideWhenUsed/>
    <w:pPr>
      <w:pBdr/>
      <w:spacing w:after="57"/>
      <w:ind w:right="0" w:firstLine="0" w:left="1134"/>
    </w:pPr>
  </w:style>
  <w:style w:type="paragraph" w:styleId="831">
    <w:name w:val="toc 6"/>
    <w:basedOn w:val="837"/>
    <w:next w:val="837"/>
    <w:uiPriority w:val="39"/>
    <w:unhideWhenUsed/>
    <w:pPr>
      <w:pBdr/>
      <w:spacing w:after="57"/>
      <w:ind w:right="0" w:firstLine="0" w:left="1417"/>
    </w:pPr>
  </w:style>
  <w:style w:type="paragraph" w:styleId="832">
    <w:name w:val="toc 7"/>
    <w:basedOn w:val="837"/>
    <w:next w:val="837"/>
    <w:uiPriority w:val="39"/>
    <w:unhideWhenUsed/>
    <w:pPr>
      <w:pBdr/>
      <w:spacing w:after="57"/>
      <w:ind w:right="0" w:firstLine="0" w:left="1701"/>
    </w:pPr>
  </w:style>
  <w:style w:type="paragraph" w:styleId="833">
    <w:name w:val="toc 8"/>
    <w:basedOn w:val="837"/>
    <w:next w:val="837"/>
    <w:uiPriority w:val="39"/>
    <w:unhideWhenUsed/>
    <w:pPr>
      <w:pBdr/>
      <w:spacing w:after="57"/>
      <w:ind w:right="0" w:firstLine="0" w:left="1984"/>
    </w:pPr>
  </w:style>
  <w:style w:type="paragraph" w:styleId="834">
    <w:name w:val="toc 9"/>
    <w:basedOn w:val="837"/>
    <w:next w:val="837"/>
    <w:uiPriority w:val="39"/>
    <w:unhideWhenUsed/>
    <w:pPr>
      <w:pBdr/>
      <w:spacing w:after="57"/>
      <w:ind w:right="0" w:firstLine="0" w:left="2268"/>
    </w:pPr>
  </w:style>
  <w:style w:type="paragraph" w:styleId="835">
    <w:name w:val="TOC Heading"/>
    <w:uiPriority w:val="39"/>
    <w:unhideWhenUsed/>
    <w:pPr>
      <w:pBdr/>
      <w:spacing/>
      <w:ind/>
    </w:pPr>
  </w:style>
  <w:style w:type="paragraph" w:styleId="836">
    <w:name w:val="table of figures"/>
    <w:basedOn w:val="837"/>
    <w:next w:val="837"/>
    <w:uiPriority w:val="99"/>
    <w:unhideWhenUsed/>
    <w:pPr>
      <w:pBdr/>
      <w:spacing w:after="0" w:afterAutospacing="0"/>
      <w:ind/>
    </w:pPr>
  </w:style>
  <w:style w:type="paragraph" w:styleId="837" w:default="1">
    <w:name w:val="Normal"/>
    <w:next w:val="837"/>
    <w:link w:val="837"/>
    <w:qFormat/>
    <w:pPr>
      <w:pBdr/>
      <w:spacing w:after="200" w:line="276" w:lineRule="auto"/>
      <w:ind/>
    </w:pPr>
    <w:rPr>
      <w:sz w:val="22"/>
      <w:szCs w:val="22"/>
      <w:lang w:val="ru-RU" w:eastAsia="en-US" w:bidi="ar-SA"/>
    </w:rPr>
  </w:style>
  <w:style w:type="character" w:styleId="838">
    <w:name w:val="Основной шрифт абзаца"/>
    <w:next w:val="838"/>
    <w:link w:val="837"/>
    <w:uiPriority w:val="1"/>
    <w:semiHidden/>
    <w:unhideWhenUsed/>
    <w:pPr>
      <w:pBdr/>
      <w:spacing/>
      <w:ind/>
    </w:pPr>
  </w:style>
  <w:style w:type="table" w:styleId="839">
    <w:name w:val="Обычная таблица"/>
    <w:next w:val="839"/>
    <w:link w:val="837"/>
    <w:uiPriority w:val="99"/>
    <w:semiHidden/>
    <w:unhideWhenUsed/>
    <w:qFormat/>
    <w:pPr>
      <w:pBdr/>
      <w:spacing/>
      <w:ind/>
    </w:pPr>
    <w:tblPr>
      <w:tblW w:w="0" w:type="auto"/>
      <w:tblInd w:w="0" w:type="dxa"/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>
    <w:name w:val="Нет списка"/>
    <w:next w:val="840"/>
    <w:link w:val="837"/>
    <w:uiPriority w:val="99"/>
    <w:semiHidden/>
    <w:unhideWhenUsed/>
    <w:pPr>
      <w:pBdr/>
      <w:spacing/>
      <w:ind/>
    </w:pPr>
  </w:style>
  <w:style w:type="paragraph" w:styleId="841">
    <w:name w:val="ОснТкст11"/>
    <w:basedOn w:val="837"/>
    <w:next w:val="841"/>
    <w:link w:val="837"/>
    <w:pPr>
      <w:pBdr/>
      <w:spacing w:after="0" w:line="252" w:lineRule="auto"/>
      <w:ind w:firstLine="357"/>
      <w:jc w:val="both"/>
    </w:pPr>
    <w:rPr>
      <w:rFonts w:ascii="Times New Roman" w:hAnsi="Times New Roman" w:eastAsia="Times New Roman" w:cs="Times New Roman"/>
      <w:lang w:eastAsia="zh-CN"/>
    </w:rPr>
  </w:style>
  <w:style w:type="paragraph" w:styleId="842">
    <w:name w:val="Обычный (веб)"/>
    <w:basedOn w:val="837"/>
    <w:next w:val="842"/>
    <w:link w:val="837"/>
    <w:unhideWhenUsed/>
    <w:pPr>
      <w:pBdr/>
      <w:spacing w:after="100" w:afterAutospacing="1" w:before="100" w:beforeAutospacing="1" w:line="240" w:lineRule="auto"/>
      <w:ind/>
    </w:pPr>
    <w:rPr>
      <w:rFonts w:ascii="Arial" w:hAnsi="Arial" w:eastAsia="Times New Roman" w:cs="Arial"/>
      <w:color w:val="330033"/>
      <w:sz w:val="21"/>
      <w:szCs w:val="21"/>
      <w:lang w:eastAsia="ru-RU"/>
    </w:rPr>
  </w:style>
  <w:style w:type="character" w:styleId="843">
    <w:name w:val="Строгий"/>
    <w:basedOn w:val="838"/>
    <w:next w:val="843"/>
    <w:link w:val="837"/>
    <w:qFormat/>
    <w:pPr>
      <w:pBdr/>
      <w:spacing/>
      <w:ind/>
    </w:pPr>
    <w:rPr>
      <w:b/>
      <w:bCs/>
    </w:rPr>
  </w:style>
  <w:style w:type="paragraph" w:styleId="844">
    <w:name w:val="Верхний колонтитул"/>
    <w:basedOn w:val="837"/>
    <w:next w:val="844"/>
    <w:link w:val="845"/>
    <w:semiHidden/>
    <w:unhideWhenUsed/>
    <w:pPr>
      <w:pBdr/>
      <w:tabs>
        <w:tab w:val="center" w:leader="none" w:pos="4153"/>
        <w:tab w:val="right" w:leader="none" w:pos="8306"/>
      </w:tabs>
      <w:spacing w:after="0" w:line="252" w:lineRule="auto"/>
      <w:ind/>
      <w:jc w:val="both"/>
    </w:pPr>
    <w:rPr>
      <w:rFonts w:ascii="Times New Roman" w:hAnsi="Times New Roman" w:eastAsia="Times New Roman" w:cs="Times New Roman"/>
      <w:lang w:eastAsia="zh-CN"/>
    </w:rPr>
  </w:style>
  <w:style w:type="character" w:styleId="845">
    <w:name w:val="Верхний колонтитул Знак"/>
    <w:basedOn w:val="838"/>
    <w:next w:val="845"/>
    <w:link w:val="844"/>
    <w:semiHidden/>
    <w:pPr>
      <w:pBdr/>
      <w:spacing/>
      <w:ind/>
    </w:pPr>
    <w:rPr>
      <w:rFonts w:ascii="Times New Roman" w:hAnsi="Times New Roman" w:eastAsia="Times New Roman" w:cs="Times New Roman"/>
      <w:lang w:eastAsia="zh-CN"/>
    </w:rPr>
  </w:style>
  <w:style w:type="paragraph" w:styleId="846">
    <w:name w:val="ТкстТит"/>
    <w:basedOn w:val="837"/>
    <w:next w:val="846"/>
    <w:link w:val="837"/>
    <w:pPr>
      <w:pBdr/>
      <w:spacing w:after="0" w:line="252" w:lineRule="auto"/>
      <w:ind w:firstLine="567"/>
      <w:jc w:val="both"/>
    </w:pPr>
    <w:rPr>
      <w:rFonts w:ascii="Times New Roman" w:hAnsi="Times New Roman" w:eastAsia="Times New Roman" w:cs="Times New Roman"/>
      <w:lang w:eastAsia="zh-CN"/>
    </w:rPr>
  </w:style>
  <w:style w:type="paragraph" w:styleId="847">
    <w:name w:val="Без интервала"/>
    <w:next w:val="847"/>
    <w:link w:val="837"/>
    <w:uiPriority w:val="1"/>
    <w:qFormat/>
    <w:pPr>
      <w:pBdr/>
      <w:spacing/>
      <w:ind/>
    </w:pPr>
    <w:rPr>
      <w:sz w:val="22"/>
      <w:szCs w:val="22"/>
      <w:lang w:val="ru-RU" w:eastAsia="en-US" w:bidi="ar-SA"/>
    </w:rPr>
  </w:style>
  <w:style w:type="paragraph" w:styleId="848">
    <w:name w:val="msonormalbullet1.gif"/>
    <w:basedOn w:val="837"/>
    <w:next w:val="848"/>
    <w:link w:val="837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9">
    <w:name w:val="msonormalbullet2.gif"/>
    <w:basedOn w:val="837"/>
    <w:next w:val="849"/>
    <w:link w:val="837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>
    <w:name w:val="Абзац списка"/>
    <w:basedOn w:val="837"/>
    <w:next w:val="850"/>
    <w:link w:val="837"/>
    <w:uiPriority w:val="34"/>
    <w:qFormat/>
    <w:pPr>
      <w:pBdr/>
      <w:spacing/>
      <w:ind w:left="720"/>
      <w:contextualSpacing w:val="true"/>
    </w:pPr>
  </w:style>
  <w:style w:type="paragraph" w:styleId="851">
    <w:name w:val="Основной текст"/>
    <w:basedOn w:val="837"/>
    <w:next w:val="851"/>
    <w:link w:val="852"/>
    <w:semiHidden/>
    <w:unhideWhenUsed/>
    <w:pPr>
      <w:pBdr/>
      <w:spacing w:after="12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>
    <w:name w:val="Основной текст Знак"/>
    <w:basedOn w:val="838"/>
    <w:next w:val="852"/>
    <w:link w:val="851"/>
    <w:semiHidden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3" w:default="1">
    <w:name w:val="Default Paragraph Font"/>
    <w:uiPriority w:val="1"/>
    <w:semiHidden/>
    <w:unhideWhenUsed/>
    <w:pPr>
      <w:pBdr/>
      <w:spacing/>
      <w:ind/>
    </w:pPr>
  </w:style>
  <w:style w:type="numbering" w:styleId="854" w:default="1">
    <w:name w:val="No List"/>
    <w:uiPriority w:val="99"/>
    <w:semiHidden/>
    <w:unhideWhenUsed/>
    <w:pPr>
      <w:pBdr/>
      <w:spacing/>
      <w:ind/>
    </w:pPr>
  </w:style>
  <w:style w:type="table" w:styleId="85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Company>BlackShine TEAM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ANTOSHA!!!</dc:creator>
  <cp:revision>4</cp:revision>
  <dcterms:created xsi:type="dcterms:W3CDTF">2012-06-07T11:59:00Z</dcterms:created>
  <dcterms:modified xsi:type="dcterms:W3CDTF">2024-08-27T15:38:06Z</dcterms:modified>
  <cp:version>786432</cp:version>
</cp:coreProperties>
</file>