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A7D16" w14:textId="77777777" w:rsidR="00D41685" w:rsidRPr="00D41685" w:rsidRDefault="00D41685" w:rsidP="00D4168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41685">
        <w:rPr>
          <w:rFonts w:ascii="Times New Roman" w:eastAsia="Calibri" w:hAnsi="Times New Roman" w:cs="Times New Roman"/>
          <w:b/>
          <w:sz w:val="24"/>
          <w:szCs w:val="24"/>
        </w:rPr>
        <w:t>«Использование наглядных моделей в развитии связной речи у дошкольников с общим недоразвитием речи: опыт практической реализации»</w:t>
      </w:r>
    </w:p>
    <w:p w14:paraId="2698BB30" w14:textId="77777777" w:rsidR="00D41685" w:rsidRPr="00D41685" w:rsidRDefault="00D41685" w:rsidP="00D41685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C51E90B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41685">
        <w:rPr>
          <w:rFonts w:ascii="Times New Roman" w:eastAsia="Calibri" w:hAnsi="Times New Roman" w:cs="Times New Roman"/>
          <w:i/>
          <w:sz w:val="24"/>
          <w:szCs w:val="24"/>
        </w:rPr>
        <w:t>Аннотация.</w:t>
      </w:r>
      <w:r w:rsidRPr="00D4168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D41685">
        <w:rPr>
          <w:rFonts w:ascii="Times New Roman" w:eastAsia="Calibri" w:hAnsi="Times New Roman" w:cs="Times New Roman"/>
          <w:sz w:val="24"/>
          <w:szCs w:val="24"/>
        </w:rPr>
        <w:t xml:space="preserve">В статье раскрывается опыт коррекционно-развивающей работы по формированию связной речи у детей старшего дошкольного возраста с общим недоразвитием речи на основе системного применения наглядных моделей. Представлены диагностические результаты, полученные в ходе педагогического эксперимента, а также обоснована эффективность визуального моделирования как средства формирования смысловой организации речевого высказывания. Предложены практические рекомендации по включению визуальных схем, пиктограмм и </w:t>
      </w:r>
      <w:proofErr w:type="spellStart"/>
      <w:r w:rsidRPr="00D41685">
        <w:rPr>
          <w:rFonts w:ascii="Times New Roman" w:eastAsia="Calibri" w:hAnsi="Times New Roman" w:cs="Times New Roman"/>
          <w:sz w:val="24"/>
          <w:szCs w:val="24"/>
        </w:rPr>
        <w:t>мнемотаблиц</w:t>
      </w:r>
      <w:proofErr w:type="spellEnd"/>
      <w:r w:rsidRPr="00D41685">
        <w:rPr>
          <w:rFonts w:ascii="Times New Roman" w:eastAsia="Calibri" w:hAnsi="Times New Roman" w:cs="Times New Roman"/>
          <w:sz w:val="24"/>
          <w:szCs w:val="24"/>
        </w:rPr>
        <w:t xml:space="preserve"> в структуру логопедических занятий. Сделан вывод о положительном влиянии визуальной опоры на развитие речевого планирования, когнитивной активности и речевой инициативы у детей с речевыми нарушениями.</w:t>
      </w:r>
    </w:p>
    <w:p w14:paraId="7D662535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i/>
          <w:sz w:val="24"/>
          <w:szCs w:val="24"/>
        </w:rPr>
        <w:t>Ключевые слова:</w:t>
      </w:r>
      <w:r w:rsidRPr="00D4168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D41685">
        <w:rPr>
          <w:rFonts w:ascii="Times New Roman" w:eastAsia="Calibri" w:hAnsi="Times New Roman" w:cs="Times New Roman"/>
          <w:sz w:val="24"/>
          <w:szCs w:val="24"/>
        </w:rPr>
        <w:t>связная речь, общее недоразвитие речи, наглядное моделирование, визуальные опоры, логопедия, дошкольники, коррекционная педагогика</w:t>
      </w:r>
    </w:p>
    <w:p w14:paraId="52AE56C4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543886E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 xml:space="preserve">Развитие связной речи у детей дошкольного возраста с общим недоразвитием </w:t>
      </w:r>
      <w:proofErr w:type="gramStart"/>
      <w:r w:rsidRPr="00D41685">
        <w:rPr>
          <w:rFonts w:ascii="Times New Roman" w:eastAsia="Calibri" w:hAnsi="Times New Roman" w:cs="Times New Roman"/>
          <w:sz w:val="24"/>
          <w:szCs w:val="24"/>
        </w:rPr>
        <w:t>речи  представляет</w:t>
      </w:r>
      <w:proofErr w:type="gramEnd"/>
      <w:r w:rsidRPr="00D41685">
        <w:rPr>
          <w:rFonts w:ascii="Times New Roman" w:eastAsia="Calibri" w:hAnsi="Times New Roman" w:cs="Times New Roman"/>
          <w:sz w:val="24"/>
          <w:szCs w:val="24"/>
        </w:rPr>
        <w:t xml:space="preserve"> собой одну из ключевых задач современной логопедии. Нарушения связной речи оказывают существенное влияние не только на коммуникативную активность ребенка, но и на успешность его социализации и подготовки к школьному обучению [3, </w:t>
      </w:r>
      <w:r w:rsidRPr="00D41685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Pr="00D41685">
        <w:rPr>
          <w:rFonts w:ascii="Times New Roman" w:eastAsia="Calibri" w:hAnsi="Times New Roman" w:cs="Times New Roman"/>
          <w:sz w:val="24"/>
          <w:szCs w:val="24"/>
        </w:rPr>
        <w:t>. 41]. В последние годы все большее внимание в логопедической практике уделяется средствам визуализации, которые соответствуют особенностям наглядно-образного мышления дошкольников и позволяют активизировать речемыслительную деятельность [2].</w:t>
      </w:r>
    </w:p>
    <w:p w14:paraId="0AD594AB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>Использование наглядных моделей (</w:t>
      </w:r>
      <w:proofErr w:type="spellStart"/>
      <w:r w:rsidRPr="00D41685">
        <w:rPr>
          <w:rFonts w:ascii="Times New Roman" w:eastAsia="Calibri" w:hAnsi="Times New Roman" w:cs="Times New Roman"/>
          <w:sz w:val="24"/>
          <w:szCs w:val="24"/>
        </w:rPr>
        <w:t>мнемотаблиц</w:t>
      </w:r>
      <w:proofErr w:type="spellEnd"/>
      <w:r w:rsidRPr="00D41685">
        <w:rPr>
          <w:rFonts w:ascii="Times New Roman" w:eastAsia="Calibri" w:hAnsi="Times New Roman" w:cs="Times New Roman"/>
          <w:sz w:val="24"/>
          <w:szCs w:val="24"/>
        </w:rPr>
        <w:t xml:space="preserve">, пиктограмм, логико-семантических схем) позволяет обеспечить структурную организацию высказывания, способствовать формированию речевого планирования, а также преодолевать дефициты смысловой связи между частями текста [5]. Эти модели выступают в роли внешней опоры, которую ребенок в процессе обучения постепенно </w:t>
      </w:r>
      <w:proofErr w:type="spellStart"/>
      <w:r w:rsidRPr="00D41685">
        <w:rPr>
          <w:rFonts w:ascii="Times New Roman" w:eastAsia="Calibri" w:hAnsi="Times New Roman" w:cs="Times New Roman"/>
          <w:sz w:val="24"/>
          <w:szCs w:val="24"/>
        </w:rPr>
        <w:t>интериоризирует</w:t>
      </w:r>
      <w:proofErr w:type="spellEnd"/>
      <w:r w:rsidRPr="00D41685">
        <w:rPr>
          <w:rFonts w:ascii="Times New Roman" w:eastAsia="Calibri" w:hAnsi="Times New Roman" w:cs="Times New Roman"/>
          <w:sz w:val="24"/>
          <w:szCs w:val="24"/>
        </w:rPr>
        <w:t xml:space="preserve">, что соответствует теории поэтапного формирования умственных действий [7, </w:t>
      </w:r>
      <w:r w:rsidRPr="00D41685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Pr="00D41685">
        <w:rPr>
          <w:rFonts w:ascii="Times New Roman" w:eastAsia="Calibri" w:hAnsi="Times New Roman" w:cs="Times New Roman"/>
          <w:sz w:val="24"/>
          <w:szCs w:val="24"/>
        </w:rPr>
        <w:t>. 79].</w:t>
      </w:r>
    </w:p>
    <w:p w14:paraId="3EB51A25" w14:textId="77777777" w:rsidR="00D41685" w:rsidRPr="00D41685" w:rsidRDefault="00D41685" w:rsidP="00D41685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 xml:space="preserve">Несмотря на очевидную эффективность визуальных средств, в практике работы с детьми с </w:t>
      </w:r>
      <w:bookmarkStart w:id="0" w:name="_Hlk201419099"/>
      <w:r w:rsidRPr="00D41685">
        <w:rPr>
          <w:rFonts w:ascii="Times New Roman" w:eastAsia="Calibri" w:hAnsi="Times New Roman" w:cs="Times New Roman"/>
          <w:sz w:val="24"/>
          <w:szCs w:val="24"/>
        </w:rPr>
        <w:t>общим недоразвитием речи</w:t>
      </w:r>
      <w:bookmarkEnd w:id="0"/>
      <w:r w:rsidRPr="00D41685">
        <w:rPr>
          <w:rFonts w:ascii="Times New Roman" w:eastAsia="Calibri" w:hAnsi="Times New Roman" w:cs="Times New Roman"/>
          <w:sz w:val="24"/>
          <w:szCs w:val="24"/>
        </w:rPr>
        <w:t xml:space="preserve"> по-прежнему преобладают традиционные методы, основанные на заучивании, повторении и подражании. Между тем, именно системное и целенаправленное внедрение наглядных моделей может стать основой для построения индивидуализированной логопедической помощи, ориентированной не только на восполнение языковых дефицитов, но и на развитие смысловой организации речи.</w:t>
      </w:r>
    </w:p>
    <w:p w14:paraId="44B8D5DB" w14:textId="77777777" w:rsidR="00D41685" w:rsidRPr="00D41685" w:rsidRDefault="00D41685" w:rsidP="00D41685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lastRenderedPageBreak/>
        <w:t>Настоящая статья представляет результаты опытно-экспериментальной работы, в ходе которой была реализована программа формирования связной речи у детей с общим недоразвитием речи III уровня с использованием системы наглядного моделирования.</w:t>
      </w:r>
    </w:p>
    <w:p w14:paraId="01F1194A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>Целью исследования являлось обоснование эффективности системного применения наглядных моделей в развитии связной речи у детей старшего дошкольного возраста с общим недоразвитием речи III уровня.</w:t>
      </w:r>
    </w:p>
    <w:p w14:paraId="1963E07C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 xml:space="preserve">Методологическую основу составили положения психолингвистики о связи речи и мышления, теория поэтапного формирования умственных действий (П.Я. Гальперин), идеи визуального программирования логопедического воздействия, а также принципы комплексной диагностики речевого развития у детей дошкольного возраста [6, </w:t>
      </w:r>
      <w:r w:rsidRPr="00D41685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Pr="00D41685">
        <w:rPr>
          <w:rFonts w:ascii="Times New Roman" w:eastAsia="Calibri" w:hAnsi="Times New Roman" w:cs="Times New Roman"/>
          <w:sz w:val="24"/>
          <w:szCs w:val="24"/>
        </w:rPr>
        <w:t>. 83].</w:t>
      </w:r>
    </w:p>
    <w:p w14:paraId="27A7BC28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 xml:space="preserve">Для диагностики использовались адаптированные методики: пересказ текста, рассказ по сюжетной картинке, составление описательного рассказа, ответы на вопросы, анализ лексико-грамматических структур. Оценка проводилась по шести параметрам: логическая последовательность, связность содержания, грамматическая правильность, лексическая выразительность, речевая активность, использование средств связи. [9, </w:t>
      </w:r>
      <w:r w:rsidRPr="00D41685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Pr="00D41685">
        <w:rPr>
          <w:rFonts w:ascii="Times New Roman" w:eastAsia="Calibri" w:hAnsi="Times New Roman" w:cs="Times New Roman"/>
          <w:sz w:val="24"/>
          <w:szCs w:val="24"/>
        </w:rPr>
        <w:t>. 115].</w:t>
      </w:r>
    </w:p>
    <w:p w14:paraId="68EA2378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>Исследование проводилось на базе дошкольной образовательной организации, включало 18 детей с общим недоразвитием речи III уровня, разделенных на контрольную и экспериментальную группы по 9 человек. Возраст детей – от 5 до 6 лет. В экспериментальной группе применялась система наглядного моделирования, в контрольной – традиционные логопедические методы.</w:t>
      </w:r>
    </w:p>
    <w:p w14:paraId="795FA3BB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>Диагностика уровня сформированности связной речи проводилась на двух этапах: до и после реализации логопедической системы. Результаты первичной диагностики представлены в табл. 1.</w:t>
      </w:r>
    </w:p>
    <w:p w14:paraId="651947C6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E3671A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>Таблица 1. Средний балл и процент по первичной диагностике (КГ и ЭГ)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41685" w:rsidRPr="00D41685" w14:paraId="1EC3367E" w14:textId="77777777" w:rsidTr="00436783">
        <w:tc>
          <w:tcPr>
            <w:tcW w:w="3115" w:type="dxa"/>
          </w:tcPr>
          <w:p w14:paraId="4FF700B3" w14:textId="77777777" w:rsidR="00D41685" w:rsidRPr="00D41685" w:rsidRDefault="00D41685" w:rsidP="00D41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85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3115" w:type="dxa"/>
          </w:tcPr>
          <w:p w14:paraId="51E2ABF7" w14:textId="77777777" w:rsidR="00D41685" w:rsidRPr="00D41685" w:rsidRDefault="00D41685" w:rsidP="00D41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85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3115" w:type="dxa"/>
          </w:tcPr>
          <w:p w14:paraId="7FEC13DE" w14:textId="77777777" w:rsidR="00D41685" w:rsidRPr="00D41685" w:rsidRDefault="00D41685" w:rsidP="00D41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85">
              <w:rPr>
                <w:rFonts w:ascii="Times New Roman" w:hAnsi="Times New Roman" w:cs="Times New Roman"/>
                <w:sz w:val="24"/>
                <w:szCs w:val="24"/>
              </w:rPr>
              <w:t>% от максимального</w:t>
            </w:r>
          </w:p>
        </w:tc>
      </w:tr>
      <w:tr w:rsidR="00D41685" w:rsidRPr="00D41685" w14:paraId="4D139846" w14:textId="77777777" w:rsidTr="00436783">
        <w:tc>
          <w:tcPr>
            <w:tcW w:w="3115" w:type="dxa"/>
          </w:tcPr>
          <w:p w14:paraId="420E4994" w14:textId="77777777" w:rsidR="00D41685" w:rsidRPr="00D41685" w:rsidRDefault="00D41685" w:rsidP="00D41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85">
              <w:rPr>
                <w:rFonts w:ascii="Times New Roman" w:hAnsi="Times New Roman" w:cs="Times New Roman"/>
                <w:sz w:val="24"/>
                <w:szCs w:val="24"/>
              </w:rPr>
              <w:t>ЭГ</w:t>
            </w:r>
          </w:p>
        </w:tc>
        <w:tc>
          <w:tcPr>
            <w:tcW w:w="3115" w:type="dxa"/>
          </w:tcPr>
          <w:p w14:paraId="39298962" w14:textId="77777777" w:rsidR="00D41685" w:rsidRPr="00D41685" w:rsidRDefault="00D41685" w:rsidP="00D41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85">
              <w:rPr>
                <w:rFonts w:ascii="Times New Roman" w:hAnsi="Times New Roman" w:cs="Times New Roman"/>
                <w:sz w:val="24"/>
                <w:szCs w:val="24"/>
              </w:rPr>
              <w:t>8,67</w:t>
            </w:r>
          </w:p>
        </w:tc>
        <w:tc>
          <w:tcPr>
            <w:tcW w:w="3115" w:type="dxa"/>
          </w:tcPr>
          <w:p w14:paraId="09884D8C" w14:textId="77777777" w:rsidR="00D41685" w:rsidRPr="00D41685" w:rsidRDefault="00D41685" w:rsidP="00D41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85">
              <w:rPr>
                <w:rFonts w:ascii="Times New Roman" w:hAnsi="Times New Roman" w:cs="Times New Roman"/>
                <w:sz w:val="24"/>
                <w:szCs w:val="24"/>
              </w:rPr>
              <w:t>48,2 %</w:t>
            </w:r>
          </w:p>
        </w:tc>
      </w:tr>
      <w:tr w:rsidR="00D41685" w:rsidRPr="00D41685" w14:paraId="672A6CBD" w14:textId="77777777" w:rsidTr="00436783">
        <w:tc>
          <w:tcPr>
            <w:tcW w:w="3115" w:type="dxa"/>
          </w:tcPr>
          <w:p w14:paraId="03C599EA" w14:textId="77777777" w:rsidR="00D41685" w:rsidRPr="00D41685" w:rsidRDefault="00D41685" w:rsidP="00D41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85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115" w:type="dxa"/>
          </w:tcPr>
          <w:p w14:paraId="4EAE4960" w14:textId="77777777" w:rsidR="00D41685" w:rsidRPr="00D41685" w:rsidRDefault="00D41685" w:rsidP="00D41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85">
              <w:rPr>
                <w:rFonts w:ascii="Times New Roman" w:hAnsi="Times New Roman" w:cs="Times New Roman"/>
                <w:sz w:val="24"/>
                <w:szCs w:val="24"/>
              </w:rPr>
              <w:t>7,67</w:t>
            </w:r>
          </w:p>
        </w:tc>
        <w:tc>
          <w:tcPr>
            <w:tcW w:w="3115" w:type="dxa"/>
          </w:tcPr>
          <w:p w14:paraId="0F41B787" w14:textId="77777777" w:rsidR="00D41685" w:rsidRPr="00D41685" w:rsidRDefault="00D41685" w:rsidP="00D41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85">
              <w:rPr>
                <w:rFonts w:ascii="Times New Roman" w:hAnsi="Times New Roman" w:cs="Times New Roman"/>
                <w:sz w:val="24"/>
                <w:szCs w:val="24"/>
              </w:rPr>
              <w:t>42,6 %</w:t>
            </w:r>
          </w:p>
        </w:tc>
      </w:tr>
    </w:tbl>
    <w:p w14:paraId="619A7F6D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176098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>Полученные данные показали, что начальный уровень сформированности связной речи в обеих группах был сопоставимым. Различие между средними баллами составило менее 1 балла, что свидетельствует об эквивалентности выборки (рис. 1).</w:t>
      </w:r>
    </w:p>
    <w:p w14:paraId="3EE1ABEB" w14:textId="77777777" w:rsidR="00D41685" w:rsidRPr="00D41685" w:rsidRDefault="00D41685" w:rsidP="00D41685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3075430" wp14:editId="5B358C0E">
            <wp:extent cx="4857750" cy="3219450"/>
            <wp:effectExtent l="0" t="0" r="0" b="0"/>
            <wp:docPr id="6" name="Рисунок 6" descr="Логопедия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Логопедия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8D2438" w14:textId="77777777" w:rsidR="00D41685" w:rsidRPr="00D41685" w:rsidRDefault="00D41685" w:rsidP="00D41685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>Рисунок 1. Сравнение результатов первичной диагностики (КГ и ЭГ)</w:t>
      </w:r>
    </w:p>
    <w:p w14:paraId="2BB36DFC" w14:textId="77777777" w:rsidR="00D41685" w:rsidRPr="00D41685" w:rsidRDefault="00D41685" w:rsidP="00D41685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D8F16EB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>Формирующий этап включал 36 занятий, каждое из которых было выстроено по логике нарастающей сложности: от пиктограмм к логико-семантическим схемам. Занятия проводились в течение учебного года с сентября 2024 по май 2025 года. По завершении курса, в конце мая 2025 года, была проведена итоговая диагностика речевого развития. Результаты представлены в табл. 2.</w:t>
      </w:r>
    </w:p>
    <w:p w14:paraId="156EFBF5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C49D86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>Таблица 2. Сравнение итоговых показателей после формирующего этапа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41685" w:rsidRPr="00D41685" w14:paraId="2263870B" w14:textId="77777777" w:rsidTr="00436783">
        <w:tc>
          <w:tcPr>
            <w:tcW w:w="3115" w:type="dxa"/>
          </w:tcPr>
          <w:p w14:paraId="5ADC0E5F" w14:textId="77777777" w:rsidR="00D41685" w:rsidRPr="00D41685" w:rsidRDefault="00D41685" w:rsidP="00D41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85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3115" w:type="dxa"/>
          </w:tcPr>
          <w:p w14:paraId="4720338B" w14:textId="77777777" w:rsidR="00D41685" w:rsidRPr="00D41685" w:rsidRDefault="00D41685" w:rsidP="00D41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85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3115" w:type="dxa"/>
          </w:tcPr>
          <w:p w14:paraId="39663DF4" w14:textId="77777777" w:rsidR="00D41685" w:rsidRPr="00D41685" w:rsidRDefault="00D41685" w:rsidP="00D41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85">
              <w:rPr>
                <w:rFonts w:ascii="Times New Roman" w:hAnsi="Times New Roman" w:cs="Times New Roman"/>
                <w:sz w:val="24"/>
                <w:szCs w:val="24"/>
              </w:rPr>
              <w:t>% от максимального</w:t>
            </w:r>
          </w:p>
        </w:tc>
      </w:tr>
      <w:tr w:rsidR="00D41685" w:rsidRPr="00D41685" w14:paraId="2C8A8BDD" w14:textId="77777777" w:rsidTr="00436783">
        <w:tc>
          <w:tcPr>
            <w:tcW w:w="3115" w:type="dxa"/>
          </w:tcPr>
          <w:p w14:paraId="5F407CD2" w14:textId="77777777" w:rsidR="00D41685" w:rsidRPr="00D41685" w:rsidRDefault="00D41685" w:rsidP="00D41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85">
              <w:rPr>
                <w:rFonts w:ascii="Times New Roman" w:hAnsi="Times New Roman" w:cs="Times New Roman"/>
                <w:sz w:val="24"/>
                <w:szCs w:val="24"/>
              </w:rPr>
              <w:t>ЭГ</w:t>
            </w:r>
          </w:p>
        </w:tc>
        <w:tc>
          <w:tcPr>
            <w:tcW w:w="3115" w:type="dxa"/>
          </w:tcPr>
          <w:p w14:paraId="48017D99" w14:textId="77777777" w:rsidR="00D41685" w:rsidRPr="00D41685" w:rsidRDefault="00D41685" w:rsidP="00D41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85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3115" w:type="dxa"/>
          </w:tcPr>
          <w:p w14:paraId="7C3C3357" w14:textId="77777777" w:rsidR="00D41685" w:rsidRPr="00D41685" w:rsidRDefault="00D41685" w:rsidP="00D41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85">
              <w:rPr>
                <w:rFonts w:ascii="Times New Roman" w:hAnsi="Times New Roman" w:cs="Times New Roman"/>
                <w:sz w:val="24"/>
                <w:szCs w:val="24"/>
              </w:rPr>
              <w:t>79,0 %</w:t>
            </w:r>
          </w:p>
        </w:tc>
      </w:tr>
      <w:tr w:rsidR="00D41685" w:rsidRPr="00D41685" w14:paraId="74EC9A8A" w14:textId="77777777" w:rsidTr="00436783">
        <w:tc>
          <w:tcPr>
            <w:tcW w:w="3115" w:type="dxa"/>
          </w:tcPr>
          <w:p w14:paraId="5A246F7B" w14:textId="77777777" w:rsidR="00D41685" w:rsidRPr="00D41685" w:rsidRDefault="00D41685" w:rsidP="00D41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85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115" w:type="dxa"/>
          </w:tcPr>
          <w:p w14:paraId="42D5A57D" w14:textId="77777777" w:rsidR="00D41685" w:rsidRPr="00D41685" w:rsidRDefault="00D41685" w:rsidP="00D41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85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3115" w:type="dxa"/>
          </w:tcPr>
          <w:p w14:paraId="193A8427" w14:textId="77777777" w:rsidR="00D41685" w:rsidRPr="00D41685" w:rsidRDefault="00D41685" w:rsidP="00D41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85">
              <w:rPr>
                <w:rFonts w:ascii="Times New Roman" w:hAnsi="Times New Roman" w:cs="Times New Roman"/>
                <w:sz w:val="24"/>
                <w:szCs w:val="24"/>
              </w:rPr>
              <w:t>54,9 %</w:t>
            </w:r>
          </w:p>
        </w:tc>
      </w:tr>
    </w:tbl>
    <w:p w14:paraId="33F1A030" w14:textId="77777777" w:rsidR="00D41685" w:rsidRPr="00D41685" w:rsidRDefault="00D41685" w:rsidP="00D41685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79B153F" w14:textId="77777777" w:rsidR="00D41685" w:rsidRPr="00D41685" w:rsidRDefault="00D41685" w:rsidP="00D41685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ab/>
        <w:t>Данные табл. 2 показывают, что все участники экспериментальной группы продемонстрировали положительную динамику речевого развития, выражающуюся в приросте итоговых баллов по сравнению с результатами констатирующего этапа. Для наглядного представления полученных результатов и акцента на общем уровне прогресса сформированности связной речи представлена соответствующая столбчатая диаграмма (рис. 2).</w:t>
      </w:r>
    </w:p>
    <w:p w14:paraId="738AFA7C" w14:textId="77777777" w:rsidR="00D41685" w:rsidRPr="00D41685" w:rsidRDefault="00D41685" w:rsidP="00D41685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04ACE07" wp14:editId="40CEAD52">
            <wp:extent cx="4705350" cy="3124200"/>
            <wp:effectExtent l="0" t="0" r="0" b="0"/>
            <wp:docPr id="5" name="Рисунок 5" descr="Логопеды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Логопеды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B856C4" w14:textId="77777777" w:rsidR="00D41685" w:rsidRPr="00D41685" w:rsidRDefault="00D41685" w:rsidP="00D41685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>Рисунок 2. Прирост среднего балла по итогам формирующего этапа</w:t>
      </w:r>
    </w:p>
    <w:p w14:paraId="7BE57072" w14:textId="77777777" w:rsidR="00D41685" w:rsidRPr="00D41685" w:rsidRDefault="00D41685" w:rsidP="00D41685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C17BE0D" w14:textId="77777777" w:rsidR="00D41685" w:rsidRPr="00D41685" w:rsidRDefault="00D41685" w:rsidP="00D41685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ab/>
        <w:t>Данные на рис. 2 показывают, что в экспериментальной группе прирост составил в среднем +5,13 баллов, или 30,8 %, в то время как в контрольной – +2,27 балла, или 12,3 %. Это подтверждает эффективность наглядного моделирования как коррекционно-развивающего инструмента.</w:t>
      </w:r>
    </w:p>
    <w:p w14:paraId="25E2BD49" w14:textId="77777777" w:rsidR="00D41685" w:rsidRPr="00D41685" w:rsidRDefault="00D41685" w:rsidP="00D41685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ab/>
        <w:t xml:space="preserve">Такая разница в динамике развития связной речи между группами подтверждает значительное преимущество использования визуальных моделей в логопедической практике. Особую ценность представляет тот факт, что улучшения охватывают не отдельные аспекты, а всю структуру речевого высказывания – от логической организованности и грамматической точности до смысловой полноты и речевой инициативы [2; 10, </w:t>
      </w:r>
      <w:r w:rsidRPr="00D41685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Pr="00D41685">
        <w:rPr>
          <w:rFonts w:ascii="Times New Roman" w:eastAsia="Calibri" w:hAnsi="Times New Roman" w:cs="Times New Roman"/>
          <w:sz w:val="24"/>
          <w:szCs w:val="24"/>
        </w:rPr>
        <w:t>. 156].</w:t>
      </w:r>
    </w:p>
    <w:p w14:paraId="068454B7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 xml:space="preserve">Качественный анализ речевых продуктов детей экспериментальной группы выявил рост числа развернутых, тематически целостных высказываний, повышение самостоятельности при составлении рассказов и использование сложных синтаксических конструкций. Наблюдалось, что дети стали активнее использовать связующие элементы (союзы, вводные слова), а их речь приобрела большую осмысленность и структурированность </w:t>
      </w:r>
      <w:r w:rsidRPr="00D41685">
        <w:rPr>
          <w:rFonts w:ascii="Times New Roman" w:eastAsia="Calibri" w:hAnsi="Times New Roman" w:cs="Times New Roman"/>
          <w:sz w:val="24"/>
          <w:szCs w:val="24"/>
        </w:rPr>
        <w:br/>
        <w:t xml:space="preserve">[5; 8, </w:t>
      </w:r>
      <w:r w:rsidRPr="00D41685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Pr="00D41685">
        <w:rPr>
          <w:rFonts w:ascii="Times New Roman" w:eastAsia="Calibri" w:hAnsi="Times New Roman" w:cs="Times New Roman"/>
          <w:sz w:val="24"/>
          <w:szCs w:val="24"/>
        </w:rPr>
        <w:t>. 34].</w:t>
      </w:r>
    </w:p>
    <w:p w14:paraId="1DB2B6FE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 xml:space="preserve">Существенное значение имеет и высокая устойчивость полученных результатов. Через три недели после окончания формирующего этапа была проведена отсроченная диагностика, подтвердившая сохранение сформированных речевых навыков. Средний балл в экспериментальной группе снизился незначительно – с 13,8 до 13,2, тогда как в </w:t>
      </w:r>
      <w:r w:rsidRPr="00D4168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контрольной группе наблюдался более выраженный откат (с 10,0 до 8,9). Это позволяет утверждать, что визуальное моделирование не только способствует формированию, но и закреплению речевых умений, поддерживая их перенос во внутренний план речи [11, </w:t>
      </w:r>
      <w:r w:rsidRPr="00D41685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Pr="00D41685">
        <w:rPr>
          <w:rFonts w:ascii="Times New Roman" w:eastAsia="Calibri" w:hAnsi="Times New Roman" w:cs="Times New Roman"/>
          <w:sz w:val="24"/>
          <w:szCs w:val="24"/>
        </w:rPr>
        <w:t>. 19].</w:t>
      </w:r>
    </w:p>
    <w:p w14:paraId="6C22DED3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 xml:space="preserve">Проведенное исследование продемонстрировало, что системное использование наглядных моделей (пиктограмм, </w:t>
      </w:r>
      <w:proofErr w:type="spellStart"/>
      <w:r w:rsidRPr="00D41685">
        <w:rPr>
          <w:rFonts w:ascii="Times New Roman" w:eastAsia="Calibri" w:hAnsi="Times New Roman" w:cs="Times New Roman"/>
          <w:sz w:val="24"/>
          <w:szCs w:val="24"/>
        </w:rPr>
        <w:t>мнемотаблиц</w:t>
      </w:r>
      <w:proofErr w:type="spellEnd"/>
      <w:r w:rsidRPr="00D41685">
        <w:rPr>
          <w:rFonts w:ascii="Times New Roman" w:eastAsia="Calibri" w:hAnsi="Times New Roman" w:cs="Times New Roman"/>
          <w:sz w:val="24"/>
          <w:szCs w:val="24"/>
        </w:rPr>
        <w:t>, логико-семантических схем) оказывает комплексное влияние на развитие связной речи у детей с общим недоразвитием речи. Метод позволяет выстроить поэтапную, индивидуализированную коррекционную работу и обеспечивает положительный эффект как в краткосрочной, так и в долгосрочной перспективе [1].</w:t>
      </w:r>
    </w:p>
    <w:p w14:paraId="10CB3978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 xml:space="preserve">Внедрение визуального моделирования в логопедическую практику рекомендовано не только как эффективная методика, но и как способ повышения речевой мотивации, вовлеченности и самостоятельности детей. Использование данного подхода может быть масштабировано для работы в инклюзивных условиях, а также интегрировано в подготовку к обучению в начальной школе [4, </w:t>
      </w:r>
      <w:r w:rsidRPr="00D41685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Pr="00D41685">
        <w:rPr>
          <w:rFonts w:ascii="Times New Roman" w:eastAsia="Calibri" w:hAnsi="Times New Roman" w:cs="Times New Roman"/>
          <w:sz w:val="24"/>
          <w:szCs w:val="24"/>
        </w:rPr>
        <w:t>. 225].</w:t>
      </w:r>
    </w:p>
    <w:p w14:paraId="5F686AF6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>По результатам опытно-экспериментальной работы сформулированы практические рекомендации для специалистов дошкольного образования и логопедов, работающих с детьми с общим недоразвитием речи III уровня:</w:t>
      </w:r>
    </w:p>
    <w:p w14:paraId="43DC4C50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 xml:space="preserve">1.  Занятия следует строить по логике постепенного усложнения визуальной поддержки: от пиктограмм и </w:t>
      </w:r>
      <w:proofErr w:type="spellStart"/>
      <w:r w:rsidRPr="00D41685">
        <w:rPr>
          <w:rFonts w:ascii="Times New Roman" w:eastAsia="Calibri" w:hAnsi="Times New Roman" w:cs="Times New Roman"/>
          <w:sz w:val="24"/>
          <w:szCs w:val="24"/>
        </w:rPr>
        <w:t>мнемотаблиц</w:t>
      </w:r>
      <w:proofErr w:type="spellEnd"/>
      <w:r w:rsidRPr="00D41685">
        <w:rPr>
          <w:rFonts w:ascii="Times New Roman" w:eastAsia="Calibri" w:hAnsi="Times New Roman" w:cs="Times New Roman"/>
          <w:sz w:val="24"/>
          <w:szCs w:val="24"/>
        </w:rPr>
        <w:t xml:space="preserve"> к логико-семантическим моделям. Это обеспечивает естественный переход от ситуативной к связной речи.</w:t>
      </w:r>
    </w:p>
    <w:p w14:paraId="756876F2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>2. Системное использование моделей на всех этапах занятия. Визуальные схемы следует применять при постановке темы, в процессе рассказа, на этапе анализа и самооценки. Модели служат не заменой речи, а ее опорой.</w:t>
      </w:r>
    </w:p>
    <w:p w14:paraId="43A8129B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>3. Вовлечение детей в самостоятельное моделирование. Совместное с детьми создание схем и подбор визуальных символов усиливает осознанность речевого действия и стимулирует развитие речевого планирования.</w:t>
      </w:r>
    </w:p>
    <w:p w14:paraId="21DEA558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>4. Регулярное отслеживание динамики развития речи. Рекомендуется вести индивидуальные карты наблюдений по ключевым параметрам (логика, связность, грамматика, лексика, активность, средства связи), что позволяет своевременно корректировать подбор моделей.</w:t>
      </w:r>
    </w:p>
    <w:p w14:paraId="7579DD0F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>5. Обеспечение преемственности с начальной школой. Необходимо передавать педагогам начального звена информацию о типах визуальных моделей, которые были наиболее эффективны в работе с конкретным ребенком, а также примеры использованных схем.</w:t>
      </w:r>
    </w:p>
    <w:p w14:paraId="5F227C36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lastRenderedPageBreak/>
        <w:t>6. Создание развивающей речевой среды. Использование наглядного моделирования должно выходить за пределы логопедических занятий – модели могут быть включены в свободную игровую деятельность, совместное планирование, рассказывание о событиях дня.</w:t>
      </w:r>
    </w:p>
    <w:p w14:paraId="490415E2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>Реализация указанных рекомендаций позволяет повысить эффективность коррекционной работы, обеспечить устойчивость сформированных речевых навыков и создать условия для дальнейшего речевого и познавательного развития дошкольников с общим недоразвитием речи.</w:t>
      </w:r>
    </w:p>
    <w:p w14:paraId="3CC85904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>Таким образом, проведенное исследование подтвердило высокую эффективность наглядного моделирования как метода коррекционно-развивающего воздействия при формировании связной речи у дошкольников с общим недоразвитием речи III уровня. Динамика диагностических показателей, значительное отличие между контрольной и экспериментальной группами, а также устойчивость сформированных умений в спонтанной и отсроченной речи свидетельствуют о результативности системного применения визуальных моделей.</w:t>
      </w:r>
    </w:p>
    <w:p w14:paraId="6D0BC717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 xml:space="preserve">Разработанная система коррекционно-развивающих занятий, построенная на принципах </w:t>
      </w:r>
      <w:proofErr w:type="spellStart"/>
      <w:r w:rsidRPr="00D41685">
        <w:rPr>
          <w:rFonts w:ascii="Times New Roman" w:eastAsia="Calibri" w:hAnsi="Times New Roman" w:cs="Times New Roman"/>
          <w:sz w:val="24"/>
          <w:szCs w:val="24"/>
        </w:rPr>
        <w:t>поэтапности</w:t>
      </w:r>
      <w:proofErr w:type="spellEnd"/>
      <w:r w:rsidRPr="00D41685">
        <w:rPr>
          <w:rFonts w:ascii="Times New Roman" w:eastAsia="Calibri" w:hAnsi="Times New Roman" w:cs="Times New Roman"/>
          <w:sz w:val="24"/>
          <w:szCs w:val="24"/>
        </w:rPr>
        <w:t xml:space="preserve">, дифференциации и интеграции моделей в структуру высказывания, показала не только рост речевых показателей, но и повышение речевой инициативы, мотивации и способности детей к смысловой организации текста. </w:t>
      </w:r>
      <w:proofErr w:type="spellStart"/>
      <w:r w:rsidRPr="00D41685">
        <w:rPr>
          <w:rFonts w:ascii="Times New Roman" w:eastAsia="Calibri" w:hAnsi="Times New Roman" w:cs="Times New Roman"/>
          <w:sz w:val="24"/>
          <w:szCs w:val="24"/>
        </w:rPr>
        <w:t>Практикоориентированные</w:t>
      </w:r>
      <w:proofErr w:type="spellEnd"/>
      <w:r w:rsidRPr="00D41685">
        <w:rPr>
          <w:rFonts w:ascii="Times New Roman" w:eastAsia="Calibri" w:hAnsi="Times New Roman" w:cs="Times New Roman"/>
          <w:sz w:val="24"/>
          <w:szCs w:val="24"/>
        </w:rPr>
        <w:t xml:space="preserve"> рекомендации, предложенные на основании экспериментальных данных, позволяют включать метод наглядного моделирования в повседневную логопедическую практику и образовательную среду дошкольных учреждений.</w:t>
      </w:r>
    </w:p>
    <w:p w14:paraId="77E1B8FC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>Результаты проведенного исследования подтверждают, что визуальное моделирование может служить основой формирования речевой компетентности, обеспечивая готовность ребенка к успешному обучению и взаимодействию в различных коммуникативных ситуациях.</w:t>
      </w:r>
    </w:p>
    <w:p w14:paraId="298290A9" w14:textId="77777777" w:rsidR="00D41685" w:rsidRPr="00D41685" w:rsidRDefault="00D41685" w:rsidP="00D41685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F479A4" w14:textId="77777777" w:rsidR="00D41685" w:rsidRPr="00D41685" w:rsidRDefault="00D41685" w:rsidP="00D4168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41685">
        <w:rPr>
          <w:rFonts w:ascii="Times New Roman" w:eastAsia="Calibri" w:hAnsi="Times New Roman" w:cs="Times New Roman"/>
          <w:b/>
          <w:sz w:val="24"/>
          <w:szCs w:val="24"/>
        </w:rPr>
        <w:t>Список литературы</w:t>
      </w:r>
    </w:p>
    <w:p w14:paraId="0DEB3EAE" w14:textId="77777777" w:rsidR="00D41685" w:rsidRPr="00D41685" w:rsidRDefault="00D41685" w:rsidP="00D41685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4D0523C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 xml:space="preserve">1. Азанова А. А., Калинина О. В. Метод наглядного моделирования как эффективное средство формирования лексико-грамматического строя речи у старших дошкольников с ОНР III уровня // XIII Международная научно-практическая конференция «Педагогическое образование: традиции, инновации, поиски, перспективы». – 2024. – URL: </w:t>
      </w:r>
      <w:r w:rsidRPr="00D41685">
        <w:rPr>
          <w:rFonts w:ascii="Times New Roman" w:eastAsia="Calibri" w:hAnsi="Times New Roman" w:cs="Times New Roman"/>
          <w:sz w:val="24"/>
          <w:szCs w:val="24"/>
        </w:rPr>
        <w:lastRenderedPageBreak/>
        <w:t>https://nsportal.ru/detskiy-sad/korrektsionnaya-pedagogika/2024/02/16/metod-naglyadnogo-modelirovaniya-kak-effektivnoe (дата обращения: 04.06.2025).</w:t>
      </w:r>
    </w:p>
    <w:p w14:paraId="16EF840B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>2. Ващенко В. А. Развитие связной речи у детей старшего дошкольного возраста с ОНР в процессе использования метода наглядного моделирования // Теория и практика современной науки. – 2023. – № 5 (95). – URL: https://sciup.org/140299548 (дата обращения: 04.06.2025).</w:t>
      </w:r>
    </w:p>
    <w:p w14:paraId="7DA94EF8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>3. Волкова Г.А. Методика психолого-логопедического обследования детей с нарушениями речи: учеб. пособие. – М.: Просвещение, 2004. – 144 с.</w:t>
      </w:r>
    </w:p>
    <w:p w14:paraId="63476A0A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>4. Завалишина О. В., Черепанова И. А. Особенности формирования связной речи детей старшего дошкольного возраста с общим недоразвитием речи III уровня // Молодой ученый. – 2024. – № 13 (512). – С. 223–226. – URL: https://moluch.ru/archive/512/112298/ (дата обращения: 04.06.2025).</w:t>
      </w:r>
    </w:p>
    <w:p w14:paraId="45BBFBD7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 xml:space="preserve">5. Зяблова Е. А., Логинова Д. Н., Логинов А. Н. Педагогические условия обучения детей старшего дошкольного возраста монологической речи с использованием метода наглядного моделирования на основе </w:t>
      </w:r>
      <w:proofErr w:type="spellStart"/>
      <w:r w:rsidRPr="00D41685">
        <w:rPr>
          <w:rFonts w:ascii="Times New Roman" w:eastAsia="Calibri" w:hAnsi="Times New Roman" w:cs="Times New Roman"/>
          <w:sz w:val="24"/>
          <w:szCs w:val="24"/>
        </w:rPr>
        <w:t>мнемотаблиц</w:t>
      </w:r>
      <w:proofErr w:type="spellEnd"/>
      <w:r w:rsidRPr="00D41685">
        <w:rPr>
          <w:rFonts w:ascii="Times New Roman" w:eastAsia="Calibri" w:hAnsi="Times New Roman" w:cs="Times New Roman"/>
          <w:sz w:val="24"/>
          <w:szCs w:val="24"/>
        </w:rPr>
        <w:t xml:space="preserve"> // Дошкольное образование и воспитание. – 2024. – Т. 9. – № 6. – DOI: 10.30853/ped20240070. – URL: https://pedagogy-journal.ru/article/ped20240070/fulltext (дата обращения: 04.06.2025).</w:t>
      </w:r>
    </w:p>
    <w:p w14:paraId="57B94AC2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>6. Левина Р.Е. Основы теории и практики логопедии / под ред. Р.Е. Левиной. – М.: Просвещение, 1995. – 240 с.</w:t>
      </w:r>
    </w:p>
    <w:p w14:paraId="7A75E4A4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 xml:space="preserve">7. </w:t>
      </w:r>
      <w:proofErr w:type="spellStart"/>
      <w:r w:rsidRPr="00D41685">
        <w:rPr>
          <w:rFonts w:ascii="Times New Roman" w:eastAsia="Calibri" w:hAnsi="Times New Roman" w:cs="Times New Roman"/>
          <w:sz w:val="24"/>
          <w:szCs w:val="24"/>
        </w:rPr>
        <w:t>Лалаева</w:t>
      </w:r>
      <w:proofErr w:type="spellEnd"/>
      <w:r w:rsidRPr="00D41685">
        <w:rPr>
          <w:rFonts w:ascii="Times New Roman" w:eastAsia="Calibri" w:hAnsi="Times New Roman" w:cs="Times New Roman"/>
          <w:sz w:val="24"/>
          <w:szCs w:val="24"/>
        </w:rPr>
        <w:t xml:space="preserve"> Р.И. Методика психолингвистического исследования нарушений речи: учебно-методическое пособие. – Санкт-Петербург: Наука-Питер, 2006. – 102 с.</w:t>
      </w:r>
    </w:p>
    <w:p w14:paraId="17D16490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 xml:space="preserve">8. </w:t>
      </w:r>
      <w:proofErr w:type="spellStart"/>
      <w:r w:rsidRPr="00D41685">
        <w:rPr>
          <w:rFonts w:ascii="Times New Roman" w:eastAsia="Calibri" w:hAnsi="Times New Roman" w:cs="Times New Roman"/>
          <w:sz w:val="24"/>
          <w:szCs w:val="24"/>
        </w:rPr>
        <w:t>Манкевич</w:t>
      </w:r>
      <w:proofErr w:type="spellEnd"/>
      <w:r w:rsidRPr="00D41685">
        <w:rPr>
          <w:rFonts w:ascii="Times New Roman" w:eastAsia="Calibri" w:hAnsi="Times New Roman" w:cs="Times New Roman"/>
          <w:sz w:val="24"/>
          <w:szCs w:val="24"/>
        </w:rPr>
        <w:t xml:space="preserve"> А. С. Наглядное моделирование как метод обучения детей дошкольного возраста // Вестник ВОИРО. – 2024. – № 3(12). – С. 32–36. – URL: https://vestnik.voiro.by/files/01537/obj/145/33123/doc/Манкевич.pdf (дата обращения: 04.06.2025).</w:t>
      </w:r>
    </w:p>
    <w:p w14:paraId="570B9AE3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 xml:space="preserve">9. Ушакова О. С., Струнина Е. М. Методика развития речи детей дошкольного возраста: учеб.-метод. пособие для педагогов </w:t>
      </w:r>
      <w:proofErr w:type="spellStart"/>
      <w:r w:rsidRPr="00D41685">
        <w:rPr>
          <w:rFonts w:ascii="Times New Roman" w:eastAsia="Calibri" w:hAnsi="Times New Roman" w:cs="Times New Roman"/>
          <w:sz w:val="24"/>
          <w:szCs w:val="24"/>
        </w:rPr>
        <w:t>дошк</w:t>
      </w:r>
      <w:proofErr w:type="spellEnd"/>
      <w:r w:rsidRPr="00D41685">
        <w:rPr>
          <w:rFonts w:ascii="Times New Roman" w:eastAsia="Calibri" w:hAnsi="Times New Roman" w:cs="Times New Roman"/>
          <w:sz w:val="24"/>
          <w:szCs w:val="24"/>
        </w:rPr>
        <w:t xml:space="preserve">. учреждений. – М.: </w:t>
      </w:r>
      <w:proofErr w:type="spellStart"/>
      <w:r w:rsidRPr="00D41685">
        <w:rPr>
          <w:rFonts w:ascii="Times New Roman" w:eastAsia="Calibri" w:hAnsi="Times New Roman" w:cs="Times New Roman"/>
          <w:sz w:val="24"/>
          <w:szCs w:val="24"/>
        </w:rPr>
        <w:t>Владос</w:t>
      </w:r>
      <w:proofErr w:type="spellEnd"/>
      <w:r w:rsidRPr="00D41685">
        <w:rPr>
          <w:rFonts w:ascii="Times New Roman" w:eastAsia="Calibri" w:hAnsi="Times New Roman" w:cs="Times New Roman"/>
          <w:sz w:val="24"/>
          <w:szCs w:val="24"/>
        </w:rPr>
        <w:t>, 2003. – 287 с.</w:t>
      </w:r>
    </w:p>
    <w:p w14:paraId="7341E79B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>10. Филичева Т. Б., Чиркина Г. В. Устранение общего недоразвития речи у детей дошкольного возраста. – М.: ИАЙРИС ПРЕСС, 2008. – 224 с.</w:t>
      </w:r>
    </w:p>
    <w:p w14:paraId="425F09CA" w14:textId="77777777" w:rsidR="00D41685" w:rsidRPr="00D41685" w:rsidRDefault="00D41685" w:rsidP="00D4168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685">
        <w:rPr>
          <w:rFonts w:ascii="Times New Roman" w:eastAsia="Calibri" w:hAnsi="Times New Roman" w:cs="Times New Roman"/>
          <w:sz w:val="24"/>
          <w:szCs w:val="24"/>
        </w:rPr>
        <w:t xml:space="preserve">11. </w:t>
      </w:r>
      <w:proofErr w:type="spellStart"/>
      <w:r w:rsidRPr="00D41685">
        <w:rPr>
          <w:rFonts w:ascii="Times New Roman" w:eastAsia="Calibri" w:hAnsi="Times New Roman" w:cs="Times New Roman"/>
          <w:sz w:val="24"/>
          <w:szCs w:val="24"/>
        </w:rPr>
        <w:t>Чернокова</w:t>
      </w:r>
      <w:proofErr w:type="spellEnd"/>
      <w:r w:rsidRPr="00D41685">
        <w:rPr>
          <w:rFonts w:ascii="Times New Roman" w:eastAsia="Calibri" w:hAnsi="Times New Roman" w:cs="Times New Roman"/>
          <w:sz w:val="24"/>
          <w:szCs w:val="24"/>
        </w:rPr>
        <w:t xml:space="preserve"> Т. Е., Ракитина П. А. Квест-игра как средство формирования способности к наглядному моделированию у детей старшего дошкольного возраста // Современное дошкольное образование. – 2024. – № 2. – С. 12–21. – DOI: 10.24412/2782-4519-2024-2122-12-21. – URL: https://sdo-journal.ru/journal/volumes/sdo-2024-2/ (дата обращения: 04.06.2025).</w:t>
      </w:r>
    </w:p>
    <w:sectPr w:rsidR="00D41685" w:rsidRPr="00D41685" w:rsidSect="00892EAF">
      <w:pgSz w:w="11906" w:h="16838"/>
      <w:pgMar w:top="1134" w:right="850" w:bottom="1134" w:left="1701" w:header="709" w:footer="709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685"/>
    <w:rsid w:val="00402BC9"/>
    <w:rsid w:val="00816980"/>
    <w:rsid w:val="00892EAF"/>
    <w:rsid w:val="00B75556"/>
    <w:rsid w:val="00D41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A3B5A"/>
  <w15:chartTrackingRefBased/>
  <w15:docId w15:val="{35F0538A-A2C5-4575-80E9-D5DFD6D7D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D41685"/>
    <w:pPr>
      <w:spacing w:after="0" w:line="240" w:lineRule="auto"/>
      <w:jc w:val="both"/>
    </w:pPr>
    <w:rPr>
      <w:rFonts w:ascii="Calibri" w:eastAsia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D41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2064</Words>
  <Characters>11769</Characters>
  <Application>Microsoft Office Word</Application>
  <DocSecurity>0</DocSecurity>
  <Lines>98</Lines>
  <Paragraphs>27</Paragraphs>
  <ScaleCrop>false</ScaleCrop>
  <Company/>
  <LinksUpToDate>false</LinksUpToDate>
  <CharactersWithSpaces>13806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yurga computer</dc:creator>
  <cp:keywords/>
  <dc:description/>
  <cp:lastModifiedBy>yurga computer</cp:lastModifiedBy>
  <cp:revision>1</cp:revision>
  <dcterms:created xsi:type="dcterms:W3CDTF">2026-01-13T14:29:00Z</dcterms:created>
  <dcterms:modified xsi:type="dcterms:W3CDTF">2026-01-13T14:31:00Z</dcterms:modified>
</cp:coreProperties>
</file>