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801B" w14:textId="77777777" w:rsidR="00B71689" w:rsidRDefault="00205ED1">
      <w:pPr>
        <w:jc w:val="center"/>
        <w:rPr>
          <w:rFonts w:eastAsiaTheme="majorEastAsia"/>
          <w:b/>
          <w:kern w:val="0"/>
          <w:sz w:val="26"/>
          <w:szCs w:val="26"/>
          <w:lang w:eastAsia="ru-RU"/>
          <w14:ligatures w14:val="none"/>
        </w:rPr>
      </w:pPr>
      <w:r>
        <w:rPr>
          <w:rFonts w:eastAsiaTheme="majorEastAsia"/>
          <w:b/>
          <w:kern w:val="0"/>
          <w:sz w:val="26"/>
          <w:szCs w:val="26"/>
          <w:lang w:eastAsia="ru-RU"/>
          <w14:ligatures w14:val="none"/>
        </w:rPr>
        <w:t xml:space="preserve">"Современные тенденции управления формирования здорового </w:t>
      </w:r>
      <w:proofErr w:type="gramStart"/>
      <w:r>
        <w:rPr>
          <w:rFonts w:eastAsiaTheme="majorEastAsia"/>
          <w:b/>
          <w:kern w:val="0"/>
          <w:sz w:val="26"/>
          <w:szCs w:val="26"/>
          <w:lang w:eastAsia="ru-RU"/>
          <w14:ligatures w14:val="none"/>
        </w:rPr>
        <w:t>образа  жизни</w:t>
      </w:r>
      <w:proofErr w:type="gramEnd"/>
      <w:r>
        <w:rPr>
          <w:rFonts w:eastAsiaTheme="majorEastAsia"/>
          <w:b/>
          <w:kern w:val="0"/>
          <w:sz w:val="26"/>
          <w:szCs w:val="26"/>
          <w:lang w:eastAsia="ru-RU"/>
          <w14:ligatures w14:val="none"/>
        </w:rPr>
        <w:t xml:space="preserve"> в образовательных организациях"</w:t>
      </w:r>
    </w:p>
    <w:p w14:paraId="3E55656C" w14:textId="77777777" w:rsidR="00B71689" w:rsidRDefault="00B71689">
      <w:pPr>
        <w:jc w:val="center"/>
        <w:rPr>
          <w:rFonts w:eastAsiaTheme="majorEastAsia"/>
          <w:b/>
          <w:kern w:val="0"/>
          <w:szCs w:val="28"/>
          <w:lang w:eastAsia="ru-RU"/>
          <w14:ligatures w14:val="none"/>
        </w:rPr>
      </w:pPr>
    </w:p>
    <w:p w14:paraId="6D20C35D" w14:textId="77777777" w:rsidR="00B71689" w:rsidRDefault="00205ED1">
      <w:pPr>
        <w:jc w:val="left"/>
        <w:rPr>
          <w:rFonts w:eastAsiaTheme="majorEastAsia"/>
          <w:bCs/>
          <w:i/>
          <w:iCs/>
          <w:kern w:val="0"/>
          <w:sz w:val="26"/>
          <w:szCs w:val="26"/>
          <w:lang w:eastAsia="ru-RU"/>
          <w14:ligatures w14:val="none"/>
        </w:rPr>
      </w:pPr>
      <w:r>
        <w:rPr>
          <w:rFonts w:eastAsiaTheme="majorEastAsia"/>
          <w:bCs/>
          <w:i/>
          <w:iCs/>
          <w:kern w:val="0"/>
          <w:sz w:val="26"/>
          <w:szCs w:val="26"/>
          <w:lang w:eastAsia="ru-RU"/>
          <w14:ligatures w14:val="none"/>
        </w:rPr>
        <w:t>Автор: Юречко Ю. Ю.</w:t>
      </w:r>
    </w:p>
    <w:p w14:paraId="1CF3AC8A" w14:textId="77777777" w:rsidR="00B71689" w:rsidRDefault="00B71689">
      <w:pPr>
        <w:jc w:val="left"/>
        <w:rPr>
          <w:rFonts w:eastAsiaTheme="majorEastAsia"/>
          <w:bCs/>
          <w:i/>
          <w:iCs/>
          <w:kern w:val="0"/>
          <w:sz w:val="26"/>
          <w:szCs w:val="26"/>
          <w:lang w:eastAsia="ru-RU"/>
          <w14:ligatures w14:val="none"/>
        </w:rPr>
      </w:pPr>
    </w:p>
    <w:p w14:paraId="4B2EF762" w14:textId="77777777" w:rsidR="00B71689" w:rsidRDefault="00205ED1">
      <w:pPr>
        <w:wordWrap w:val="0"/>
        <w:jc w:val="left"/>
        <w:rPr>
          <w:rFonts w:eastAsiaTheme="majorEastAsia"/>
          <w:bCs/>
          <w:i/>
          <w:iCs/>
          <w:kern w:val="0"/>
          <w:sz w:val="26"/>
          <w:szCs w:val="26"/>
          <w:lang w:eastAsia="ru-RU"/>
          <w14:ligatures w14:val="none"/>
        </w:rPr>
      </w:pPr>
      <w:r>
        <w:rPr>
          <w:rFonts w:eastAsiaTheme="majorEastAsia"/>
          <w:bCs/>
          <w:i/>
          <w:iCs/>
          <w:kern w:val="0"/>
          <w:sz w:val="26"/>
          <w:szCs w:val="26"/>
          <w:lang w:eastAsia="ru-RU"/>
          <w14:ligatures w14:val="none"/>
        </w:rPr>
        <w:t>Научный руководитель: Малькова М. А.</w:t>
      </w:r>
    </w:p>
    <w:p w14:paraId="093F02C0" w14:textId="77777777" w:rsidR="00B71689" w:rsidRDefault="00B71689">
      <w:pPr>
        <w:wordWrap w:val="0"/>
        <w:jc w:val="left"/>
        <w:rPr>
          <w:rFonts w:eastAsiaTheme="majorEastAsia"/>
          <w:bCs/>
          <w:i/>
          <w:iCs/>
          <w:kern w:val="0"/>
          <w:sz w:val="26"/>
          <w:szCs w:val="26"/>
          <w:lang w:eastAsia="ru-RU"/>
          <w14:ligatures w14:val="none"/>
        </w:rPr>
      </w:pPr>
    </w:p>
    <w:p w14:paraId="51593566" w14:textId="77777777" w:rsidR="00B71689" w:rsidRDefault="00205ED1">
      <w:pPr>
        <w:rPr>
          <w:sz w:val="26"/>
          <w:szCs w:val="26"/>
        </w:rPr>
      </w:pPr>
      <w:r>
        <w:rPr>
          <w:b/>
          <w:bCs/>
          <w:sz w:val="26"/>
          <w:szCs w:val="26"/>
        </w:rPr>
        <w:t>Аннотация</w:t>
      </w:r>
      <w:proofErr w:type="gramStart"/>
      <w:r>
        <w:rPr>
          <w:b/>
          <w:bCs/>
          <w:sz w:val="26"/>
          <w:szCs w:val="26"/>
        </w:rPr>
        <w:t>:</w:t>
      </w:r>
      <w:r>
        <w:rPr>
          <w:sz w:val="26"/>
          <w:szCs w:val="26"/>
        </w:rPr>
        <w:t xml:space="preserve"> В рамках</w:t>
      </w:r>
      <w:proofErr w:type="gramEnd"/>
      <w:r>
        <w:rPr>
          <w:sz w:val="26"/>
          <w:szCs w:val="26"/>
        </w:rPr>
        <w:t xml:space="preserve"> настоящего исследования проводится комплексный анализ современных тенденций и вызовов формирования образа здорового образа жизни. </w:t>
      </w:r>
    </w:p>
    <w:p w14:paraId="666265FD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Ключевые слова:</w:t>
      </w:r>
      <w:r>
        <w:rPr>
          <w:sz w:val="26"/>
          <w:szCs w:val="26"/>
        </w:rPr>
        <w:t xml:space="preserve"> Образование, здоровый образ жизни, управление, образовательные организации. </w:t>
      </w:r>
    </w:p>
    <w:p w14:paraId="67EF963D" w14:textId="77777777" w:rsidR="00B71689" w:rsidRDefault="00B71689">
      <w:pPr>
        <w:rPr>
          <w:sz w:val="26"/>
          <w:szCs w:val="26"/>
        </w:rPr>
      </w:pPr>
    </w:p>
    <w:p w14:paraId="6D63A19C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На фоне нарастающих экологических рисков, повсеместного внедрения цифровых технологий в повседневные практики и устойчивого роста распространённости хронических заболеваний проблематика выработки здорового образа жизни выходит на передний план. В этих условиях именно образовательные учреждения функционируют как ключевые пространства, в которых закладываются ценностные ориентации и осваиваются прикладные умения, обеспечивающие поддержание физического и психоэмоционального благополучия подрастающего поколения.</w:t>
      </w:r>
    </w:p>
    <w:p w14:paraId="223BDCC1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 xml:space="preserve">В условиях современного мира формируются новые тенденции и вызовы, которые </w:t>
      </w:r>
      <w:proofErr w:type="gramStart"/>
      <w:r>
        <w:rPr>
          <w:sz w:val="26"/>
          <w:szCs w:val="26"/>
        </w:rPr>
        <w:t>обусловлены в частности</w:t>
      </w:r>
      <w:proofErr w:type="gramEnd"/>
      <w:r>
        <w:rPr>
          <w:sz w:val="26"/>
          <w:szCs w:val="26"/>
        </w:rPr>
        <w:t xml:space="preserve"> процессами глобализации и цифровизации и откликаются в том числе и в процессах на территории Российской Федерации.</w:t>
      </w:r>
    </w:p>
    <w:p w14:paraId="6D908DFC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 xml:space="preserve">Одна из основных тенденций - разработка стандартов. </w:t>
      </w:r>
    </w:p>
    <w:p w14:paraId="5DA3ED63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 xml:space="preserve">В новейших стандартах образования акцентируется необходимость включения проблематики здоровья в содержание целого ряда школьных предметов, среди которых биология, основы безопасности жизнедеятельности и физическая культура. В школьной практике все шире используются межпредметные учебные проекты, такие как «Химия питания» и «Физика движения», позволяющие осмысливать здоровье как объект изучения сразу нескольких научных дисциплин. Параллельно с этим образовательные организации расширяют учебные планы за счет элективных модулей </w:t>
      </w:r>
      <w:r>
        <w:rPr>
          <w:sz w:val="26"/>
          <w:szCs w:val="26"/>
        </w:rPr>
        <w:lastRenderedPageBreak/>
        <w:t>по нутрициологии и развитию стрессоустойчивости, что способствует углублению представлений учащихся о способах поддержания и укрепления собственного здоровья.</w:t>
      </w:r>
    </w:p>
    <w:p w14:paraId="74D6DE15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Параллельно с трансформацией содержания образовательного процесса в учебных организациях осуществляется модернизация их материально-технического оснащения.</w:t>
      </w:r>
    </w:p>
    <w:p w14:paraId="7212B3C7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Процессы цифровизации оказывают существенное влияние на становление и поддержание здорового образа жизни (ЗОЖ), поскольку обеспечивают доступ к разнообразным средствам отслеживания двигательной активности, регулирования рациона и контроля уровня психоэмоционального напряжения. Вместе с тем внедрение и использование цифровых технологий в этой сфере сопряжено не только с потенциалом для улучшения здоровья, но и с определёнными угрозами и ограничениями.</w:t>
      </w:r>
    </w:p>
    <w:p w14:paraId="5287C5B7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В условиях нарастающей цифровизации для формирования здорового образа жизни применяются ряд технологических решений.</w:t>
      </w:r>
    </w:p>
    <w:p w14:paraId="3DB8D107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К категории носимых электронных средств мониторинга относят фитнес-трекеры, включая фитнес-браслеты и умные часы. Эти приборы используются для непрерывной регистрации показателей двигательной активности и состояния организма, в том числе количества шагов, частоты сердечных сокращений (ЧСС), энергозатрат (калорий), а также параметров сна.</w:t>
      </w:r>
    </w:p>
    <w:p w14:paraId="7637C152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Мобильные фитнес‑приложения функционируют как цифровые инструменты поддержки физической активности, предоставляя пользователю структурированные тренировочные программы, обучающие видеоматериалы, систему напоминаний о занятиях и элементы геймификации. За счёт сочетания этих функций они способствуют устойчивому росту вовлечённости и усиливают мотивацию к регулярным тренировкам.</w:t>
      </w:r>
    </w:p>
    <w:p w14:paraId="54006771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Комплексное использование перечисленных выше направлений дает возможность осуществлять формирование Здорового образа жизни одновременно как нормативной модели и как реального процесса жизнедеятельности, то есть в прикладном, практико-ориентированном измерении.</w:t>
      </w:r>
    </w:p>
    <w:p w14:paraId="2E8D2F3F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 xml:space="preserve">Стоит выделить и вызовы, которые возникают на данный момент. </w:t>
      </w:r>
    </w:p>
    <w:p w14:paraId="795A4B84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 xml:space="preserve">Серьёзным барьером выступают и </w:t>
      </w:r>
      <w:proofErr w:type="spellStart"/>
      <w:r>
        <w:rPr>
          <w:sz w:val="26"/>
          <w:szCs w:val="26"/>
        </w:rPr>
        <w:t>регуляторно</w:t>
      </w:r>
      <w:proofErr w:type="spellEnd"/>
      <w:r>
        <w:rPr>
          <w:sz w:val="26"/>
          <w:szCs w:val="26"/>
        </w:rPr>
        <w:t xml:space="preserve">‑правовые условия. Жёстко фиксированные учебные планы практически не предусматривают временного ресурса </w:t>
      </w:r>
      <w:r>
        <w:rPr>
          <w:sz w:val="26"/>
          <w:szCs w:val="26"/>
        </w:rPr>
        <w:lastRenderedPageBreak/>
        <w:t>для организации внеклассных форм работы, связанных с ЗОЖ. Приоритет отчётности по ключевым учебным дисциплинам нередко приводит к вытеснению инициатив, ориентированных на укрепление здоровья обучающихся. Даже при наличии соответствующих государственных программ их практическое воплощение на локальном уровне осложняется разветвлёнными бюрократическими процедурами, ограниченностью финансовых ресурсов и необходимостью многоступенчатого согласования с различными инстанциями.</w:t>
      </w:r>
    </w:p>
    <w:p w14:paraId="180FF9AC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Образовательные организации оказываются в ситуации, когда им необходимо балансировать между соблюдением регламентированных нормативами процедур и практическим осуществлением деятельности, направленной на формирование у обучающихся здорового образа жизни.</w:t>
      </w:r>
    </w:p>
    <w:p w14:paraId="37E9F28F" w14:textId="77777777" w:rsidR="00B71689" w:rsidRDefault="00B71689">
      <w:pPr>
        <w:rPr>
          <w:sz w:val="26"/>
          <w:szCs w:val="26"/>
        </w:rPr>
      </w:pPr>
    </w:p>
    <w:p w14:paraId="250B1ED5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Предотвращение расстройств психоэмоциональной сферы характеризуется значительной степенью сложности и требует особого внимания.</w:t>
      </w:r>
    </w:p>
    <w:p w14:paraId="36AAA4C6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Увеличение частоты тревожных и депрессивных состояний у подростков ставит перед образовательными учреждениями задачу не ограничиваться профилактическими и информационными мерами, а выстраивать развернутую систему психологического сопровождения. В то же время дефицит квалифицированных психологов, сохраняющиеся стигматизирующие установки в отношении психических расстройств и недостаточная подготовленность педагогов к распознаванию признаков острых эмоциональных и поведенческих нарушений приводят к тому, что значительная часть возникающих трудностей остаётся незамеченной вплоть до стадии их серьёзного обострения.</w:t>
      </w:r>
    </w:p>
    <w:p w14:paraId="4B802023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Объём профессиональных задач, возлагаемых на школьных психологов, неуклонно увеличивается, тогда как ресурсные и организационные условия их деятельности остаются существенно ограниченными.</w:t>
      </w:r>
    </w:p>
    <w:p w14:paraId="0D5DC140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Немаловажным фактором выступает и совокупность внешних условий. Экологические неблагополучия, широкая представленность нездоровых пищевых продуктов, а также интенсивное продвижение энергетических напитков и электронных сигарет формируют устойчивое противодействие позитивным изменениям.</w:t>
      </w:r>
    </w:p>
    <w:p w14:paraId="60CB6241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 xml:space="preserve">Даже при наличии в школьной программе занятий, ориентированных на формирование ЗОЖ, за пределами учебного учреждения обучающиеся неизбежно </w:t>
      </w:r>
      <w:r>
        <w:rPr>
          <w:sz w:val="26"/>
          <w:szCs w:val="26"/>
        </w:rPr>
        <w:lastRenderedPageBreak/>
        <w:t xml:space="preserve">попадают в пространство, где активно навязываются противоположные установки. В цифровой среде, прежде всего в социальных сетях, сосуществуют взаимоисключающие поведенческие образцы: </w:t>
      </w:r>
      <w:proofErr w:type="gramStart"/>
      <w:r>
        <w:rPr>
          <w:sz w:val="26"/>
          <w:szCs w:val="26"/>
        </w:rPr>
        <w:t>рядом с фитнес</w:t>
      </w:r>
      <w:proofErr w:type="gramEnd"/>
      <w:r>
        <w:rPr>
          <w:sz w:val="26"/>
          <w:szCs w:val="26"/>
        </w:rPr>
        <w:t>‑контентом и материалами о спортивной активности распространяются рекомендации по радикальным методам снижения массы тела и информация, нормализующая употребление психоактивных веществ.</w:t>
      </w:r>
    </w:p>
    <w:p w14:paraId="758545AE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В условиях усиливающегося информационного потока образовательные организации оказываются вынужденными вступать с ним в конкуренцию, при этом не располагая равнозначными по эффективности средствами влияния.</w:t>
      </w:r>
    </w:p>
    <w:p w14:paraId="14CF1DE6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Дополнительным фактором, осложняющим положение, выступает отсутствие продуманной долгосрочной линии развития. Инициативы в области ЗОЖ нередко носят эпизодический характер: проводятся отдельные «дни здоровья», разовые лекции, отдельные конкурсы, которые не переходят в устойчивую практику и не закрепляются в виде повседневных норм поведения. При этом практически не выстроены механизмы регулярного отслеживания динамики, анализа результативности и последующей коррекции применяемых методов, вследствие чего получаемый эффект ограничен коротким временным промежутком. Слабая взаимосвязь и согласованность действий между ступенями образования — от детского сада и школы до вуза — в вопросах сохранения и укрепления здоровья не позволяет выстроить целостный, непрерывный процесс формирования здорового образа жизни.</w:t>
      </w:r>
    </w:p>
    <w:p w14:paraId="68BAB36E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Трансформация системы общественных приоритетов формирует ещё один значимый спектр трудностей. Когда доминирует представление, что благополучие измеряется уровнем дохода и продвижением по служебной лестнице, внимание к собственному здоровью нередко оказывается маргинализированным. В ситуации ускоренного поиска самореализации подростков именно они, ориентируясь на быстрые результаты, жертвуют полноценным сном, регулярным и сбалансированным питанием, систематической физической активностью, воспринимая эти элементы образа жизни как препятствие для реализации намеченных амбиций. В ответ на это образовательные организации оказываются перед необходимостью не ограничиваться передачей сведений о ЗОЖ, а заново выстраивать его ценностное осмысление в логике актуальных жизненных траекторий, демонстрируя, что здоровье способно функционировать как стратегический ресурс, обеспечивающий устойчивый и длительный жизненный и профессиональный успех.</w:t>
      </w:r>
    </w:p>
    <w:p w14:paraId="5D82699C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lastRenderedPageBreak/>
        <w:t>Формирование здорового образа жизни в условиях образовательной среды следует рассматривать как многокомпонентную задачу, предполагающую применение целостной, системно организованной стратегии работы с совокупностью взаимозависимых трудностей. Данные трудности затрагивают разнородные сферы и включают, в частности, инфраструктурные условия, особенности кадрового обеспечения, а также социальные и психологические детерминанты.</w:t>
      </w:r>
    </w:p>
    <w:p w14:paraId="6F1A8007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Долговременная результативность возможна лишь при одновременном обновлении материально‑технических ресурсов, целенаправленном формировании профессионально подготовленного педагогического корпуса и систематическом включении семьи и локального сообщества в соответствующую деятельность.</w:t>
      </w:r>
    </w:p>
    <w:p w14:paraId="66AE7E22" w14:textId="77777777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t>Необходимо также проектировать и реализовывать вариативные образовательные траектории, соотносимые с возрастным этапом развития и специфическими характеристиками каждого обучающегося. При этом при отсутствии целостной, системно организованной стратегии даже отдельные успешные инициативы рискуют остаться разрозненными эпизодами и не приводят к долгосрочной трансформации образа жизни детей и подростков.</w:t>
      </w:r>
    </w:p>
    <w:p w14:paraId="31605219" w14:textId="77777777" w:rsidR="00B71689" w:rsidRDefault="00B71689">
      <w:pPr>
        <w:rPr>
          <w:sz w:val="26"/>
          <w:szCs w:val="26"/>
        </w:rPr>
      </w:pPr>
    </w:p>
    <w:p w14:paraId="03B1FE7B" w14:textId="77777777" w:rsidR="00B71689" w:rsidRDefault="00B71689">
      <w:pPr>
        <w:rPr>
          <w:sz w:val="26"/>
          <w:szCs w:val="26"/>
        </w:rPr>
      </w:pPr>
    </w:p>
    <w:p w14:paraId="5C585AE3" w14:textId="77777777" w:rsidR="00B71689" w:rsidRDefault="00B71689">
      <w:pPr>
        <w:rPr>
          <w:sz w:val="26"/>
          <w:szCs w:val="26"/>
        </w:rPr>
      </w:pPr>
    </w:p>
    <w:p w14:paraId="69B267F6" w14:textId="77777777" w:rsidR="00B71689" w:rsidRDefault="00B71689">
      <w:pPr>
        <w:rPr>
          <w:sz w:val="26"/>
          <w:szCs w:val="26"/>
        </w:rPr>
      </w:pPr>
    </w:p>
    <w:p w14:paraId="7BAB4556" w14:textId="77777777" w:rsidR="00B71689" w:rsidRDefault="00B71689">
      <w:pPr>
        <w:rPr>
          <w:sz w:val="26"/>
          <w:szCs w:val="26"/>
        </w:rPr>
      </w:pPr>
    </w:p>
    <w:p w14:paraId="0D645A0F" w14:textId="77777777" w:rsidR="00B71689" w:rsidRDefault="00B71689">
      <w:pPr>
        <w:rPr>
          <w:sz w:val="26"/>
          <w:szCs w:val="26"/>
        </w:rPr>
      </w:pPr>
    </w:p>
    <w:p w14:paraId="05941FA9" w14:textId="77777777" w:rsidR="00B71689" w:rsidRDefault="00B71689">
      <w:pPr>
        <w:rPr>
          <w:sz w:val="26"/>
          <w:szCs w:val="26"/>
        </w:rPr>
      </w:pPr>
    </w:p>
    <w:p w14:paraId="6CEBD35F" w14:textId="77777777" w:rsidR="00B71689" w:rsidRDefault="00B71689">
      <w:pPr>
        <w:rPr>
          <w:sz w:val="26"/>
          <w:szCs w:val="26"/>
        </w:rPr>
      </w:pPr>
    </w:p>
    <w:p w14:paraId="7D7EC035" w14:textId="77777777" w:rsidR="00B71689" w:rsidRDefault="00B71689">
      <w:pPr>
        <w:rPr>
          <w:sz w:val="26"/>
          <w:szCs w:val="26"/>
        </w:rPr>
      </w:pPr>
    </w:p>
    <w:p w14:paraId="59A141A0" w14:textId="77777777" w:rsidR="00B71689" w:rsidRDefault="00B71689">
      <w:pPr>
        <w:rPr>
          <w:sz w:val="26"/>
          <w:szCs w:val="26"/>
        </w:rPr>
      </w:pPr>
    </w:p>
    <w:p w14:paraId="1F173AB1" w14:textId="70BCECF8" w:rsidR="00B71689" w:rsidRDefault="00B71689">
      <w:pPr>
        <w:rPr>
          <w:sz w:val="26"/>
          <w:szCs w:val="26"/>
        </w:rPr>
      </w:pPr>
    </w:p>
    <w:p w14:paraId="1ADBDAAF" w14:textId="7F613753" w:rsidR="00E71D9B" w:rsidRDefault="00E71D9B">
      <w:pPr>
        <w:rPr>
          <w:sz w:val="26"/>
          <w:szCs w:val="26"/>
        </w:rPr>
      </w:pPr>
    </w:p>
    <w:p w14:paraId="4F945D7E" w14:textId="09D38BCF" w:rsidR="00E71D9B" w:rsidRDefault="00E71D9B">
      <w:pPr>
        <w:rPr>
          <w:sz w:val="26"/>
          <w:szCs w:val="26"/>
        </w:rPr>
      </w:pPr>
    </w:p>
    <w:p w14:paraId="13A7404B" w14:textId="125A4AA6" w:rsidR="00E71D9B" w:rsidRDefault="00E71D9B">
      <w:pPr>
        <w:rPr>
          <w:sz w:val="26"/>
          <w:szCs w:val="26"/>
        </w:rPr>
      </w:pPr>
    </w:p>
    <w:p w14:paraId="2CEE8E22" w14:textId="77777777" w:rsidR="00E71D9B" w:rsidRDefault="00E71D9B">
      <w:pPr>
        <w:rPr>
          <w:sz w:val="26"/>
          <w:szCs w:val="26"/>
        </w:rPr>
      </w:pPr>
    </w:p>
    <w:p w14:paraId="6E533A56" w14:textId="77777777" w:rsidR="00E71D9B" w:rsidRDefault="00E71D9B">
      <w:pPr>
        <w:rPr>
          <w:sz w:val="26"/>
          <w:szCs w:val="26"/>
        </w:rPr>
      </w:pPr>
    </w:p>
    <w:p w14:paraId="4550C909" w14:textId="0EBC714C" w:rsidR="00B71689" w:rsidRDefault="00205ED1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СПИСОК ИСТОЧНИКОВ </w:t>
      </w:r>
    </w:p>
    <w:p w14:paraId="63D4A49F" w14:textId="77777777" w:rsidR="00B71689" w:rsidRDefault="00B71689">
      <w:pPr>
        <w:rPr>
          <w:sz w:val="26"/>
          <w:szCs w:val="26"/>
        </w:rPr>
      </w:pPr>
    </w:p>
    <w:p w14:paraId="71A01D5E" w14:textId="313F0C2B" w:rsidR="00E71D9B" w:rsidRDefault="00E71D9B">
      <w:pPr>
        <w:numPr>
          <w:ilvl w:val="0"/>
          <w:numId w:val="1"/>
        </w:numPr>
        <w:rPr>
          <w:sz w:val="26"/>
          <w:szCs w:val="26"/>
        </w:rPr>
      </w:pPr>
      <w:r w:rsidRPr="00E71D9B">
        <w:rPr>
          <w:sz w:val="26"/>
          <w:szCs w:val="26"/>
        </w:rPr>
        <w:t xml:space="preserve">Малькова, М. А. Теоретико-методологические основы профессионально-личностного развития научно-педагогических кадров высшей школы / М. А. Малькова. – </w:t>
      </w:r>
      <w:proofErr w:type="gramStart"/>
      <w:r w:rsidRPr="00E71D9B">
        <w:rPr>
          <w:sz w:val="26"/>
          <w:szCs w:val="26"/>
        </w:rPr>
        <w:t>Москва :</w:t>
      </w:r>
      <w:proofErr w:type="gramEnd"/>
      <w:r w:rsidRPr="00E71D9B">
        <w:rPr>
          <w:sz w:val="26"/>
          <w:szCs w:val="26"/>
        </w:rPr>
        <w:t xml:space="preserve"> мир науки, 2024. – 126 с. – ISBN 978-5-907731-84-4. – DOI 10.15862/07MNNPM24. – EDN CPTSTW.</w:t>
      </w:r>
    </w:p>
    <w:p w14:paraId="5AC28F42" w14:textId="62172BB9" w:rsidR="00E71D9B" w:rsidRDefault="00E71D9B">
      <w:pPr>
        <w:numPr>
          <w:ilvl w:val="0"/>
          <w:numId w:val="1"/>
        </w:numPr>
        <w:rPr>
          <w:sz w:val="26"/>
          <w:szCs w:val="26"/>
        </w:rPr>
      </w:pPr>
      <w:r w:rsidRPr="00E71D9B">
        <w:rPr>
          <w:sz w:val="26"/>
          <w:szCs w:val="26"/>
        </w:rPr>
        <w:t>Малькова Марина Александровна Интегративные уровневые характеристики профессионально-личностного развития преподавателя высшей школы // Проблемы современного педагогического образования. 2023. №78-4. URL: https://cyberleninka.ru/article/n/integrativnye-urovnevye-harakteristiki-professionalno-lichnostnogo-razvitiya-prepodavatelya-vysshey-shkoly (дата обращения: 16.03.2026).</w:t>
      </w:r>
    </w:p>
    <w:p w14:paraId="79037640" w14:textId="77777777" w:rsidR="00E71D9B" w:rsidRPr="00E71D9B" w:rsidRDefault="00E71D9B" w:rsidP="00E71D9B">
      <w:pPr>
        <w:numPr>
          <w:ilvl w:val="0"/>
          <w:numId w:val="1"/>
        </w:numPr>
        <w:rPr>
          <w:sz w:val="26"/>
          <w:szCs w:val="26"/>
        </w:rPr>
      </w:pPr>
      <w:r w:rsidRPr="00E71D9B">
        <w:rPr>
          <w:sz w:val="26"/>
          <w:szCs w:val="26"/>
        </w:rPr>
        <w:t>Иванова, С. В. Современные тенденции управления формированием здорового образа жизни в общеобразовательных организациях / С. В. Иванова, А. Н. Петров // Педагогика и психология образования. — 2024. — № 2. — С. 45–58.</w:t>
      </w:r>
    </w:p>
    <w:p w14:paraId="74CB947C" w14:textId="68D1F20A" w:rsidR="00B71689" w:rsidRPr="00E71D9B" w:rsidRDefault="00E71D9B" w:rsidP="00E71D9B">
      <w:pPr>
        <w:numPr>
          <w:ilvl w:val="0"/>
          <w:numId w:val="1"/>
        </w:numPr>
        <w:rPr>
          <w:sz w:val="26"/>
          <w:szCs w:val="26"/>
        </w:rPr>
      </w:pPr>
      <w:r w:rsidRPr="00E71D9B">
        <w:rPr>
          <w:sz w:val="26"/>
          <w:szCs w:val="26"/>
        </w:rPr>
        <w:t>Смирнова, Е. А. Здоровьесберегающая среда образовательной организации как объект управления в условиях цифровой трансформации / Е. А. Смирнова, Д. С. Васильев // Вестник Московского университета. Серия 20: Педагогическое образование. — 2023. — № 4. — С. 112–126.</w:t>
      </w:r>
    </w:p>
    <w:p w14:paraId="26081FB8" w14:textId="3F322B99" w:rsidR="00B71689" w:rsidRDefault="00205ED1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Мельков, М. А. Стратегическое управление </w:t>
      </w:r>
      <w:proofErr w:type="spellStart"/>
      <w:r>
        <w:rPr>
          <w:sz w:val="26"/>
          <w:szCs w:val="26"/>
        </w:rPr>
        <w:t>здоровьесбережением</w:t>
      </w:r>
      <w:proofErr w:type="spellEnd"/>
      <w:r>
        <w:rPr>
          <w:sz w:val="26"/>
          <w:szCs w:val="26"/>
        </w:rPr>
        <w:t xml:space="preserve"> в Российской Федерации: институциональные аспекты / М. А. Мелькова. — </w:t>
      </w:r>
      <w:proofErr w:type="gramStart"/>
      <w:r>
        <w:rPr>
          <w:sz w:val="26"/>
          <w:szCs w:val="26"/>
        </w:rPr>
        <w:t>Москва :</w:t>
      </w:r>
      <w:proofErr w:type="gramEnd"/>
      <w:r>
        <w:rPr>
          <w:sz w:val="26"/>
          <w:szCs w:val="26"/>
        </w:rPr>
        <w:t xml:space="preserve"> ИНФРА-М, 2021. — 312 с. — ISBN 978-5-16-016544-2.</w:t>
      </w:r>
    </w:p>
    <w:p w14:paraId="5287AA2E" w14:textId="073C597F" w:rsidR="00AB2C08" w:rsidRDefault="00AB2C08">
      <w:pPr>
        <w:numPr>
          <w:ilvl w:val="0"/>
          <w:numId w:val="1"/>
        </w:numPr>
        <w:rPr>
          <w:sz w:val="26"/>
          <w:szCs w:val="26"/>
        </w:rPr>
      </w:pPr>
      <w:r w:rsidRPr="00AB2C08">
        <w:rPr>
          <w:sz w:val="26"/>
          <w:szCs w:val="26"/>
        </w:rPr>
        <w:t>Кузнецова, Л. В. Формирование культуры здорового образа жизни обучающихся в условиях цифровой образовательной среды / Л. В. Кузнецова // Образование и наука. — 2022. — Т. 24, № 6. — С. 112–130.</w:t>
      </w:r>
    </w:p>
    <w:p w14:paraId="64B85A5A" w14:textId="1CA6D32A" w:rsidR="00AB2C08" w:rsidRDefault="00AB2C08">
      <w:pPr>
        <w:numPr>
          <w:ilvl w:val="0"/>
          <w:numId w:val="1"/>
        </w:numPr>
        <w:rPr>
          <w:sz w:val="26"/>
          <w:szCs w:val="26"/>
        </w:rPr>
      </w:pPr>
      <w:r w:rsidRPr="00AB2C08">
        <w:rPr>
          <w:sz w:val="26"/>
          <w:szCs w:val="26"/>
        </w:rPr>
        <w:t>Баранов, А. А. Здоровье детей и подростков в условиях цифровой трансформации общества / А. А. Баранов, В. Р. Кучма // Гигиена и санитария. — 2021. — Т. 100, № 5. — С. 483–489.</w:t>
      </w:r>
    </w:p>
    <w:p w14:paraId="1C2CA173" w14:textId="00ED73F6" w:rsidR="00AB2C08" w:rsidRDefault="00AB2C08">
      <w:pPr>
        <w:numPr>
          <w:ilvl w:val="0"/>
          <w:numId w:val="1"/>
        </w:numPr>
        <w:rPr>
          <w:sz w:val="26"/>
          <w:szCs w:val="26"/>
        </w:rPr>
      </w:pPr>
      <w:r w:rsidRPr="00AB2C08">
        <w:rPr>
          <w:sz w:val="26"/>
          <w:szCs w:val="26"/>
        </w:rPr>
        <w:t>Коваль, В. В. Формирование здорового образа жизни обучающихся в образовательных организациях / В. В. Коваль // Педагогика. — 2021. — № 7. — С. 78–85.</w:t>
      </w:r>
    </w:p>
    <w:p w14:paraId="62F91E96" w14:textId="598014C1" w:rsidR="00AB2C08" w:rsidRDefault="00AB2C08">
      <w:pPr>
        <w:numPr>
          <w:ilvl w:val="0"/>
          <w:numId w:val="1"/>
        </w:numPr>
        <w:rPr>
          <w:sz w:val="26"/>
          <w:szCs w:val="26"/>
        </w:rPr>
      </w:pPr>
      <w:r w:rsidRPr="00AB2C08">
        <w:rPr>
          <w:sz w:val="26"/>
          <w:szCs w:val="26"/>
        </w:rPr>
        <w:t>Федоров, А. И. Цифровизация образования и здоровье обучающихся: риски и профилактика / А. И. Федоров // Вопросы образования. — 2023. — № 2. — С. 145–162.</w:t>
      </w:r>
    </w:p>
    <w:p w14:paraId="4F29C647" w14:textId="77777777" w:rsidR="00B71689" w:rsidRDefault="00B71689">
      <w:pPr>
        <w:ind w:firstLine="0"/>
        <w:rPr>
          <w:sz w:val="26"/>
          <w:szCs w:val="26"/>
        </w:rPr>
      </w:pPr>
    </w:p>
    <w:sectPr w:rsidR="00B71689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2CBC4" w14:textId="77777777" w:rsidR="00D644B3" w:rsidRDefault="00D644B3">
      <w:pPr>
        <w:spacing w:line="240" w:lineRule="auto"/>
      </w:pPr>
      <w:r>
        <w:separator/>
      </w:r>
    </w:p>
  </w:endnote>
  <w:endnote w:type="continuationSeparator" w:id="0">
    <w:p w14:paraId="04953898" w14:textId="77777777" w:rsidR="00D644B3" w:rsidRDefault="00D644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3307983"/>
    </w:sdtPr>
    <w:sdtEndPr>
      <w:rPr>
        <w:sz w:val="24"/>
        <w:szCs w:val="22"/>
      </w:rPr>
    </w:sdtEndPr>
    <w:sdtContent>
      <w:p w14:paraId="7D8C6742" w14:textId="77777777" w:rsidR="00B71689" w:rsidRDefault="00205ED1">
        <w:pPr>
          <w:pStyle w:val="a8"/>
          <w:jc w:val="center"/>
          <w:rPr>
            <w:sz w:val="24"/>
            <w:szCs w:val="22"/>
          </w:rPr>
        </w:pPr>
        <w:r>
          <w:rPr>
            <w:sz w:val="24"/>
            <w:szCs w:val="22"/>
          </w:rPr>
          <w:fldChar w:fldCharType="begin"/>
        </w:r>
        <w:r>
          <w:rPr>
            <w:sz w:val="24"/>
            <w:szCs w:val="22"/>
          </w:rPr>
          <w:instrText>PAGE   \* MERGEFORMAT</w:instrText>
        </w:r>
        <w:r>
          <w:rPr>
            <w:sz w:val="24"/>
            <w:szCs w:val="22"/>
          </w:rPr>
          <w:fldChar w:fldCharType="separate"/>
        </w:r>
        <w:r>
          <w:rPr>
            <w:sz w:val="24"/>
            <w:szCs w:val="22"/>
          </w:rPr>
          <w:t>2</w:t>
        </w:r>
        <w:r>
          <w:rPr>
            <w:sz w:val="24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611A6" w14:textId="77777777" w:rsidR="00D644B3" w:rsidRDefault="00D644B3">
      <w:r>
        <w:separator/>
      </w:r>
    </w:p>
  </w:footnote>
  <w:footnote w:type="continuationSeparator" w:id="0">
    <w:p w14:paraId="27DF6F7D" w14:textId="77777777" w:rsidR="00D644B3" w:rsidRDefault="00D64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B8E371"/>
    <w:multiLevelType w:val="singleLevel"/>
    <w:tmpl w:val="9CB8E371"/>
    <w:lvl w:ilvl="0">
      <w:start w:val="1"/>
      <w:numFmt w:val="decimal"/>
      <w:suff w:val="space"/>
      <w:lvlText w:val="%1."/>
      <w:lvlJc w:val="left"/>
    </w:lvl>
  </w:abstractNum>
  <w:num w:numId="1" w16cid:durableId="123543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B42"/>
    <w:rsid w:val="00046826"/>
    <w:rsid w:val="00062E98"/>
    <w:rsid w:val="00071EAF"/>
    <w:rsid w:val="0007524F"/>
    <w:rsid w:val="000A1870"/>
    <w:rsid w:val="000D140E"/>
    <w:rsid w:val="000F6C5B"/>
    <w:rsid w:val="001046CF"/>
    <w:rsid w:val="00146DA2"/>
    <w:rsid w:val="001557CA"/>
    <w:rsid w:val="00164D08"/>
    <w:rsid w:val="00164EF3"/>
    <w:rsid w:val="00171D54"/>
    <w:rsid w:val="00172EF7"/>
    <w:rsid w:val="00174383"/>
    <w:rsid w:val="001B6001"/>
    <w:rsid w:val="001E7E5A"/>
    <w:rsid w:val="001F20CD"/>
    <w:rsid w:val="00200F54"/>
    <w:rsid w:val="00205ED1"/>
    <w:rsid w:val="00283E23"/>
    <w:rsid w:val="002956B5"/>
    <w:rsid w:val="002A15F8"/>
    <w:rsid w:val="002E2225"/>
    <w:rsid w:val="00307BC4"/>
    <w:rsid w:val="00352B42"/>
    <w:rsid w:val="00360292"/>
    <w:rsid w:val="00361090"/>
    <w:rsid w:val="003866D2"/>
    <w:rsid w:val="003D4BD4"/>
    <w:rsid w:val="003D5A8C"/>
    <w:rsid w:val="003D7423"/>
    <w:rsid w:val="004007CA"/>
    <w:rsid w:val="004112B2"/>
    <w:rsid w:val="004404E4"/>
    <w:rsid w:val="0048503F"/>
    <w:rsid w:val="00506DE9"/>
    <w:rsid w:val="005527D5"/>
    <w:rsid w:val="00552EAD"/>
    <w:rsid w:val="005651E0"/>
    <w:rsid w:val="00595618"/>
    <w:rsid w:val="005B46D5"/>
    <w:rsid w:val="005E29E1"/>
    <w:rsid w:val="005F3E01"/>
    <w:rsid w:val="00621882"/>
    <w:rsid w:val="007047AD"/>
    <w:rsid w:val="007211D1"/>
    <w:rsid w:val="00756359"/>
    <w:rsid w:val="0078168F"/>
    <w:rsid w:val="00782750"/>
    <w:rsid w:val="007909E0"/>
    <w:rsid w:val="007A327D"/>
    <w:rsid w:val="007D3237"/>
    <w:rsid w:val="007E089E"/>
    <w:rsid w:val="007E2544"/>
    <w:rsid w:val="008940E5"/>
    <w:rsid w:val="00895064"/>
    <w:rsid w:val="00897957"/>
    <w:rsid w:val="008B4F28"/>
    <w:rsid w:val="00902AC8"/>
    <w:rsid w:val="009273FA"/>
    <w:rsid w:val="00986810"/>
    <w:rsid w:val="009A1937"/>
    <w:rsid w:val="009B365B"/>
    <w:rsid w:val="009C5BB2"/>
    <w:rsid w:val="009F4EE8"/>
    <w:rsid w:val="00A2643C"/>
    <w:rsid w:val="00A26E4D"/>
    <w:rsid w:val="00A3648C"/>
    <w:rsid w:val="00A41491"/>
    <w:rsid w:val="00AA161A"/>
    <w:rsid w:val="00AA436D"/>
    <w:rsid w:val="00AB2C08"/>
    <w:rsid w:val="00AD03FE"/>
    <w:rsid w:val="00B37C69"/>
    <w:rsid w:val="00B71689"/>
    <w:rsid w:val="00BA37BE"/>
    <w:rsid w:val="00BA4ABC"/>
    <w:rsid w:val="00BB0527"/>
    <w:rsid w:val="00C11FE6"/>
    <w:rsid w:val="00C1519D"/>
    <w:rsid w:val="00C772B4"/>
    <w:rsid w:val="00CB2C2E"/>
    <w:rsid w:val="00D05C8F"/>
    <w:rsid w:val="00D644B3"/>
    <w:rsid w:val="00DC51F1"/>
    <w:rsid w:val="00DE161F"/>
    <w:rsid w:val="00E0522F"/>
    <w:rsid w:val="00E12CAA"/>
    <w:rsid w:val="00E43860"/>
    <w:rsid w:val="00E47024"/>
    <w:rsid w:val="00E53CE6"/>
    <w:rsid w:val="00E6301E"/>
    <w:rsid w:val="00E71D9B"/>
    <w:rsid w:val="00E959A2"/>
    <w:rsid w:val="00EB362D"/>
    <w:rsid w:val="00EE1F33"/>
    <w:rsid w:val="00F04347"/>
    <w:rsid w:val="00F2122F"/>
    <w:rsid w:val="00F4525D"/>
    <w:rsid w:val="00F720D2"/>
    <w:rsid w:val="00F73553"/>
    <w:rsid w:val="00FD24F0"/>
    <w:rsid w:val="148D49DB"/>
    <w:rsid w:val="157701EE"/>
    <w:rsid w:val="24AF60B8"/>
    <w:rsid w:val="2B1931F7"/>
    <w:rsid w:val="394A0C01"/>
    <w:rsid w:val="558F708E"/>
    <w:rsid w:val="7E10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B74CC"/>
  <w15:docId w15:val="{C88D0B87-2AD5-4DAA-A3E4-1BC5D2974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  <w:ind w:firstLine="709"/>
      <w:jc w:val="both"/>
    </w:pPr>
    <w:rPr>
      <w:rFonts w:eastAsiaTheme="minorHAnsi"/>
      <w:kern w:val="2"/>
      <w:sz w:val="28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jc w:val="center"/>
      <w:outlineLvl w:val="0"/>
    </w:pPr>
    <w:rPr>
      <w:rFonts w:eastAsiaTheme="majorEastAsia" w:cstheme="majorBidi"/>
      <w:b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jc w:val="center"/>
      <w:outlineLvl w:val="1"/>
    </w:pPr>
    <w:rPr>
      <w:rFonts w:eastAsiaTheme="majorEastAsia" w:cstheme="majorBidi"/>
      <w:b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467886" w:themeColor="hyperlink"/>
      <w:u w:val="single"/>
    </w:rPr>
  </w:style>
  <w:style w:type="paragraph" w:styleId="a4">
    <w:name w:val="header"/>
    <w:basedOn w:val="a"/>
    <w:link w:val="a5"/>
    <w:uiPriority w:val="99"/>
    <w:unhideWhenUsed/>
    <w:qFormat/>
    <w:pPr>
      <w:tabs>
        <w:tab w:val="center" w:pos="4677"/>
        <w:tab w:val="right" w:pos="9355"/>
      </w:tabs>
      <w:spacing w:line="240" w:lineRule="auto"/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left" w:pos="851"/>
        <w:tab w:val="right" w:leader="dot" w:pos="9344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pPr>
      <w:spacing w:after="100"/>
      <w:ind w:left="280"/>
    </w:pPr>
  </w:style>
  <w:style w:type="paragraph" w:styleId="a6">
    <w:name w:val="Title"/>
    <w:basedOn w:val="a"/>
    <w:next w:val="a"/>
    <w:link w:val="a7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line="240" w:lineRule="auto"/>
    </w:pPr>
  </w:style>
  <w:style w:type="paragraph" w:styleId="aa">
    <w:name w:val="Subtitle"/>
    <w:basedOn w:val="a"/>
    <w:next w:val="a"/>
    <w:link w:val="ab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table" w:styleId="ac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eastAsiaTheme="majorEastAsia" w:cstheme="majorBidi"/>
      <w:b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eastAsiaTheme="majorEastAsia" w:cstheme="majorBidi"/>
      <w:b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7">
    <w:name w:val="Заголовок Знак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Подзаголовок Знак"/>
    <w:basedOn w:val="a0"/>
    <w:link w:val="aa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ильное выделение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Выделенная цитата Знак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3">
    <w:name w:val="Сильная ссылка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spacing w:before="240" w:line="259" w:lineRule="auto"/>
      <w:ind w:firstLine="0"/>
      <w:jc w:val="left"/>
      <w:outlineLvl w:val="9"/>
    </w:pPr>
    <w:rPr>
      <w:kern w:val="0"/>
      <w:sz w:val="32"/>
      <w:szCs w:val="32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qFormat/>
  </w:style>
  <w:style w:type="character" w:customStyle="1" w:styleId="a9">
    <w:name w:val="Нижний колонтитул Знак"/>
    <w:basedOn w:val="a0"/>
    <w:link w:val="a8"/>
    <w:uiPriority w:val="99"/>
    <w:qFormat/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D2B43-4E8F-4818-A55A-1AD7B580B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1695</Words>
  <Characters>9664</Characters>
  <Application>Microsoft Office Word</Application>
  <DocSecurity>0</DocSecurity>
  <Lines>80</Lines>
  <Paragraphs>22</Paragraphs>
  <ScaleCrop>false</ScaleCrop>
  <Company/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Khonzoda Zokhidova</dc:creator>
  <cp:lastModifiedBy>Юрий Юречко</cp:lastModifiedBy>
  <cp:revision>4</cp:revision>
  <dcterms:created xsi:type="dcterms:W3CDTF">2026-01-19T19:06:00Z</dcterms:created>
  <dcterms:modified xsi:type="dcterms:W3CDTF">2026-03-23T19:33:00Z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CDE0B5E24C27489EBD7E1C7914BEAD1A_12</vt:lpwstr>
  </property>
</Properties>
</file>