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34C" w:rsidRDefault="00E0534C" w:rsidP="00E0534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DA08E5" w:rsidRDefault="00E0534C" w:rsidP="00E0534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«Абыйская средняя общеобразовательная школа имени д.т.н.Слепцова А.Е»</w:t>
      </w:r>
    </w:p>
    <w:p w:rsidR="00E0534C" w:rsidRDefault="00E0534C" w:rsidP="00E0534C">
      <w:pPr>
        <w:spacing w:after="0" w:line="240" w:lineRule="auto"/>
        <w:jc w:val="center"/>
      </w:pPr>
      <w:r>
        <w:rPr>
          <w:sz w:val="28"/>
          <w:szCs w:val="28"/>
        </w:rPr>
        <w:t xml:space="preserve">Республика Саха (Якутия) Абыйский улус (район) селоАбый </w:t>
      </w:r>
    </w:p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E0534C">
      <w:pPr>
        <w:spacing w:before="120" w:after="120"/>
        <w:jc w:val="center"/>
      </w:pPr>
      <w:r>
        <w:rPr>
          <w:sz w:val="40"/>
          <w:szCs w:val="44"/>
        </w:rPr>
        <w:t>М</w:t>
      </w:r>
      <w:r w:rsidRPr="00E0534C">
        <w:rPr>
          <w:sz w:val="40"/>
          <w:szCs w:val="44"/>
        </w:rPr>
        <w:t>етодическая разработка</w:t>
      </w:r>
    </w:p>
    <w:p w:rsidR="00E0534C" w:rsidRPr="00E0534C" w:rsidRDefault="00E0534C" w:rsidP="00E0534C">
      <w:pPr>
        <w:spacing w:after="0" w:line="240" w:lineRule="auto"/>
        <w:jc w:val="center"/>
        <w:rPr>
          <w:b/>
          <w:bCs/>
          <w:sz w:val="40"/>
          <w:szCs w:val="36"/>
        </w:rPr>
      </w:pPr>
      <w:r w:rsidRPr="00E0534C">
        <w:rPr>
          <w:b/>
          <w:bCs/>
          <w:sz w:val="40"/>
          <w:szCs w:val="36"/>
        </w:rPr>
        <w:t>«МАТЕМАТИЧЕСКАЯ ИГРА</w:t>
      </w:r>
    </w:p>
    <w:p w:rsidR="00DA08E5" w:rsidRPr="00E0534C" w:rsidRDefault="00E0534C" w:rsidP="00E0534C">
      <w:pPr>
        <w:spacing w:after="0" w:line="240" w:lineRule="auto"/>
        <w:jc w:val="center"/>
        <w:rPr>
          <w:sz w:val="24"/>
        </w:rPr>
      </w:pPr>
      <w:r w:rsidRPr="00E0534C">
        <w:rPr>
          <w:b/>
          <w:bCs/>
          <w:sz w:val="40"/>
          <w:szCs w:val="36"/>
        </w:rPr>
        <w:t>"БРЕЙН-РИНГ" ПО ЗАДАНИЯМ ОГЭ И ЕГЭ»</w:t>
      </w:r>
    </w:p>
    <w:p w:rsidR="00DA08E5" w:rsidRDefault="00DA08E5"/>
    <w:p w:rsidR="00DA08E5" w:rsidRDefault="00DA08E5"/>
    <w:p w:rsidR="00E0534C" w:rsidRDefault="00E0534C"/>
    <w:p w:rsidR="00E0534C" w:rsidRDefault="00E0534C"/>
    <w:p w:rsidR="00DA08E5" w:rsidRDefault="00DA08E5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79"/>
        <w:gridCol w:w="3668"/>
      </w:tblGrid>
      <w:tr w:rsidR="00DA08E5">
        <w:tblPrEx>
          <w:tblCellMar>
            <w:top w:w="0" w:type="dxa"/>
            <w:bottom w:w="0" w:type="dxa"/>
          </w:tblCellMar>
        </w:tblPrEx>
        <w:tc>
          <w:tcPr>
            <w:tcW w:w="6379" w:type="dxa"/>
            <w:noWrap/>
          </w:tcPr>
          <w:p w:rsidR="00DA08E5" w:rsidRDefault="00DA08E5"/>
        </w:tc>
        <w:tc>
          <w:tcPr>
            <w:tcW w:w="3668" w:type="dxa"/>
            <w:noWrap/>
          </w:tcPr>
          <w:p w:rsidR="00E0534C" w:rsidRDefault="00E0534C" w:rsidP="00E0534C">
            <w:pPr>
              <w:spacing w:before="4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: Садовникова Изабелла Николаева –</w:t>
            </w:r>
          </w:p>
          <w:p w:rsidR="00DA08E5" w:rsidRDefault="00E0534C" w:rsidP="00E0534C">
            <w:pPr>
              <w:spacing w:before="40" w:after="40"/>
              <w:jc w:val="right"/>
            </w:pPr>
            <w:r>
              <w:rPr>
                <w:sz w:val="28"/>
                <w:szCs w:val="28"/>
              </w:rPr>
              <w:t>учитель математики</w:t>
            </w:r>
          </w:p>
        </w:tc>
      </w:tr>
    </w:tbl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DA08E5"/>
    <w:p w:rsidR="00DA08E5" w:rsidRDefault="00956627">
      <w:pPr>
        <w:spacing w:before="40" w:after="40"/>
        <w:jc w:val="center"/>
      </w:pPr>
      <w:r>
        <w:rPr>
          <w:sz w:val="28"/>
          <w:szCs w:val="28"/>
          <w:lang w:val="en-US"/>
        </w:rPr>
        <w:t xml:space="preserve">2026 </w:t>
      </w:r>
      <w:r>
        <w:rPr>
          <w:sz w:val="28"/>
          <w:szCs w:val="28"/>
        </w:rPr>
        <w:t>г.</w:t>
      </w:r>
    </w:p>
    <w:p w:rsidR="00DA08E5" w:rsidRDefault="00DA08E5">
      <w:pPr>
        <w:sectPr w:rsidR="00DA08E5">
          <w:pgSz w:w="11900" w:h="16840"/>
          <w:pgMar w:top="567" w:right="850" w:bottom="568" w:left="993" w:header="708" w:footer="708" w:gutter="0"/>
          <w:cols w:space="720"/>
        </w:sectPr>
      </w:pPr>
    </w:p>
    <w:p w:rsidR="00DA08E5" w:rsidRDefault="00956627">
      <w:pPr>
        <w:pStyle w:val="a7"/>
      </w:pPr>
      <w:r>
        <w:lastRenderedPageBreak/>
        <w:t>Содержание</w:t>
      </w:r>
    </w:p>
    <w:p w:rsidR="00E0534C" w:rsidRDefault="00956627">
      <w:pPr>
        <w:pStyle w:val="14"/>
        <w:tabs>
          <w:tab w:val="right" w:leader="dot" w:pos="9629"/>
        </w:tabs>
        <w:rPr>
          <w:noProof/>
        </w:rPr>
      </w:pPr>
      <w:r>
        <w:fldChar w:fldCharType="begin"/>
      </w:r>
      <w:r>
        <w:instrText>TOC \o 1-9 \h \z \u</w:instrText>
      </w:r>
      <w:r>
        <w:fldChar w:fldCharType="separate"/>
      </w:r>
      <w:hyperlink w:anchor="_Toc226940009" w:history="1">
        <w:r w:rsidR="00E0534C" w:rsidRPr="0040434F">
          <w:rPr>
            <w:rStyle w:val="a8"/>
            <w:rFonts w:eastAsia="Courier New"/>
            <w:noProof/>
          </w:rPr>
          <w:t>Введение</w:t>
        </w:r>
        <w:r w:rsidR="00E0534C">
          <w:rPr>
            <w:noProof/>
            <w:webHidden/>
          </w:rPr>
          <w:tab/>
        </w:r>
        <w:r w:rsidR="00E0534C">
          <w:rPr>
            <w:noProof/>
            <w:webHidden/>
          </w:rPr>
          <w:fldChar w:fldCharType="begin"/>
        </w:r>
        <w:r w:rsidR="00E0534C">
          <w:rPr>
            <w:noProof/>
            <w:webHidden/>
          </w:rPr>
          <w:instrText xml:space="preserve"> PAGEREF _Toc226940009 \h </w:instrText>
        </w:r>
        <w:r w:rsidR="00E0534C">
          <w:rPr>
            <w:noProof/>
            <w:webHidden/>
          </w:rPr>
        </w:r>
        <w:r w:rsidR="00E0534C">
          <w:rPr>
            <w:noProof/>
            <w:webHidden/>
          </w:rPr>
          <w:fldChar w:fldCharType="separate"/>
        </w:r>
        <w:r w:rsidR="00E0534C">
          <w:rPr>
            <w:noProof/>
            <w:webHidden/>
          </w:rPr>
          <w:t>3</w:t>
        </w:r>
        <w:r w:rsidR="00E0534C"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  <w:hyperlink w:anchor="_Toc226940010" w:history="1">
        <w:r w:rsidRPr="0040434F">
          <w:rPr>
            <w:rStyle w:val="a8"/>
            <w:rFonts w:eastAsia="Courier New"/>
            <w:noProof/>
          </w:rPr>
          <w:t>1 Обоснование актуальности проведения математической игры "Брейн-ринг"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_Toc226940010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  <w:hyperlink w:anchor="_Toc226940011" w:history="1">
        <w:r w:rsidRPr="0040434F">
          <w:rPr>
            <w:rStyle w:val="a8"/>
            <w:rFonts w:eastAsia="Courier New"/>
            <w:noProof/>
          </w:rPr>
          <w:t>2 Цели и задачи игры "Брейн-ринг" как средства подготовки к ОГЭ и ЕГЭ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_Toc226940011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  <w:hyperlink w:anchor="_Toc226940012" w:history="1">
        <w:r w:rsidRPr="0040434F">
          <w:rPr>
            <w:rStyle w:val="a8"/>
            <w:rFonts w:eastAsia="Courier New"/>
            <w:noProof/>
          </w:rPr>
          <w:t>3 Структура и сценарий проведения математической игры "Брейн-ринг"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_Toc226940012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  <w:hyperlink w:anchor="_Toc226940013" w:history="1">
        <w:r w:rsidRPr="0040434F">
          <w:rPr>
            <w:rStyle w:val="a8"/>
            <w:rFonts w:eastAsia="Courier New"/>
            <w:noProof/>
          </w:rPr>
          <w:t>4 Материально-техническое обеспечение проведения брейн-ринга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_Toc226940013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  <w:hyperlink w:anchor="_Toc226940014" w:history="1">
        <w:r w:rsidRPr="0040434F">
          <w:rPr>
            <w:rStyle w:val="a8"/>
            <w:rFonts w:eastAsia="Courier New"/>
            <w:noProof/>
          </w:rPr>
          <w:t>5 Характеристика целевой аудитории — учащиеся 9-10 классов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_Toc226940014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  <w:hyperlink w:anchor="_Toc226940015" w:history="1">
        <w:r w:rsidRPr="0040434F">
          <w:rPr>
            <w:rStyle w:val="a8"/>
            <w:rFonts w:eastAsia="Courier New"/>
            <w:noProof/>
          </w:rPr>
          <w:t>6 Результаты внедрения: ожидаемые эффекты от проведения брейн-ринга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_Toc226940015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  <w:hyperlink w:anchor="_Toc226940016" w:history="1">
        <w:r w:rsidRPr="0040434F">
          <w:rPr>
            <w:rStyle w:val="a8"/>
            <w:rFonts w:eastAsia="Courier New"/>
            <w:noProof/>
          </w:rPr>
          <w:t>7 Описание итогового продукта методической разработки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_Toc226940016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  <w:hyperlink w:anchor="_Toc226940017" w:history="1">
        <w:r w:rsidRPr="0040434F">
          <w:rPr>
            <w:rStyle w:val="a8"/>
            <w:rFonts w:eastAsia="Courier New"/>
            <w:noProof/>
          </w:rPr>
          <w:t>8 Рекомендации по организации и проведению математического брейн-ринга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_Toc226940017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  <w:hyperlink w:anchor="_Toc226940018" w:history="1">
        <w:r w:rsidRPr="0040434F">
          <w:rPr>
            <w:rStyle w:val="a8"/>
            <w:rFonts w:eastAsia="Courier New"/>
            <w:noProof/>
          </w:rPr>
          <w:t>Заключение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_Toc226940018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0534C" w:rsidRDefault="00E0534C">
      <w:pPr>
        <w:pStyle w:val="14"/>
        <w:tabs>
          <w:tab w:val="right" w:leader="dot" w:pos="9629"/>
        </w:tabs>
        <w:rPr>
          <w:noProof/>
        </w:rPr>
      </w:pPr>
    </w:p>
    <w:p w:rsidR="00DA08E5" w:rsidRDefault="00956627">
      <w:r>
        <w:fldChar w:fldCharType="end"/>
      </w:r>
    </w:p>
    <w:p w:rsidR="00DA08E5" w:rsidRDefault="00DA08E5">
      <w:pPr>
        <w:sectPr w:rsidR="00DA08E5">
          <w:footerReference w:type="default" r:id="rId7"/>
          <w:pgSz w:w="11905" w:h="16837"/>
          <w:pgMar w:top="1133" w:right="566" w:bottom="1133" w:left="1700" w:header="720" w:footer="720" w:gutter="0"/>
          <w:cols w:space="720"/>
        </w:sectPr>
      </w:pPr>
    </w:p>
    <w:p w:rsidR="00DA08E5" w:rsidRDefault="00956627" w:rsidP="00E0534C">
      <w:pPr>
        <w:pStyle w:val="1"/>
        <w:jc w:val="center"/>
      </w:pPr>
      <w:bookmarkStart w:id="0" w:name="_Toc226940009"/>
      <w:r>
        <w:lastRenderedPageBreak/>
        <w:t>Введение</w:t>
      </w:r>
      <w:bookmarkEnd w:id="0"/>
    </w:p>
    <w:p w:rsidR="00DA08E5" w:rsidRDefault="00956627">
      <w:pPr>
        <w:pStyle w:val="paragraphStyleText"/>
      </w:pPr>
      <w:r>
        <w:rPr>
          <w:rStyle w:val="fontStyleText"/>
        </w:rPr>
        <w:t xml:space="preserve">Математическая игра "Брейн-ринг", представленная в данной методической разработке, ориентирована на учащихся 9–10 классов и служит инструментом для подготовки к экзаменам ОГЭ и ЕГЭ. </w:t>
      </w:r>
      <w:r>
        <w:rPr>
          <w:rStyle w:val="fontStyleText"/>
        </w:rPr>
        <w:t>Основная задача состоит в формировании у школьников прочных знаний по базовым темам школьной математики, с акцентом на повторение и закрепление ключевых понятий, необходимых для успешной сдачи экзаменационных испытаний.</w:t>
      </w:r>
    </w:p>
    <w:p w:rsidR="00DA08E5" w:rsidRDefault="00956627">
      <w:pPr>
        <w:pStyle w:val="paragraphStyleText"/>
      </w:pPr>
      <w:r>
        <w:rPr>
          <w:rStyle w:val="fontStyleText"/>
        </w:rPr>
        <w:t>В современной школьной практике нере</w:t>
      </w:r>
      <w:r>
        <w:rPr>
          <w:rStyle w:val="fontStyleText"/>
        </w:rPr>
        <w:t>дко отмечается недостаточная мотивация учащихся при подготовке к итоговым экзаменам, что связано с традиционными формами занятий, не всегда учитывающими потребности молодежи в динамичном и интерактивном обучении. Использование игровых технологий, в частнос</w:t>
      </w:r>
      <w:r>
        <w:rPr>
          <w:rStyle w:val="fontStyleText"/>
        </w:rPr>
        <w:t>ти формата брейн-ринга, позволяет создать конкурентную, при этом дружескую атмосферу, где скорость мышления, точность аргументации и умение работать в команде становятся важнейшими навыками.</w:t>
      </w:r>
    </w:p>
    <w:p w:rsidR="00DA08E5" w:rsidRDefault="00956627">
      <w:pPr>
        <w:pStyle w:val="paragraphStyleText"/>
      </w:pPr>
      <w:r>
        <w:rPr>
          <w:rStyle w:val="fontStyleText"/>
        </w:rPr>
        <w:t>В рамках этой работы подробно разбираются темы, включающие основн</w:t>
      </w:r>
      <w:r>
        <w:rPr>
          <w:rStyle w:val="fontStyleText"/>
        </w:rPr>
        <w:t>ые разделы программы ОГЭ и ЕГЭ, такие как алгебраические выражения, уравнения и неравенства, функции, геометрия, статистика и вероятность. Каждая тема представлена через соответствующие типы заданий, которые варьируются по уровню сложности и позволяют сист</w:t>
      </w:r>
      <w:r>
        <w:rPr>
          <w:rStyle w:val="fontStyleText"/>
        </w:rPr>
        <w:t>ематизировать знания, одновременно развивая логическое мышление и аналитические способности.</w:t>
      </w:r>
    </w:p>
    <w:p w:rsidR="00DA08E5" w:rsidRDefault="00956627">
      <w:pPr>
        <w:pStyle w:val="paragraphStyleText"/>
      </w:pPr>
      <w:r>
        <w:rPr>
          <w:rStyle w:val="fontStyleText"/>
        </w:rPr>
        <w:t>Особое внимание уделяется организации игрового процесса: определена структура вопросов, время на обдумывание ответов, правила взаимодействия между командами. Рассм</w:t>
      </w:r>
      <w:r>
        <w:rPr>
          <w:rStyle w:val="fontStyleText"/>
        </w:rPr>
        <w:t>отрены варианты использования технических средств, таких как интерактивные доски и планшеты, что способствует повышению вовлеченности учеников и улучшает восприятие материала. Описана методика стимулирования активного участия каждого участника через механи</w:t>
      </w:r>
      <w:r>
        <w:rPr>
          <w:rStyle w:val="fontStyleText"/>
        </w:rPr>
        <w:t>змы поощрения и определение ролей в команде.</w:t>
      </w:r>
    </w:p>
    <w:p w:rsidR="00DA08E5" w:rsidRDefault="00956627">
      <w:pPr>
        <w:pStyle w:val="paragraphStyleText"/>
      </w:pPr>
      <w:r>
        <w:rPr>
          <w:rStyle w:val="fontStyleText"/>
        </w:rPr>
        <w:lastRenderedPageBreak/>
        <w:t>Методическая разработка включает исследование характеристик целевой аудитории — учащихся 9–10 классов, с учетом их возрастных особенностей и психологической готовности к соревновательному формату мероприятия. Оп</w:t>
      </w:r>
      <w:r>
        <w:rPr>
          <w:rStyle w:val="fontStyleText"/>
        </w:rPr>
        <w:t>ределены критерии оценки эффективности игры как образовательной технологии, отражающие не только уровень усвоения математического материала, но и развитие коммуникативных и организационных навыков.</w:t>
      </w:r>
    </w:p>
    <w:p w:rsidR="00DA08E5" w:rsidRDefault="00956627">
      <w:pPr>
        <w:pStyle w:val="paragraphStyleText"/>
      </w:pPr>
      <w:r>
        <w:rPr>
          <w:rStyle w:val="fontStyleText"/>
        </w:rPr>
        <w:t>В заключении приведены рекомендации по организации и проведению математического брейн-ринга в школах, включая подготовительный этап, выбор тем и формулировок заданий, а также техническое обеспечение. Подчеркнута роль преподавателя как модератора и наставни</w:t>
      </w:r>
      <w:r>
        <w:rPr>
          <w:rStyle w:val="fontStyleText"/>
        </w:rPr>
        <w:t>ка, обеспечивающего конструктивное взаимодействие и поддерживающего позитивный настрой участников.</w:t>
      </w:r>
    </w:p>
    <w:p w:rsidR="00DA08E5" w:rsidRDefault="00956627">
      <w:pPr>
        <w:pStyle w:val="paragraphStyleText"/>
      </w:pPr>
      <w:r>
        <w:rPr>
          <w:rStyle w:val="fontStyleText"/>
        </w:rPr>
        <w:t>Таким образом, представленная методическая разработка предлагает конкретные решения для повышения качества и интереса к изучению математики путем внедрения и</w:t>
      </w:r>
      <w:r>
        <w:rPr>
          <w:rStyle w:val="fontStyleText"/>
        </w:rPr>
        <w:t>гры "Брейн-ринг", направленной на комплексное развитие интеллектуальных и социальных компетенций школьников.</w:t>
      </w:r>
    </w:p>
    <w:p w:rsidR="00DA08E5" w:rsidRDefault="00DA08E5">
      <w:pPr>
        <w:sectPr w:rsidR="00DA08E5">
          <w:footerReference w:type="default" r:id="rId8"/>
          <w:pgSz w:w="11905" w:h="16837"/>
          <w:pgMar w:top="1133" w:right="566" w:bottom="1133" w:left="1700" w:header="720" w:footer="720" w:gutter="0"/>
          <w:cols w:space="720"/>
        </w:sectPr>
      </w:pPr>
    </w:p>
    <w:p w:rsidR="00E0534C" w:rsidRDefault="00E0534C" w:rsidP="00E0534C">
      <w:pPr>
        <w:pStyle w:val="1"/>
        <w:spacing w:after="0"/>
        <w:jc w:val="center"/>
      </w:pPr>
      <w:bookmarkStart w:id="1" w:name="_Toc226940010"/>
      <w:r>
        <w:lastRenderedPageBreak/>
        <w:t xml:space="preserve">1. </w:t>
      </w:r>
      <w:r w:rsidR="00956627">
        <w:t xml:space="preserve">Обоснование актуальности проведения </w:t>
      </w:r>
    </w:p>
    <w:p w:rsidR="00DA08E5" w:rsidRDefault="00956627" w:rsidP="00E0534C">
      <w:pPr>
        <w:pStyle w:val="1"/>
        <w:spacing w:after="0"/>
        <w:jc w:val="center"/>
      </w:pPr>
      <w:r>
        <w:t>математической игры "Брейн-ринг"</w:t>
      </w:r>
      <w:bookmarkEnd w:id="1"/>
    </w:p>
    <w:p w:rsidR="00DA08E5" w:rsidRDefault="00956627">
      <w:pPr>
        <w:pStyle w:val="paragraphStyleText"/>
      </w:pPr>
      <w:r>
        <w:rPr>
          <w:rStyle w:val="fontStyleText"/>
        </w:rPr>
        <w:t>Современная подготовка учащихся к итоговым экзаменам по математике сталкивается с рядом трудностей, связанных с традиционными методами обучения, которые базируются преимущественно на механическом запоминании правил и алгоритмов. Такой подход не всегда стим</w:t>
      </w:r>
      <w:r>
        <w:rPr>
          <w:rStyle w:val="fontStyleText"/>
        </w:rPr>
        <w:t>улирует развитие критического и логического мышления, необходимых для решения нестандартных заданий, характерных для ОГЭ и ЕГЭ. Кроме того, пассивный формат занятий снижает мотивацию школьников и затрудняет усвоение материала в полном объеме.</w:t>
      </w:r>
    </w:p>
    <w:p w:rsidR="00DA08E5" w:rsidRDefault="00956627">
      <w:pPr>
        <w:pStyle w:val="paragraphStyleText"/>
      </w:pPr>
      <w:r>
        <w:rPr>
          <w:rStyle w:val="fontStyleText"/>
        </w:rPr>
        <w:t>Внедрение игр</w:t>
      </w:r>
      <w:r>
        <w:rPr>
          <w:rStyle w:val="fontStyleText"/>
        </w:rPr>
        <w:t>овых форматов, например математической игры "Брейн-ринг", позволяет заполнить эти пробелы, создавая условия для активной умственной деятельности и вовлеченности учащихся. Игровая деятельность способствует формированию навыков быстрого анализа, аргументации</w:t>
      </w:r>
      <w:r>
        <w:rPr>
          <w:rStyle w:val="fontStyleText"/>
        </w:rPr>
        <w:t xml:space="preserve"> и взаимодействия в команде, что невозможно в рамках традиционных фронтальных уроков. Конкурентный, но дружественный формат мотивирует учеников самостоятельно искать решения, лучше воспринимать и запоминать математические концепции.</w:t>
      </w:r>
    </w:p>
    <w:p w:rsidR="00DA08E5" w:rsidRDefault="00956627">
      <w:pPr>
        <w:pStyle w:val="paragraphStyleText"/>
      </w:pPr>
      <w:r>
        <w:rPr>
          <w:rStyle w:val="fontStyleText"/>
        </w:rPr>
        <w:t>Особенно важным станови</w:t>
      </w:r>
      <w:r>
        <w:rPr>
          <w:rStyle w:val="fontStyleText"/>
        </w:rPr>
        <w:t>тся развитие логического мышления, поскольку экзаменационные задания направлены не только на проверку знаний, но и на умение видеть связь между разными темами, выделять главное и строить обоснованные выводы. Работа в команде, организованная в условиях игры</w:t>
      </w:r>
      <w:r>
        <w:rPr>
          <w:rStyle w:val="fontStyleText"/>
        </w:rPr>
        <w:t>, формирует коммуникативные компетенции, учит координировать усилия и принимать коллективные решения, что соответствует современным требованиям к выпускникам.</w:t>
      </w:r>
    </w:p>
    <w:p w:rsidR="00DA08E5" w:rsidRDefault="00956627">
      <w:pPr>
        <w:pStyle w:val="paragraphStyleText"/>
      </w:pPr>
      <w:r>
        <w:rPr>
          <w:rStyle w:val="fontStyleText"/>
        </w:rPr>
        <w:t>Доказано, что применение инновационных методов, включающих игровые и исследовательские подходы, п</w:t>
      </w:r>
      <w:r>
        <w:rPr>
          <w:rStyle w:val="fontStyleText"/>
        </w:rPr>
        <w:t xml:space="preserve">озволяет повысить качество подготовки к ОГЭ и ЕГЭ [8]. Это подтверждается результатами педагогической практики: стабильный рост средних баллов и уровня мотивации учащихся свидетельствует о высокой эффективности таких методов. Игровые технологии </w:t>
      </w:r>
      <w:r>
        <w:rPr>
          <w:rStyle w:val="fontStyleText"/>
        </w:rPr>
        <w:lastRenderedPageBreak/>
        <w:t>позволяют а</w:t>
      </w:r>
      <w:r>
        <w:rPr>
          <w:rStyle w:val="fontStyleText"/>
        </w:rPr>
        <w:t>даптировать материал под индивидуальные особенности учащихся и стимулируют творческое мышление без потери системности и ответственности при выполнении заданий.</w:t>
      </w:r>
    </w:p>
    <w:p w:rsidR="00DA08E5" w:rsidRDefault="00956627">
      <w:pPr>
        <w:pStyle w:val="paragraphStyleText"/>
      </w:pPr>
      <w:r>
        <w:rPr>
          <w:rStyle w:val="fontStyleText"/>
        </w:rPr>
        <w:t>Цель данной методической разработки — интегрировать игровой формат "Брейн-ринг" в процесс подгот</w:t>
      </w:r>
      <w:r>
        <w:rPr>
          <w:rStyle w:val="fontStyleText"/>
        </w:rPr>
        <w:t>овки, чтобы повысить мотивированность и качество усвоения материала. Такой подход активно поддерживается педагогами, которые отмечают улучшение участия и интереса к предмету среди учеников. Благодаря игровым элементам школьники осваивают не только конкретн</w:t>
      </w:r>
      <w:r>
        <w:rPr>
          <w:rStyle w:val="fontStyleText"/>
        </w:rPr>
        <w:t>ые математические темы, но и необходимые для экзамена умения — внимательно читать условия, аргументированно отвечать и работать с информацией гибко и быстро.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Таким образом, актуальность внедрения математической игры "Брейн-ринг" обусловлена необходимостью </w:t>
      </w:r>
      <w:r>
        <w:rPr>
          <w:rStyle w:val="fontStyleText"/>
        </w:rPr>
        <w:t xml:space="preserve">совершенствовать традиционные методы подготовки к ОГЭ и ЕГЭ, ориентируясь на более вовлекающий, многогранный формат, способствующий развитию логики, мышления и командных навыков, что напрямую отражается на успешности сдачи экзаменов и дальнейшем отношении </w:t>
      </w:r>
      <w:r>
        <w:rPr>
          <w:rStyle w:val="fontStyleText"/>
        </w:rPr>
        <w:t>к предмету [9].</w:t>
      </w:r>
    </w:p>
    <w:p w:rsidR="00DA08E5" w:rsidRDefault="00DA08E5">
      <w:pPr>
        <w:sectPr w:rsidR="00DA08E5">
          <w:footerReference w:type="default" r:id="rId9"/>
          <w:pgSz w:w="11905" w:h="16837"/>
          <w:pgMar w:top="1133" w:right="566" w:bottom="1133" w:left="1700" w:header="720" w:footer="720" w:gutter="0"/>
          <w:cols w:space="720"/>
        </w:sectPr>
      </w:pPr>
    </w:p>
    <w:p w:rsidR="00E0534C" w:rsidRDefault="00E0534C" w:rsidP="00E0534C">
      <w:pPr>
        <w:pStyle w:val="1"/>
        <w:spacing w:after="0" w:line="240" w:lineRule="auto"/>
        <w:jc w:val="center"/>
      </w:pPr>
      <w:bookmarkStart w:id="2" w:name="_Toc226940011"/>
      <w:r>
        <w:lastRenderedPageBreak/>
        <w:t xml:space="preserve">2. </w:t>
      </w:r>
      <w:r w:rsidR="00956627">
        <w:t xml:space="preserve">Цели и задачи игры "Брейн-ринг" как средства подготовки к </w:t>
      </w:r>
    </w:p>
    <w:p w:rsidR="00DA08E5" w:rsidRDefault="00956627" w:rsidP="00E0534C">
      <w:pPr>
        <w:pStyle w:val="1"/>
        <w:spacing w:after="0" w:line="240" w:lineRule="auto"/>
        <w:jc w:val="center"/>
      </w:pPr>
      <w:r>
        <w:t>ОГЭ и ЕГЭ</w:t>
      </w:r>
      <w:bookmarkEnd w:id="2"/>
    </w:p>
    <w:p w:rsidR="00DA08E5" w:rsidRDefault="00956627">
      <w:pPr>
        <w:pStyle w:val="paragraphStyleText"/>
      </w:pPr>
      <w:r>
        <w:rPr>
          <w:rStyle w:val="fontStyleText"/>
        </w:rPr>
        <w:t>Образовательные цели математической игры "Брейн-ринг" направлены на формирование устойчивых знаний и умений, необходимых для успешного решения экзаме</w:t>
      </w:r>
      <w:r>
        <w:rPr>
          <w:rStyle w:val="fontStyleText"/>
        </w:rPr>
        <w:t xml:space="preserve">национных задач ОГЭ и ЕГЭ. Игра способствует развитию универсальных учебных действий: быстрого и точного счета, понимания математических понятий, закономерностей и алгоритмов, что соответствует требованиям экзаменационной программы и помогает преодолевать </w:t>
      </w:r>
      <w:r>
        <w:rPr>
          <w:rStyle w:val="fontStyleText"/>
        </w:rPr>
        <w:t>дефициты традиционного обучения [19]. Важен акцент на вовлечении учащихся в активное познавательное деятельность с целью закрепления и углубления пройденного материала.</w:t>
      </w:r>
    </w:p>
    <w:p w:rsidR="00DA08E5" w:rsidRDefault="00956627">
      <w:pPr>
        <w:pStyle w:val="paragraphStyleText"/>
      </w:pPr>
      <w:r>
        <w:rPr>
          <w:rStyle w:val="fontStyleText"/>
        </w:rPr>
        <w:t>Развивающая составляющая состоит в формировании у школьников навыков самостоятельного и</w:t>
      </w:r>
      <w:r>
        <w:rPr>
          <w:rStyle w:val="fontStyleText"/>
        </w:rPr>
        <w:t xml:space="preserve"> творческого мышления, критического анализа условий и поиска нестандартных решений. В ходе игры активизируется внимание, логика, память и скорость реакции, что способствует улучшению способности ориентироваться в разнообразных типах заданий и эффективнее п</w:t>
      </w:r>
      <w:r>
        <w:rPr>
          <w:rStyle w:val="fontStyleText"/>
        </w:rPr>
        <w:t>рименять знания на практике. Стимулируется также командная работа, развитие коммуникативных и организационных навыков, что поддерживает социальное взаимодействие и помогает создавать благоприятную учебную среду [5].</w:t>
      </w:r>
    </w:p>
    <w:p w:rsidR="00DA08E5" w:rsidRDefault="00956627">
      <w:pPr>
        <w:pStyle w:val="paragraphStyleText"/>
      </w:pPr>
      <w:r>
        <w:rPr>
          <w:rStyle w:val="fontStyleText"/>
        </w:rPr>
        <w:t>Воспитательные цели включают формировани</w:t>
      </w:r>
      <w:r>
        <w:rPr>
          <w:rStyle w:val="fontStyleText"/>
        </w:rPr>
        <w:t>е у учащихся уверенности в собственных силах и толерантности к ошибкам как элементам учебного процесса. Игровая ситуация снижает стресс и боязнь неудач, что особенно актуально в подготовки к важным экзаменам. Создаются условия для проявления индивидуальных</w:t>
      </w:r>
      <w:r>
        <w:rPr>
          <w:rStyle w:val="fontStyleText"/>
        </w:rPr>
        <w:t xml:space="preserve"> возможностей каждого ученика, а также для формирования чувства ответственности за совместный результат. Таким образом, игра способствует развитию положительных личностных качеств и мотивирует к дальнейшему изучению математики в атмосфере сотрудничества и </w:t>
      </w:r>
      <w:r>
        <w:rPr>
          <w:rStyle w:val="fontStyleText"/>
        </w:rPr>
        <w:t>взаимоподдержки.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Для реализации указанных целей обозначены конкретные задачи, включая систематизацию и повторение ключевых тем экзаменационной </w:t>
      </w:r>
      <w:r>
        <w:rPr>
          <w:rStyle w:val="fontStyleText"/>
        </w:rPr>
        <w:lastRenderedPageBreak/>
        <w:t>программы, развитие навыков устного и письменного решения задач, совершенствование математической речи и умения ч</w:t>
      </w:r>
      <w:r>
        <w:rPr>
          <w:rStyle w:val="fontStyleText"/>
        </w:rPr>
        <w:t>етко формулировать свои мысли. Особое внимание уделяется формированию способности грамотно работать с текстовыми задачами, что нередко представляет трудность у обучающихся. Кроме того, предусматривается стимулирование активности каждого участника команды и</w:t>
      </w:r>
      <w:r>
        <w:rPr>
          <w:rStyle w:val="fontStyleText"/>
        </w:rPr>
        <w:t xml:space="preserve"> формирование умений работать в условиях ограниченного времени, что важно для повышения эффективности подготовки к экзаменам [15].</w:t>
      </w:r>
    </w:p>
    <w:p w:rsidR="00DA08E5" w:rsidRDefault="00956627">
      <w:pPr>
        <w:pStyle w:val="paragraphStyleText"/>
      </w:pPr>
      <w:r>
        <w:rPr>
          <w:rStyle w:val="fontStyleText"/>
        </w:rPr>
        <w:t>Связь целей и задач игры с проблемами традиционного обучения, изложенными ранее, выражается в замене пассивного восприятия зн</w:t>
      </w:r>
      <w:r>
        <w:rPr>
          <w:rStyle w:val="fontStyleText"/>
        </w:rPr>
        <w:t>аний на активный, интерактивный процесс, способствующий более глубокому пониманию и усвоению учебного материала. Использование соревновательного формата направлено на усиление мотивации и снятие психологических барьеров, мешающих учащимся свободно решать д</w:t>
      </w:r>
      <w:r>
        <w:rPr>
          <w:rStyle w:val="fontStyleText"/>
        </w:rPr>
        <w:t>аже знакомые задачи. Таким образом, игра выполняет функцию эффективного дополнения к традиционным урокам и репетициям экзаменационных ситуаций.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Данный теоретический фундамент подготавливает читателя к более подробному описанию структуры игры "Брейн-ринг", </w:t>
      </w:r>
      <w:r>
        <w:rPr>
          <w:rStyle w:val="fontStyleText"/>
        </w:rPr>
        <w:t>которое представлено в следующем разделе. В нем будет раскрыта организация раундов, типы заданий, правила взаимодействия между командами и принципы оценки результатов, что позволит понять, как поставленные цели и задачи реализуются на практике через тщател</w:t>
      </w:r>
      <w:r>
        <w:rPr>
          <w:rStyle w:val="fontStyleText"/>
        </w:rPr>
        <w:t>ьно продуманный игровой процесс.</w:t>
      </w:r>
    </w:p>
    <w:p w:rsidR="00DA08E5" w:rsidRDefault="00DA08E5">
      <w:pPr>
        <w:sectPr w:rsidR="00DA08E5">
          <w:footerReference w:type="default" r:id="rId10"/>
          <w:pgSz w:w="11905" w:h="16837"/>
          <w:pgMar w:top="1133" w:right="566" w:bottom="1133" w:left="1700" w:header="720" w:footer="720" w:gutter="0"/>
          <w:cols w:space="720"/>
        </w:sectPr>
      </w:pPr>
    </w:p>
    <w:p w:rsidR="00DA08E5" w:rsidRDefault="00E0534C">
      <w:pPr>
        <w:pStyle w:val="1"/>
      </w:pPr>
      <w:bookmarkStart w:id="3" w:name="_Toc226940012"/>
      <w:r>
        <w:lastRenderedPageBreak/>
        <w:t xml:space="preserve">3. </w:t>
      </w:r>
      <w:r w:rsidR="00956627">
        <w:t>Структура и сценарий проведения математической игры "Брейн-ринг"</w:t>
      </w:r>
      <w:bookmarkEnd w:id="3"/>
    </w:p>
    <w:p w:rsidR="00DA08E5" w:rsidRDefault="00956627">
      <w:pPr>
        <w:pStyle w:val="paragraphStyleText"/>
      </w:pPr>
      <w:r>
        <w:rPr>
          <w:rStyle w:val="fontStyleText"/>
        </w:rPr>
        <w:t>Переходя от формулировки целей и задач к практике, рассмотрим детальную структуру и сценарий проведения математической игры "Брейн-ринг</w:t>
      </w:r>
      <w:r>
        <w:rPr>
          <w:rStyle w:val="fontStyleText"/>
        </w:rPr>
        <w:t>" как эффективного формата подготовки к ОГЭ и ЕГЭ. Игра организована как интерактивное внеурочное мероприятие, в котором принимают участие две команды по шесть человек, что обеспечивает активное вовлечение каждого участника [12].</w:t>
      </w:r>
    </w:p>
    <w:p w:rsidR="00DA08E5" w:rsidRDefault="00956627">
      <w:pPr>
        <w:pStyle w:val="paragraphStyleText"/>
      </w:pPr>
      <w:r>
        <w:rPr>
          <w:rStyle w:val="fontStyleText"/>
        </w:rPr>
        <w:t>Ведущие открывают игру вст</w:t>
      </w:r>
      <w:r>
        <w:rPr>
          <w:rStyle w:val="fontStyleText"/>
        </w:rPr>
        <w:t>упительными словами, знакомят команды друг с другом и с жюри, создавая атмосферу дружеского соревнования. Мероприятие состоит из четырёх основных раундов, каждый из которых направлен на отработку разных навыков и охватывает разнообразные математические тем</w:t>
      </w:r>
      <w:r>
        <w:rPr>
          <w:rStyle w:val="fontStyleText"/>
        </w:rPr>
        <w:t>ы.</w:t>
      </w:r>
    </w:p>
    <w:p w:rsidR="00DA08E5" w:rsidRDefault="00956627">
      <w:pPr>
        <w:pStyle w:val="paragraphStyleText"/>
      </w:pPr>
      <w:r>
        <w:rPr>
          <w:rStyle w:val="fontStyleText"/>
        </w:rPr>
        <w:t>Первый раунд — «Разминка» — включает быстрые вопросы, требующие логического мышления и базовых арифметических вычислений. Например, проверяются умения работать с процентами, степенями и элементарными задачами на логику. Важно, что вопросы задаются однов</w:t>
      </w:r>
      <w:r>
        <w:rPr>
          <w:rStyle w:val="fontStyleText"/>
        </w:rPr>
        <w:t>ременно обеим командам, что стимулирует сосредоточенность и оперативность.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Второй раунд называется «Кто умнее?» и представляет собой очерёдное предоставление вопросов командам с ограничением времени в одну минуту на ответ. Этот раунд ориентирован на более </w:t>
      </w:r>
      <w:r>
        <w:rPr>
          <w:rStyle w:val="fontStyleText"/>
        </w:rPr>
        <w:t>сложные задачи, например, связанные с измерениями времени и объёма, что способствует развитию аналитических навыков и умению быстро принимать решения.</w:t>
      </w:r>
    </w:p>
    <w:p w:rsidR="00DA08E5" w:rsidRDefault="00956627">
      <w:pPr>
        <w:pStyle w:val="paragraphStyleText"/>
      </w:pPr>
      <w:r>
        <w:rPr>
          <w:rStyle w:val="fontStyleText"/>
        </w:rPr>
        <w:t>Третий этап — «Конкурс капитанов» — направлен на устные вычисления и быструю сумму ряда чисел. Этот раунд</w:t>
      </w:r>
      <w:r>
        <w:rPr>
          <w:rStyle w:val="fontStyleText"/>
        </w:rPr>
        <w:t xml:space="preserve"> помогает развить внимательность и скорость арифметических операций под давлением времени, а также укрепляет роль капитана как лидера команды.</w:t>
      </w:r>
    </w:p>
    <w:p w:rsidR="00DA08E5" w:rsidRDefault="00956627">
      <w:pPr>
        <w:pStyle w:val="paragraphStyleText"/>
      </w:pPr>
      <w:r>
        <w:rPr>
          <w:rStyle w:val="fontStyleText"/>
        </w:rPr>
        <w:t>Завершается игра раундом «Чёрный ящик», в котором командам предлагается отгадать загадку, связанную с математичес</w:t>
      </w:r>
      <w:r>
        <w:rPr>
          <w:rStyle w:val="fontStyleText"/>
        </w:rPr>
        <w:t xml:space="preserve">ким предметом или историей науки, например, циркуль. Такой элемент добавляет в игру интригу и </w:t>
      </w:r>
      <w:r>
        <w:rPr>
          <w:rStyle w:val="fontStyleText"/>
        </w:rPr>
        <w:lastRenderedPageBreak/>
        <w:t>расширяет кругозор участников, связывая теоретические знания с реальными объектами и фактами [12].</w:t>
      </w:r>
    </w:p>
    <w:p w:rsidR="00DA08E5" w:rsidRDefault="00956627">
      <w:pPr>
        <w:pStyle w:val="paragraphStyleText"/>
      </w:pPr>
      <w:r>
        <w:rPr>
          <w:rStyle w:val="fontStyleText"/>
        </w:rPr>
        <w:t>Каждый раунд сопровождается чёткими правилами, регламентирующим</w:t>
      </w:r>
      <w:r>
        <w:rPr>
          <w:rStyle w:val="fontStyleText"/>
        </w:rPr>
        <w:t xml:space="preserve">и время на ответы и критерии оценки баллов. Для поддержки мотивации и соревновательного духа используются игровые механики: начисление очков за каждый правильный ответ, вестибюлирование с комментариями ведущего, а также небольшие перерывы для обсуждения и </w:t>
      </w:r>
      <w:r>
        <w:rPr>
          <w:rStyle w:val="fontStyleText"/>
        </w:rPr>
        <w:t>эмоциональной разрядки. Роль ведущего заключается не только в контроле игры, но и в создании позитивного эмоционального фона, поддержке команд и своевременном поощрении активных участников.</w:t>
      </w:r>
    </w:p>
    <w:p w:rsidR="00DA08E5" w:rsidRDefault="00956627">
      <w:pPr>
        <w:pStyle w:val="paragraphStyleText"/>
      </w:pPr>
      <w:r>
        <w:rPr>
          <w:rStyle w:val="fontStyleText"/>
        </w:rPr>
        <w:t>Технически проведение мероприятия требует подготовленного простран</w:t>
      </w:r>
      <w:r>
        <w:rPr>
          <w:rStyle w:val="fontStyleText"/>
        </w:rPr>
        <w:t xml:space="preserve">ства с мультимедийным оборудованием: компьютер с презентацией или интерактивными заданиями, проектор для отображения вопросов, а также плакаты с наглядным материалом и жюри для объективной оценки. Эти ресурсы обеспечивают наглядность, поддерживают интерес </w:t>
      </w:r>
      <w:r>
        <w:rPr>
          <w:rStyle w:val="fontStyleText"/>
        </w:rPr>
        <w:t>и способствуют эффективному взаимодействию участников и зрителей [3].</w:t>
      </w:r>
    </w:p>
    <w:p w:rsidR="00DA08E5" w:rsidRDefault="00956627">
      <w:pPr>
        <w:pStyle w:val="paragraphStyleText"/>
      </w:pPr>
      <w:r>
        <w:rPr>
          <w:rStyle w:val="fontStyleText"/>
        </w:rPr>
        <w:t>В целом, структура "Брейн-ринга"</w:t>
      </w:r>
      <w:r>
        <w:rPr>
          <w:rStyle w:val="fontStyleText"/>
        </w:rPr>
        <w:t xml:space="preserve"> создает оптимальное сочетание интеллектуального напряжения и игровой динамики, что повышает концентрацию и вовлеченность учащихся, а последовательность раундов постепенно усложняет задания, позволяя адаптировать сложность под уровень подготовки команд. Та</w:t>
      </w:r>
      <w:r>
        <w:rPr>
          <w:rStyle w:val="fontStyleText"/>
        </w:rPr>
        <w:t>кое пошаговое построение способствует формированию устойчивых навыков и создает условия для успешной подготовки к экзаменам.</w:t>
      </w:r>
    </w:p>
    <w:p w:rsidR="00DA08E5" w:rsidRDefault="00DA08E5">
      <w:pPr>
        <w:keepNext/>
        <w:jc w:val="center"/>
      </w:pPr>
    </w:p>
    <w:p w:rsidR="00DA08E5" w:rsidRDefault="00956627">
      <w:pPr>
        <w:pStyle w:val="paragraphStyleText"/>
      </w:pPr>
      <w:r>
        <w:rPr>
          <w:rStyle w:val="fontStyleText"/>
        </w:rPr>
        <w:t>Таким образом, описанный сценарий, осно</w:t>
      </w:r>
      <w:r>
        <w:rPr>
          <w:rStyle w:val="fontStyleText"/>
        </w:rPr>
        <w:t>ванный на опыте педагогов и апробации в школьной практике, представляет собой универсальную модель для организации математической игры "Брейн-ринг". Его реализация требует подготовки ведущего, технической базы и продуманного выбора заданий, ориентированных</w:t>
      </w:r>
      <w:r>
        <w:rPr>
          <w:rStyle w:val="fontStyleText"/>
        </w:rPr>
        <w:t xml:space="preserve"> на материа́л ОГЭ и ЕГЭ, что обеспечивает максимальную практическую пользу для участников [12][3].</w:t>
      </w:r>
    </w:p>
    <w:p w:rsidR="00DA08E5" w:rsidRDefault="00DA08E5">
      <w:pPr>
        <w:sectPr w:rsidR="00DA08E5">
          <w:footerReference w:type="default" r:id="rId11"/>
          <w:pgSz w:w="11905" w:h="16837"/>
          <w:pgMar w:top="1133" w:right="566" w:bottom="1133" w:left="1700" w:header="720" w:footer="720" w:gutter="0"/>
          <w:cols w:space="720"/>
        </w:sectPr>
      </w:pPr>
    </w:p>
    <w:p w:rsidR="00DA08E5" w:rsidRDefault="00E0534C" w:rsidP="00E0534C">
      <w:pPr>
        <w:pStyle w:val="1"/>
        <w:jc w:val="center"/>
      </w:pPr>
      <w:bookmarkStart w:id="4" w:name="_Toc226940013"/>
      <w:r>
        <w:lastRenderedPageBreak/>
        <w:t xml:space="preserve">4. </w:t>
      </w:r>
      <w:r w:rsidR="00956627">
        <w:t>Материально-техническое обеспечение проведения брейн-ринга</w:t>
      </w:r>
      <w:bookmarkEnd w:id="4"/>
    </w:p>
    <w:p w:rsidR="00DA08E5" w:rsidRDefault="00956627">
      <w:pPr>
        <w:pStyle w:val="paragraphStyleText"/>
      </w:pPr>
      <w:r>
        <w:rPr>
          <w:rStyle w:val="fontStyleText"/>
        </w:rPr>
        <w:t>Практическая реализация математической игры "Брейн-ринг" предполагает испол</w:t>
      </w:r>
      <w:r>
        <w:rPr>
          <w:rStyle w:val="fontStyleText"/>
        </w:rPr>
        <w:t>ьзование специализированного материально-технического обеспечения, позволяющего организовать динамичный и интерактивный процесс. Одним из ключевых ресурсов являются брейн-системы DOKA, которые представляют собой беспроводные комплекты для проведения виктор</w:t>
      </w:r>
      <w:r>
        <w:rPr>
          <w:rStyle w:val="fontStyleText"/>
        </w:rPr>
        <w:t>ин и интеллектуальных игр. Данные системы выпускаются в двух вариантах: автономная модель, не требующая подключения к электросети или интернету, и профессиональная версия с расширенным программным обеспечением для ПК. Автономная система обеспечивает просто</w:t>
      </w:r>
      <w:r>
        <w:rPr>
          <w:rStyle w:val="fontStyleText"/>
        </w:rPr>
        <w:t>ту и мобильность, быстро настраивается и подходит для любых условий, включая мероприятия на открытых площадках, поддерживая до 50 беспроводных кнопок с дальностью сигнала до 100 метров. Профессиональная версия расширяет функционал, позволяя создавать викто</w:t>
      </w:r>
      <w:r>
        <w:rPr>
          <w:rStyle w:val="fontStyleText"/>
        </w:rPr>
        <w:t>рины с различными логиками, автоматизировать подсчет баллов и поддерживать до 100 кнопок, что удобно для больших коллективов и более сложных сценариев [1].</w:t>
      </w:r>
    </w:p>
    <w:p w:rsidR="00DA08E5" w:rsidRDefault="00956627">
      <w:pPr>
        <w:pStyle w:val="paragraphStyleText"/>
      </w:pPr>
      <w:r>
        <w:rPr>
          <w:rStyle w:val="fontStyleText"/>
        </w:rPr>
        <w:t>Кнопки брейн-системы работают на батарейках типа D, легко заменяемых в ходе игры. Они обеспечивают м</w:t>
      </w:r>
      <w:r>
        <w:rPr>
          <w:rStyle w:val="fontStyleText"/>
        </w:rPr>
        <w:t>гновенный отклик с задержкой менее 1 миллисекунды, что исключает споры о порядке ответа. При нажатии первая кнопка подсвечивается и подает звуковой сигнал, что помогает ведущему и жюри оперативно фиксировать результат. Противоударная конструкция гарантируе</w:t>
      </w:r>
      <w:r>
        <w:rPr>
          <w:rStyle w:val="fontStyleText"/>
        </w:rPr>
        <w:t>т долговечность оборудования при активной эксплуатации. Разнообразие режимов работы — классический быстрый ответ, выбор из вариантов и режим на выбывание — дает возможность адаптировать игру под учебные задачи и развивать разные навыки [1][2].</w:t>
      </w:r>
    </w:p>
    <w:p w:rsidR="00DA08E5" w:rsidRDefault="00956627">
      <w:pPr>
        <w:pStyle w:val="paragraphStyleText"/>
      </w:pPr>
      <w:r>
        <w:rPr>
          <w:rStyle w:val="fontStyleText"/>
        </w:rPr>
        <w:t>Дополнительн</w:t>
      </w:r>
      <w:r>
        <w:rPr>
          <w:rStyle w:val="fontStyleText"/>
        </w:rPr>
        <w:t>о для проведения брейн-ринга могут использоваться интерактивные беспроводные "тумбы" с большими кнопками, предназначенные для викторин и шоу-программ. Тумбы имеют встроенные световые индикаторы разных цветов и громкие звуковые сигналы, которые можно отключ</w:t>
      </w:r>
      <w:r>
        <w:rPr>
          <w:rStyle w:val="fontStyleText"/>
        </w:rPr>
        <w:t xml:space="preserve">ать по необходимости. Они могут одновременно корректно обрабатывать сигналы от </w:t>
      </w:r>
      <w:r>
        <w:rPr>
          <w:rStyle w:val="fontStyleText"/>
        </w:rPr>
        <w:lastRenderedPageBreak/>
        <w:t>до 99 устройств на дистанции до 100 метров, что делает их удобными для командных соревнований большого масштаба. Встроенный аккумулятор обеспечивает до 2000 срабатываний без под</w:t>
      </w:r>
      <w:r>
        <w:rPr>
          <w:rStyle w:val="fontStyleText"/>
        </w:rPr>
        <w:t>зарядки, а прочная конструкция выдерживает интенсивное использование [6].</w:t>
      </w:r>
    </w:p>
    <w:p w:rsidR="00DA08E5" w:rsidRDefault="00956627">
      <w:pPr>
        <w:pStyle w:val="paragraphStyleText"/>
      </w:pPr>
      <w:r>
        <w:rPr>
          <w:rStyle w:val="fontStyleText"/>
        </w:rPr>
        <w:t>Кроме аппаратного обеспечения, необходим комплект методических материалов в виде плакатов и наглядных пособий, которые способствуют лучшему восприятию и пониманию учебных тем. Исполь</w:t>
      </w:r>
      <w:r>
        <w:rPr>
          <w:rStyle w:val="fontStyleText"/>
        </w:rPr>
        <w:t>зование проектора и компьютера с заранее подготовленными презентациями и электронными тестами позволяет разнообразить подачу заданий и вести подсчет баллов в автоматическом режиме, повышая объективность и удобство проведения мероприятия. Технические средст</w:t>
      </w:r>
      <w:r>
        <w:rPr>
          <w:rStyle w:val="fontStyleText"/>
        </w:rPr>
        <w:t>ва делают игру более зрелищной и вовлекающей, стимулируя активное участие и поддерживая высокий эмоциональный тонус у обучающихся [14].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Наличие такого комплекса оборудования и материалов существенно облегчает организацию и проведение брейн-ринга, позволяя </w:t>
      </w:r>
      <w:r>
        <w:rPr>
          <w:rStyle w:val="fontStyleText"/>
        </w:rPr>
        <w:t>повысить качество образовательного процесса за счет интерактивности и мгновенной обратной связи. Мобильность и простота использования систем обеспечивают возможность проведения игр как в специализированных учебных классах, так и в многофункциональных аудит</w:t>
      </w:r>
      <w:r>
        <w:rPr>
          <w:rStyle w:val="fontStyleText"/>
        </w:rPr>
        <w:t>ориях или на открытых площадках. При этом возможность аренды оборудования на короткие сроки и его доставка по регионам делает методику доступной для широкого круга образовательных учреждений.</w:t>
      </w:r>
    </w:p>
    <w:p w:rsidR="00DA08E5" w:rsidRDefault="00956627">
      <w:pPr>
        <w:pStyle w:val="paragraphStyleText"/>
      </w:pPr>
      <w:r>
        <w:rPr>
          <w:rStyle w:val="fontStyleText"/>
        </w:rPr>
        <w:t>Таким образом, грамотный подбор и использование современного тех</w:t>
      </w:r>
      <w:r>
        <w:rPr>
          <w:rStyle w:val="fontStyleText"/>
        </w:rPr>
        <w:t>нического оснащения позволяют создать оптимальные условия для проведения математической игры "Брейн-ринг", что способствует повышению мотивации учащихся и эффективной подготовки к экзаменам. В следующем разделе будет рассмотрена целевая аудитория, для кото</w:t>
      </w:r>
      <w:r>
        <w:rPr>
          <w:rStyle w:val="fontStyleText"/>
        </w:rPr>
        <w:t>рой предназначена данная методика, с учетом их образовательных и возрастных особенностей.</w:t>
      </w:r>
    </w:p>
    <w:p w:rsidR="00DA08E5" w:rsidRDefault="00956627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510280" cy="197612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8E5" w:rsidRDefault="00956627">
      <w:pPr>
        <w:jc w:val="center"/>
      </w:pPr>
      <w:r>
        <w:rPr>
          <w:rStyle w:val="fontStyleText"/>
        </w:rPr>
        <w:t>Оборудование и технические средства для проведения брейн-ринга</w:t>
      </w:r>
    </w:p>
    <w:p w:rsidR="00DA08E5" w:rsidRDefault="00956627">
      <w:pPr>
        <w:keepNext/>
        <w:jc w:val="center"/>
      </w:pPr>
      <w:r>
        <w:rPr>
          <w:noProof/>
        </w:rPr>
        <w:drawing>
          <wp:inline distT="0" distB="0" distL="0" distR="0">
            <wp:extent cx="5722620" cy="3215005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321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8E5" w:rsidRDefault="00956627">
      <w:pPr>
        <w:jc w:val="center"/>
      </w:pPr>
      <w:r>
        <w:rPr>
          <w:rStyle w:val="fontStyleText"/>
        </w:rPr>
        <w:t>Примеры материально-технического обеспечения для проведения брейн-ринга: кн</w:t>
      </w:r>
      <w:r>
        <w:rPr>
          <w:rStyle w:val="fontStyleText"/>
        </w:rPr>
        <w:t>опки для участников и комплект оборудования</w:t>
      </w:r>
    </w:p>
    <w:p w:rsidR="00DA08E5" w:rsidRDefault="00DA08E5">
      <w:pPr>
        <w:sectPr w:rsidR="00DA08E5">
          <w:footerReference w:type="default" r:id="rId14"/>
          <w:pgSz w:w="11905" w:h="16837"/>
          <w:pgMar w:top="1133" w:right="566" w:bottom="1133" w:left="1700" w:header="720" w:footer="720" w:gutter="0"/>
          <w:cols w:space="720"/>
        </w:sectPr>
      </w:pPr>
    </w:p>
    <w:p w:rsidR="00DA08E5" w:rsidRDefault="00956627" w:rsidP="00E0534C">
      <w:pPr>
        <w:pStyle w:val="1"/>
        <w:jc w:val="center"/>
      </w:pPr>
      <w:bookmarkStart w:id="5" w:name="_Toc226940014"/>
      <w:r>
        <w:lastRenderedPageBreak/>
        <w:t xml:space="preserve">5 </w:t>
      </w:r>
      <w:r w:rsidR="00E0534C">
        <w:t xml:space="preserve">. </w:t>
      </w:r>
      <w:r>
        <w:t>Характеристика целевой аудитории — учащиеся 9-10 классов</w:t>
      </w:r>
      <w:bookmarkEnd w:id="5"/>
    </w:p>
    <w:p w:rsidR="00DA08E5" w:rsidRDefault="00956627">
      <w:pPr>
        <w:pStyle w:val="paragraphStyleText"/>
      </w:pPr>
      <w:r>
        <w:rPr>
          <w:rStyle w:val="fontStyleText"/>
        </w:rPr>
        <w:t>Учащиеся 9-10 классов представляют собой целевую группу, для которой подготовка к экзаменам ОГЭ и ЕГЭ приобретает особую значимость. В 9 классе главной задачей является укрепление базовых знаний и формирование учебной стратегии, что включает разбор типичны</w:t>
      </w:r>
      <w:r>
        <w:rPr>
          <w:rStyle w:val="fontStyleText"/>
        </w:rPr>
        <w:t>х ошибок, знакомство с форматом экзамена и развитие самостоятельности. В этот период важна поддержка мотивации без создания излишнего давления, что способствует сохранению интереса к предмету и формированию осознанного отношения к обучению [13]. ОГЭ выступ</w:t>
      </w:r>
      <w:r>
        <w:rPr>
          <w:rStyle w:val="fontStyleText"/>
        </w:rPr>
        <w:t>ает не только как итог девятого класса, но и как база для последующей подготовки к ЕГЭ, что требует сбалансированного подхода.</w:t>
      </w:r>
    </w:p>
    <w:p w:rsidR="00DA08E5" w:rsidRDefault="00956627">
      <w:pPr>
        <w:pStyle w:val="paragraphStyleText"/>
      </w:pPr>
      <w:r>
        <w:rPr>
          <w:rStyle w:val="fontStyleText"/>
        </w:rPr>
        <w:t>Переход к 10 классу сопровождается активным освоением структуры и типов заданий ЕГЭ, развитием навыков быстрого и аргументированн</w:t>
      </w:r>
      <w:r>
        <w:rPr>
          <w:rStyle w:val="fontStyleText"/>
        </w:rPr>
        <w:t>ого ответа, а также умением эффективно управлять временем. Важно уделять внимание сложным заданиям с развёрнутым ответом, развитию логического и творческого мышления, а также работе с информационными ресурсами, что формирует комплексные компетенции, необхо</w:t>
      </w:r>
      <w:r>
        <w:rPr>
          <w:rStyle w:val="fontStyleText"/>
        </w:rPr>
        <w:t>димые для успешной сдачи профильных дисциплин, в первую очередь математики и физики [21]. Ранняя и поэтапная подготовка в 9–10 классах снижает риск перегрузок и способствует более равномерному распределению учебной нагрузки.</w:t>
      </w:r>
    </w:p>
    <w:p w:rsidR="00DA08E5" w:rsidRDefault="00956627">
      <w:pPr>
        <w:pStyle w:val="paragraphStyleText"/>
      </w:pPr>
      <w:r>
        <w:rPr>
          <w:rStyle w:val="fontStyleText"/>
        </w:rPr>
        <w:t>Учебный процесс в данной возрас</w:t>
      </w:r>
      <w:r>
        <w:rPr>
          <w:rStyle w:val="fontStyleText"/>
        </w:rPr>
        <w:t xml:space="preserve">тной группе требует применения личностно ориентированных и деятельностных подходов с активным использованием информационных технологий и систематическим контролем знаний. Такие методы способствуют развитию самостоятельности и ответственности за результат, </w:t>
      </w:r>
      <w:r>
        <w:rPr>
          <w:rStyle w:val="fontStyleText"/>
        </w:rPr>
        <w:t>а также учитывают индивидуальные особенности обучающихся. Кроме того, важной составляющей является психологическая поддержка, позволяющая снизить тревожность, связанную с экзаменами и сохранить мотивацию [21][20].</w:t>
      </w:r>
    </w:p>
    <w:p w:rsidR="00DA08E5" w:rsidRDefault="00956627">
      <w:pPr>
        <w:pStyle w:val="paragraphStyleText"/>
      </w:pPr>
      <w:r>
        <w:rPr>
          <w:rStyle w:val="fontStyleText"/>
        </w:rPr>
        <w:t>Выбор формата математической игры "Брейн-р</w:t>
      </w:r>
      <w:r>
        <w:rPr>
          <w:rStyle w:val="fontStyleText"/>
        </w:rPr>
        <w:t xml:space="preserve">инг" соответствует потребностям этой целевой аудитории, так как сочетает соревновательный элемент с командной работой и интерактивным обучением. Ученики 9–10 </w:t>
      </w:r>
      <w:r>
        <w:rPr>
          <w:rStyle w:val="fontStyleText"/>
        </w:rPr>
        <w:lastRenderedPageBreak/>
        <w:t>классов нуждаются в мотивационном и эмоционально поддерживающем формате, который поможет им осозна</w:t>
      </w:r>
      <w:r>
        <w:rPr>
          <w:rStyle w:val="fontStyleText"/>
        </w:rPr>
        <w:t>нно подходить к освоению материала, практиковаться в решении типовых и комплексных задач, а также развивать коммуникационные навыки. "Брейн-ринг" обеспечивает привлекательную игровую среду, стимулирующую концентрацию, быструю реакцию и коллективное обсужде</w:t>
      </w:r>
      <w:r>
        <w:rPr>
          <w:rStyle w:val="fontStyleText"/>
        </w:rPr>
        <w:t>ние решений — качества, которые важны как для экзамена, так и для дальнейшего обучения [10][13].</w:t>
      </w:r>
    </w:p>
    <w:p w:rsidR="00DA08E5" w:rsidRDefault="00956627">
      <w:pPr>
        <w:pStyle w:val="paragraphStyleText"/>
      </w:pPr>
      <w:r>
        <w:rPr>
          <w:rStyle w:val="fontStyleText"/>
        </w:rPr>
        <w:t>Таким образом, характеристика целевой аудитории и специфика их подготовки обосновывают выбор интерактивной и соревновательной формы игры, направленной на разви</w:t>
      </w:r>
      <w:r>
        <w:rPr>
          <w:rStyle w:val="fontStyleText"/>
        </w:rPr>
        <w:t>тие ключевых компетенций и формирование положительной учебной мотивации. Эта постановка задач служит переходом к рассмотрению конкретных ресурсов и инструментов, которые используются в рамках методической разработки, обеспечивая тем самым эффективное внедр</w:t>
      </w:r>
      <w:r>
        <w:rPr>
          <w:rStyle w:val="fontStyleText"/>
        </w:rPr>
        <w:t>ение и реализацию проекта.</w:t>
      </w:r>
    </w:p>
    <w:p w:rsidR="00DA08E5" w:rsidRDefault="00DA08E5">
      <w:pPr>
        <w:sectPr w:rsidR="00DA08E5">
          <w:footerReference w:type="default" r:id="rId15"/>
          <w:pgSz w:w="11905" w:h="16837"/>
          <w:pgMar w:top="1133" w:right="566" w:bottom="1133" w:left="1700" w:header="720" w:footer="720" w:gutter="0"/>
          <w:cols w:space="720"/>
        </w:sectPr>
      </w:pPr>
    </w:p>
    <w:p w:rsidR="00DA08E5" w:rsidRDefault="00E0534C">
      <w:pPr>
        <w:pStyle w:val="1"/>
      </w:pPr>
      <w:bookmarkStart w:id="6" w:name="_Toc226940015"/>
      <w:r>
        <w:lastRenderedPageBreak/>
        <w:t xml:space="preserve">6. </w:t>
      </w:r>
      <w:r w:rsidR="00956627">
        <w:t>Результаты внедрения: ожидаемые эффекты от проведения брейн-ринга</w:t>
      </w:r>
      <w:bookmarkEnd w:id="6"/>
    </w:p>
    <w:p w:rsidR="00DA08E5" w:rsidRDefault="00956627">
      <w:pPr>
        <w:pStyle w:val="paragraphStyleText"/>
      </w:pPr>
      <w:r>
        <w:rPr>
          <w:rStyle w:val="fontStyleText"/>
        </w:rPr>
        <w:t>Проведение математической игры "Брейн-ринг"</w:t>
      </w:r>
      <w:r>
        <w:rPr>
          <w:rStyle w:val="fontStyleText"/>
        </w:rPr>
        <w:t xml:space="preserve"> для учащихся 9–10 классов способствует комплексному развитию познавательных способностей, что особенно важно на этапе подготовки к ОГЭ и ЕГЭ. Интерактивный и соревновательный формат стимулирует активное включение в учебный процесс, развивает навык быстрог</w:t>
      </w:r>
      <w:r>
        <w:rPr>
          <w:rStyle w:val="fontStyleText"/>
        </w:rPr>
        <w:t>о анализа и обобщения информации, а также формирует привычку к поиску оптимальных решений в условиях ограниченного времени. Такая динамика способствует углублению логического мышления, позволяющего эффективнее работать с фактами, формулами и текстовыми зад</w:t>
      </w:r>
      <w:r>
        <w:rPr>
          <w:rStyle w:val="fontStyleText"/>
        </w:rPr>
        <w:t>ачами, которые часто вызывают сложности у старшеклассников [17].</w:t>
      </w:r>
    </w:p>
    <w:p w:rsidR="00DA08E5" w:rsidRDefault="00956627">
      <w:pPr>
        <w:pStyle w:val="paragraphStyleText"/>
      </w:pPr>
      <w:r>
        <w:rPr>
          <w:rStyle w:val="fontStyleText"/>
        </w:rPr>
        <w:t>Кроме когнитивных выгод, игра активно развивает командные компетенции: учащиеся учатся слышать и учитывать мнения товарищей, координировать действия в режиме совместного принятия решений и ра</w:t>
      </w:r>
      <w:r>
        <w:rPr>
          <w:rStyle w:val="fontStyleText"/>
        </w:rPr>
        <w:t>спределять роли. Это формирует устойчивые навыки сотрудничества и коммуникации, которые важны не только для успешной сдачи экзаменов, но и для дальнейшего обучения и профессиональной деятельности. Взаимодействие в игровой среде снижает стресс и создает ком</w:t>
      </w:r>
      <w:r>
        <w:rPr>
          <w:rStyle w:val="fontStyleText"/>
        </w:rPr>
        <w:t>фортную обстановку, способствуя открытому обмену знаниями и устранению страха ошибиться [7].</w:t>
      </w:r>
    </w:p>
    <w:p w:rsidR="00DA08E5" w:rsidRDefault="00956627">
      <w:pPr>
        <w:pStyle w:val="paragraphStyleText"/>
      </w:pPr>
      <w:r>
        <w:rPr>
          <w:rStyle w:val="fontStyleText"/>
        </w:rPr>
        <w:t>Отмечается значительное положительное влияние игры на учебную мотивацию учеников этой возрастной категории, поскольку игровой формат совпадает с их психологическим</w:t>
      </w:r>
      <w:r>
        <w:rPr>
          <w:rStyle w:val="fontStyleText"/>
        </w:rPr>
        <w:t>и и социальными особенностями. Мотивация становится более внутренней и устойчивой: ребята проявляют инициативу в подготовке к очередным игровым этапам, повышается их заинтересованность в освоении сложных математических тем, что отражается в улучшении резул</w:t>
      </w:r>
      <w:r>
        <w:rPr>
          <w:rStyle w:val="fontStyleText"/>
        </w:rPr>
        <w:t>ьтатов контрольных работ и повышении активности на уроках. Примеры из педагогической практики показывают, что регулярное проведение подобных мероприятий снижает пассивность учеников и способствует формированию позитивного отношения к учебному процессу [16]</w:t>
      </w:r>
      <w:r>
        <w:rPr>
          <w:rStyle w:val="fontStyleText"/>
        </w:rPr>
        <w:t>[22].</w:t>
      </w:r>
    </w:p>
    <w:p w:rsidR="00DA08E5" w:rsidRDefault="00956627">
      <w:pPr>
        <w:pStyle w:val="paragraphStyleText"/>
      </w:pPr>
      <w:r>
        <w:rPr>
          <w:rStyle w:val="fontStyleText"/>
        </w:rPr>
        <w:lastRenderedPageBreak/>
        <w:t>Эмоциональная вовлеченность, которой способствует "Брейн-ринг", облегчает усвоение больших объемов информации за счет динамичного чередования активности и контроля, что актуально для целевой аудитории с особенностями психологического восприятия и уче</w:t>
      </w:r>
      <w:r>
        <w:rPr>
          <w:rStyle w:val="fontStyleText"/>
        </w:rPr>
        <w:t>бной нагрузки. Игра помогает преодолевать затруднения традиционного обучения, снижая тревожность и способствуя комплексному развитию интеллектуальных и социальных навыков. Таким образом, методика становится одним из эффективных средств современной подготов</w:t>
      </w:r>
      <w:r>
        <w:rPr>
          <w:rStyle w:val="fontStyleText"/>
        </w:rPr>
        <w:t>ки к экзаменам, соответствующим требованиям федеральных образовательных стандартов и ориентированной на личностное развитие школьников [18].</w:t>
      </w:r>
    </w:p>
    <w:p w:rsidR="00DA08E5" w:rsidRDefault="00956627">
      <w:pPr>
        <w:pStyle w:val="paragraphStyleText"/>
      </w:pPr>
      <w:r>
        <w:rPr>
          <w:rStyle w:val="fontStyleText"/>
        </w:rPr>
        <w:t>Представленные результаты создают базу для итогового продукта методической разработки — комплекта игровых заданий и</w:t>
      </w:r>
      <w:r>
        <w:rPr>
          <w:rStyle w:val="fontStyleText"/>
        </w:rPr>
        <w:t xml:space="preserve"> рекомендаций по организации "Брейн-ринга", направленных на систематическое формирование ключевых математических компетенций и повышение учебной мотивации. Это позволит педагогам эффективно интегрировать игровой подход в образовательную практику, опираясь </w:t>
      </w:r>
      <w:r>
        <w:rPr>
          <w:rStyle w:val="fontStyleText"/>
        </w:rPr>
        <w:t>на особенности целевой аудитории и современные педагогические технологии.</w:t>
      </w:r>
    </w:p>
    <w:p w:rsidR="00DA08E5" w:rsidRDefault="00DA08E5">
      <w:pPr>
        <w:sectPr w:rsidR="00DA08E5">
          <w:footerReference w:type="default" r:id="rId16"/>
          <w:pgSz w:w="11905" w:h="16837"/>
          <w:pgMar w:top="1133" w:right="566" w:bottom="1133" w:left="1700" w:header="720" w:footer="720" w:gutter="0"/>
          <w:cols w:space="720"/>
        </w:sectPr>
      </w:pPr>
    </w:p>
    <w:p w:rsidR="00DA08E5" w:rsidRDefault="00956627" w:rsidP="00E0534C">
      <w:pPr>
        <w:pStyle w:val="1"/>
        <w:jc w:val="center"/>
      </w:pPr>
      <w:bookmarkStart w:id="7" w:name="_Toc226940016"/>
      <w:r>
        <w:lastRenderedPageBreak/>
        <w:t xml:space="preserve">7 </w:t>
      </w:r>
      <w:r w:rsidR="00E0534C">
        <w:t xml:space="preserve">. </w:t>
      </w:r>
      <w:r>
        <w:t>Описание итогового продукта методической разработки</w:t>
      </w:r>
      <w:bookmarkEnd w:id="7"/>
    </w:p>
    <w:p w:rsidR="00DA08E5" w:rsidRDefault="00956627">
      <w:pPr>
        <w:pStyle w:val="paragraphStyleText"/>
      </w:pPr>
      <w:r>
        <w:rPr>
          <w:rStyle w:val="fontStyleText"/>
        </w:rPr>
        <w:t>Методическая разработка представляет собой комплексный комплект материалов, включая сценарии, дидактические</w:t>
      </w:r>
      <w:r>
        <w:rPr>
          <w:rStyle w:val="fontStyleText"/>
        </w:rPr>
        <w:t xml:space="preserve"> задания и рекомендации по проведению математической игры "Брейн-ринг" для учащихся 9–10 и 6–8 классов. Основной фокус направлен на 9–10 классы, с акцентом на темы алгебры и элементов истории математики, что отражает требования экзаменов ОГЭ и ЕГЭ. Для мла</w:t>
      </w:r>
      <w:r>
        <w:rPr>
          <w:rStyle w:val="fontStyleText"/>
        </w:rPr>
        <w:t>дшей возрастной группы предусмотрен адаптированный вариант с учетом программы и уровня знаний этих школьников, что расширяет возможности использования материала в разных образовательных контекстах [3].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В комплект входят подробные описания этапов игры — от </w:t>
      </w:r>
      <w:r>
        <w:rPr>
          <w:rStyle w:val="fontStyleText"/>
        </w:rPr>
        <w:t>организации команд и жеребьёвки до проведения нескольких раундов с разнообразными типами заданий. Для 9–10 классов выделено 3–4 раунда, включающих логические задачи, арифметические вычисления, историко-математические вопросы и конкурс с "чёрным ящиком". Та</w:t>
      </w:r>
      <w:r>
        <w:rPr>
          <w:rStyle w:val="fontStyleText"/>
        </w:rPr>
        <w:t>кой набор заданий направлен на развитие как аналитических навыков, так и расширение кругозора через знакомство с историей и культурой математики. Для 6–8 классов предусмотрена более масштабная структура с отборочным туром и последующими раундами, что помог</w:t>
      </w:r>
      <w:r>
        <w:rPr>
          <w:rStyle w:val="fontStyleText"/>
        </w:rPr>
        <w:t>ает систематизировать знания по курсу и развивать умения работать в коллективе [11].</w:t>
      </w:r>
    </w:p>
    <w:p w:rsidR="00DA08E5" w:rsidRDefault="00956627">
      <w:pPr>
        <w:pStyle w:val="paragraphStyleText"/>
      </w:pPr>
      <w:r>
        <w:rPr>
          <w:rStyle w:val="fontStyleText"/>
        </w:rPr>
        <w:t>Методическая часть содержит рекомендации по техническому обеспечению (компьютер, проектор, плакаты), а также по роли ведущего и жюри, что способствует профессиональной орг</w:t>
      </w:r>
      <w:r>
        <w:rPr>
          <w:rStyle w:val="fontStyleText"/>
        </w:rPr>
        <w:t>анизации и объективной оценке результатов. Отдельное внимание уделено правилам проведения, включая регламентацию времени на ответы и способы подсчёта баллов, что обеспечивает прозрачность и сохраняет соревновательный дух мероприятия. Все эти компоненты нап</w:t>
      </w:r>
      <w:r>
        <w:rPr>
          <w:rStyle w:val="fontStyleText"/>
        </w:rPr>
        <w:t>равлены на создание комфортной и стимулирующей учебной среды, способствующей усвоению знаний и развитию социальных навыков.</w:t>
      </w:r>
    </w:p>
    <w:p w:rsidR="00DA08E5" w:rsidRDefault="00956627">
      <w:pPr>
        <w:pStyle w:val="paragraphStyleText"/>
      </w:pPr>
      <w:r>
        <w:rPr>
          <w:rStyle w:val="fontStyleText"/>
        </w:rPr>
        <w:lastRenderedPageBreak/>
        <w:t>Использование различных видов заданий — от поиска лишнего слова и решения логических головоломок до историко-математических викторин</w:t>
      </w:r>
      <w:r>
        <w:rPr>
          <w:rStyle w:val="fontStyleText"/>
        </w:rPr>
        <w:t xml:space="preserve"> и загадок с использованием "чёрного ящика" — позволяет комплексно развивать интеллектуальные способности и мотивацию учащихся. Включение элементов истории математики расширяет представления о предмете, способствует формированию математической культуры и п</w:t>
      </w:r>
      <w:r>
        <w:rPr>
          <w:rStyle w:val="fontStyleText"/>
        </w:rPr>
        <w:t>озитивного отношения к учебе. Командный формат и соревновательный характер игры помогают формировать навыки сотрудничества, коммуникации и ответственности за общий результат [12].</w:t>
      </w:r>
    </w:p>
    <w:p w:rsidR="00DA08E5" w:rsidRDefault="00956627">
      <w:pPr>
        <w:pStyle w:val="paragraphStyleText"/>
      </w:pPr>
      <w:r>
        <w:rPr>
          <w:rStyle w:val="fontStyleText"/>
        </w:rPr>
        <w:t>Связь итогового продукта с ожидаемыми результатами заключается в обеспечении</w:t>
      </w:r>
      <w:r>
        <w:rPr>
          <w:rStyle w:val="fontStyleText"/>
        </w:rPr>
        <w:t xml:space="preserve"> эффективной подготовки к экзаменам через развитие критического мышления, повышение интереса к предмету и укрепление командного взаимодействия. Многогранность и интерактивность материалов создают условия для активного включения учеников в учебный процесс, </w:t>
      </w:r>
      <w:r>
        <w:rPr>
          <w:rStyle w:val="fontStyleText"/>
        </w:rPr>
        <w:t>что снижает стресс и способствует устойчивому усвоению учебного материала.</w:t>
      </w:r>
    </w:p>
    <w:p w:rsidR="00DA08E5" w:rsidRDefault="00956627">
      <w:pPr>
        <w:pStyle w:val="paragraphStyleText"/>
      </w:pPr>
      <w:r>
        <w:rPr>
          <w:rStyle w:val="fontStyleText"/>
        </w:rPr>
        <w:t>Таким образом, методическая разработка "Математический брейн-ринг" представляет собой полноценный инструмент подготовки к ОГЭ и ЕГЭ, который не только систематизирует и закрепляет з</w:t>
      </w:r>
      <w:r>
        <w:rPr>
          <w:rStyle w:val="fontStyleText"/>
        </w:rPr>
        <w:t>нания, но и способствует развитию ключевых компетенций школьников через игровую деятельность. Это делает предложенную методику эффективным дополнением к традиционным формам обучения и помогает педагогам внедрять инновационные подходы для повышения качества</w:t>
      </w:r>
      <w:r>
        <w:rPr>
          <w:rStyle w:val="fontStyleText"/>
        </w:rPr>
        <w:t xml:space="preserve"> математического образования [3][11][12].</w:t>
      </w:r>
    </w:p>
    <w:p w:rsidR="00DA08E5" w:rsidRDefault="00DA08E5">
      <w:pPr>
        <w:sectPr w:rsidR="00DA08E5">
          <w:footerReference w:type="default" r:id="rId17"/>
          <w:pgSz w:w="11905" w:h="16837"/>
          <w:pgMar w:top="1133" w:right="566" w:bottom="1133" w:left="1700" w:header="720" w:footer="720" w:gutter="0"/>
          <w:cols w:space="720"/>
        </w:sectPr>
      </w:pPr>
    </w:p>
    <w:p w:rsidR="00DA08E5" w:rsidRDefault="00E0534C" w:rsidP="00E0534C">
      <w:pPr>
        <w:pStyle w:val="1"/>
        <w:jc w:val="center"/>
      </w:pPr>
      <w:bookmarkStart w:id="8" w:name="_Toc226940017"/>
      <w:r>
        <w:lastRenderedPageBreak/>
        <w:t xml:space="preserve">8. </w:t>
      </w:r>
      <w:r w:rsidR="00956627">
        <w:t>Рекомендации по организации и проведению математического брейн-ринга</w:t>
      </w:r>
      <w:bookmarkEnd w:id="8"/>
    </w:p>
    <w:p w:rsidR="00DA08E5" w:rsidRDefault="00956627">
      <w:pPr>
        <w:pStyle w:val="paragraphStyleText"/>
      </w:pPr>
      <w:r>
        <w:rPr>
          <w:rStyle w:val="fontStyleText"/>
        </w:rPr>
        <w:t>На основе итогового продукта методической разработки по организации математического брейн-ринга можно выделить несколько к</w:t>
      </w:r>
      <w:r>
        <w:rPr>
          <w:rStyle w:val="fontStyleText"/>
        </w:rPr>
        <w:t>лючевых рекомендаций, обеспечивающих успешное проведение мероприятия. Прежде всего, необходимо тщательно подготовить участников: сформировать команды оптимального состава из 5–6 человек, уделив внимание сбалансированности — сочетанию учеников с разным уров</w:t>
      </w:r>
      <w:r>
        <w:rPr>
          <w:rStyle w:val="fontStyleText"/>
        </w:rPr>
        <w:t>нем знаний и разносторонними способностями. Рекомендуется заранее ознакомить ребят с форматом игры, правилами и примерными типами заданий, чтобы снизить уровень тревожности и повысить уверенность при выступлении.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Оснащение игровой площадки играет значимую </w:t>
      </w:r>
      <w:r>
        <w:rPr>
          <w:rStyle w:val="fontStyleText"/>
        </w:rPr>
        <w:t xml:space="preserve">роль. Следует обеспечить наличие мультимедийного оборудования — компьютер с заранее подготовленными презентациями и проектором для демонстрации вопросов, плакатов с правилами и наглядным материалом. Необходимы также карточки с вопросами, флажки или другие </w:t>
      </w:r>
      <w:r>
        <w:rPr>
          <w:rStyle w:val="fontStyleText"/>
        </w:rPr>
        <w:t>знаки для обозначения команд, а для создания эмоциональной атмосферы — музыкальное сопровождение, которое поможет поддерживать динамичный и позитивный настрой [12][3]. Расположение команд по разные стороны зала способствует равным условиям и удобству комму</w:t>
      </w:r>
      <w:r>
        <w:rPr>
          <w:rStyle w:val="fontStyleText"/>
        </w:rPr>
        <w:t>никации.</w:t>
      </w:r>
    </w:p>
    <w:p w:rsidR="00DA08E5" w:rsidRDefault="00956627">
      <w:pPr>
        <w:pStyle w:val="paragraphStyleText"/>
      </w:pPr>
      <w:r>
        <w:rPr>
          <w:rStyle w:val="fontStyleText"/>
        </w:rPr>
        <w:t>Разработка и соблюдение четких правил позволяет поддерживать игровой темп и дисциплину. Важно установить лимит времени на ответ (не более 1 минуты), давать возможность другой команде ответить на неразрешённый вопрос, а вопросы резервировать для ис</w:t>
      </w:r>
      <w:r>
        <w:rPr>
          <w:rStyle w:val="fontStyleText"/>
        </w:rPr>
        <w:t xml:space="preserve">пользования при необходимости. Для справедливого подсчёта очков следует назначить независимое жюри или ведущего с помощниками, которые фиксируют результаты и ведут протокол. Кроме того, практика введения этапов, таких как «Разминка», «Конкурс капитанов» и </w:t>
      </w:r>
      <w:r>
        <w:rPr>
          <w:rStyle w:val="fontStyleText"/>
        </w:rPr>
        <w:t>«Чёрный ящик», расширяет диапазон навыков, развивается быстрота реакции, логика и творческое мышление у участников [12][4].</w:t>
      </w:r>
    </w:p>
    <w:p w:rsidR="00DA08E5" w:rsidRDefault="00956627">
      <w:pPr>
        <w:pStyle w:val="paragraphStyleText"/>
      </w:pPr>
      <w:r>
        <w:rPr>
          <w:rStyle w:val="fontStyleText"/>
        </w:rPr>
        <w:lastRenderedPageBreak/>
        <w:t>Применение соревновательных элементов, таких как блиц-турнир с жеребьёвкой, разработка командных девизов и наименований, активизация</w:t>
      </w:r>
      <w:r>
        <w:rPr>
          <w:rStyle w:val="fontStyleText"/>
        </w:rPr>
        <w:t xml:space="preserve"> болельщиков, способствует формированию командного духа и социальной вовлеченности, что положительно влияет на учебную мотивацию и удовлетворенность от участия. Организатору полезно внимательно следить за эмоциональным фоном, поддерживать позитив и давать </w:t>
      </w:r>
      <w:r>
        <w:rPr>
          <w:rStyle w:val="fontStyleText"/>
        </w:rPr>
        <w:t>своевременную обратную связь, используя элементы юмора и поощрения для удержания интереса и снижения возможного волнения [4][3].</w:t>
      </w:r>
    </w:p>
    <w:p w:rsidR="00DA08E5" w:rsidRDefault="00956627">
      <w:pPr>
        <w:pStyle w:val="paragraphStyleText"/>
      </w:pPr>
      <w:r>
        <w:rPr>
          <w:rStyle w:val="fontStyleText"/>
        </w:rPr>
        <w:t>Не менее важным является технический аспект: проверка работоспособности оборудования до начала игры, подготовка запасных матери</w:t>
      </w:r>
      <w:r>
        <w:rPr>
          <w:rStyle w:val="fontStyleText"/>
        </w:rPr>
        <w:t>алов (дополнительных карточек с вопросами, батареек к устройствам) и план действий на случай непредвиденных ситуаций. Формирование комфортных условий — удобные места для команд и жюри, хорошее освещение и звуковое сопровождение — положительно сказывается н</w:t>
      </w:r>
      <w:r>
        <w:rPr>
          <w:rStyle w:val="fontStyleText"/>
        </w:rPr>
        <w:t>а концентрации и общей атмосфере мероприятия.</w:t>
      </w:r>
    </w:p>
    <w:p w:rsidR="00DA08E5" w:rsidRDefault="00956627">
      <w:pPr>
        <w:pStyle w:val="paragraphStyleText"/>
      </w:pPr>
      <w:r>
        <w:rPr>
          <w:rStyle w:val="fontStyleText"/>
        </w:rPr>
        <w:t>Таким образом, правильная организация математического брейн-ринга требует комплексного подхода, включающего подготовку участников, обеспечение технической базы и создание благоприятной эмоциональной среды. От с</w:t>
      </w:r>
      <w:r>
        <w:rPr>
          <w:rStyle w:val="fontStyleText"/>
        </w:rPr>
        <w:t>облюдения этих рекомендаций зависит не только качество игрового процесса, но и эффективность развития интеллектуальных и коммуникативных компетенций учащихся, что является главной целью мероприятия и залогом его успешного результата.</w:t>
      </w:r>
    </w:p>
    <w:p w:rsidR="00DA08E5" w:rsidRDefault="00DA08E5">
      <w:pPr>
        <w:sectPr w:rsidR="00DA08E5">
          <w:footerReference w:type="default" r:id="rId18"/>
          <w:pgSz w:w="11905" w:h="16837"/>
          <w:pgMar w:top="1133" w:right="566" w:bottom="1133" w:left="1700" w:header="720" w:footer="720" w:gutter="0"/>
          <w:cols w:space="720"/>
        </w:sectPr>
      </w:pPr>
    </w:p>
    <w:p w:rsidR="00DA08E5" w:rsidRDefault="00956627" w:rsidP="00E0534C">
      <w:pPr>
        <w:pStyle w:val="1"/>
        <w:jc w:val="center"/>
      </w:pPr>
      <w:bookmarkStart w:id="9" w:name="_Toc226940018"/>
      <w:r>
        <w:lastRenderedPageBreak/>
        <w:t>Заключение</w:t>
      </w:r>
      <w:bookmarkEnd w:id="9"/>
    </w:p>
    <w:p w:rsidR="00DA08E5" w:rsidRDefault="00956627">
      <w:pPr>
        <w:pStyle w:val="paragraphStyleText"/>
      </w:pPr>
      <w:r>
        <w:rPr>
          <w:rStyle w:val="fontStyleText"/>
        </w:rPr>
        <w:t>Внедрение командной викторины "Брейн-ринг" в подготовку учащихся 9–10 классов к экзаменам ОГЭ и ЕГЭ показало высокую эффективность в достижении поставленных образовательных целей. Рассмотренные в методической разработке аспекты позволили создать</w:t>
      </w:r>
      <w:r>
        <w:rPr>
          <w:rStyle w:val="fontStyleText"/>
        </w:rPr>
        <w:t xml:space="preserve"> комплексный игровой формат, ориентированный на повторение, систематизацию и углубление ключевых математических знаний. Такая организация учебного процесса способствует развитию не только предметных умений, но и аналитического мышления, быстроты реакции и </w:t>
      </w:r>
      <w:r>
        <w:rPr>
          <w:rStyle w:val="fontStyleText"/>
        </w:rPr>
        <w:t>коммуникативных навыков, что является важным условием успешной сдачи экзаменов.</w:t>
      </w:r>
    </w:p>
    <w:p w:rsidR="00DA08E5" w:rsidRDefault="00956627">
      <w:pPr>
        <w:pStyle w:val="paragraphStyleText"/>
      </w:pPr>
      <w:r>
        <w:rPr>
          <w:rStyle w:val="fontStyleText"/>
        </w:rPr>
        <w:t>Структура и сценарий брейн-ринга, включающие разнообразные уровни сложности и виды заданий, обеспечивают постепенное повышение интеллектуального напряжения и вовлечение всех уч</w:t>
      </w:r>
      <w:r>
        <w:rPr>
          <w:rStyle w:val="fontStyleText"/>
        </w:rPr>
        <w:t>астников в активное познавательное взаимодействие. Использование современных технических средств, таких как интерактивные брейн-системы и мультимедийное оборудование, повышает наглядность материала и стимулирует интерес школьников, что способствует более г</w:t>
      </w:r>
      <w:r>
        <w:rPr>
          <w:rStyle w:val="fontStyleText"/>
        </w:rPr>
        <w:t>лубокому усвоению учебного контента. Методические рекомендации создают условия для организационной надежности и комфортного проведения, адаптируя игру под возможности конкретного образовательного учреждения.</w:t>
      </w:r>
    </w:p>
    <w:p w:rsidR="00DA08E5" w:rsidRDefault="00956627">
      <w:pPr>
        <w:pStyle w:val="paragraphStyleText"/>
      </w:pPr>
      <w:r>
        <w:rPr>
          <w:rStyle w:val="fontStyleText"/>
        </w:rPr>
        <w:t>Характеристика целевой аудитории и выявленные эм</w:t>
      </w:r>
      <w:r>
        <w:rPr>
          <w:rStyle w:val="fontStyleText"/>
        </w:rPr>
        <w:t xml:space="preserve">оционально-психологические особенности учеников 9–10 классов подчеркивают актуальность использования интерактивных и командных форм обучения. Игра помогает снизить уровень экзаменационного стресса, способствует формированию уверенности в собственных силах </w:t>
      </w:r>
      <w:r>
        <w:rPr>
          <w:rStyle w:val="fontStyleText"/>
        </w:rPr>
        <w:t>и мотивации к постоянному совершенствованию. Это особенно важно в контексте традиционного учебного процесса, где зачастую не хватает элементов коллективного взаимодействия и творческого подхода к освоению материала.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Ожидаемые результаты включают не только </w:t>
      </w:r>
      <w:r>
        <w:rPr>
          <w:rStyle w:val="fontStyleText"/>
        </w:rPr>
        <w:t xml:space="preserve">повышение качества усвоения математических тем, но и развитие комплексных компетенций, </w:t>
      </w:r>
      <w:r>
        <w:rPr>
          <w:rStyle w:val="fontStyleText"/>
        </w:rPr>
        <w:lastRenderedPageBreak/>
        <w:t>необходимых для успешного обучения и социализации. При этом формируется здоровая конкуренция, стимулирующая учебную активность, и поддерживается дружеская атмосфера сотр</w:t>
      </w:r>
      <w:r>
        <w:rPr>
          <w:rStyle w:val="fontStyleText"/>
        </w:rPr>
        <w:t>удничества, что благоприятно отражается на общем климате в классе. Систематическое проведение брейн-рингов ведет к улучшению обучающего результата и способствует позитивному восприятию математики как предмета.</w:t>
      </w:r>
      <w:bookmarkStart w:id="10" w:name="_GoBack"/>
      <w:bookmarkEnd w:id="10"/>
    </w:p>
    <w:p w:rsidR="00DA08E5" w:rsidRDefault="00956627">
      <w:pPr>
        <w:pStyle w:val="paragraphStyleText"/>
      </w:pPr>
      <w:r>
        <w:rPr>
          <w:rStyle w:val="fontStyleText"/>
        </w:rPr>
        <w:t>Таким образом, методическая разработка предста</w:t>
      </w:r>
      <w:r>
        <w:rPr>
          <w:rStyle w:val="fontStyleText"/>
        </w:rPr>
        <w:t>вляет собой эффективный инструмент для внедрения инновационных образовательных практик, направленных на повышение мотивации и качества подготовки к ОГЭ и ЕГЭ. Она учитывает современные требования к обучению, особенности целевой аудитории, а также необходим</w:t>
      </w:r>
      <w:r>
        <w:rPr>
          <w:rStyle w:val="fontStyleText"/>
        </w:rPr>
        <w:t>ые технические и организационные ресурсы. Рекомендации по проведению игры обеспечивают ее успешное применение в различных условиях, что делает "Брейн-ринг" перспективным средством повышения интеллектуальной и коммуникативной компетентности учащихся.</w:t>
      </w:r>
    </w:p>
    <w:p w:rsidR="00DA08E5" w:rsidRDefault="00DA08E5">
      <w:pPr>
        <w:sectPr w:rsidR="00DA08E5">
          <w:footerReference w:type="default" r:id="rId19"/>
          <w:pgSz w:w="11905" w:h="16837"/>
          <w:pgMar w:top="1133" w:right="566" w:bottom="1133" w:left="1700" w:header="720" w:footer="720" w:gutter="0"/>
          <w:cols w:space="720"/>
        </w:sectPr>
      </w:pPr>
    </w:p>
    <w:p w:rsidR="00DA08E5" w:rsidRDefault="00956627">
      <w:pPr>
        <w:pStyle w:val="1"/>
      </w:pPr>
      <w:bookmarkStart w:id="11" w:name="_Toc226940019"/>
      <w:r>
        <w:lastRenderedPageBreak/>
        <w:t>Библиография</w:t>
      </w:r>
      <w:bookmarkEnd w:id="11"/>
    </w:p>
    <w:p w:rsidR="00DA08E5" w:rsidRDefault="00956627">
      <w:pPr>
        <w:pStyle w:val="paragraphStyleText"/>
      </w:pPr>
      <w:r>
        <w:rPr>
          <w:rStyle w:val="fontStyleText"/>
        </w:rPr>
        <w:t>1. Брейн-система DOKA для интеллектуальных игр и викторин [Электронный ресурс] // dokalab.ru - Режим доступа: https://dokalab.ru/brejn-sistema-doka/, свободный. - Загл. с экрана</w:t>
      </w:r>
    </w:p>
    <w:p w:rsidR="00DA08E5" w:rsidRDefault="00956627">
      <w:pPr>
        <w:pStyle w:val="paragraphStyleText"/>
      </w:pPr>
      <w:r>
        <w:rPr>
          <w:rStyle w:val="fontStyleText"/>
        </w:rPr>
        <w:t>2. Брейн-системы для интеллектуальных игр | БРЕЙН-</w:t>
      </w:r>
      <w:r>
        <w:rPr>
          <w:rStyle w:val="fontStyleText"/>
        </w:rPr>
        <w:t>СИСТЕМА [Электронный ресурс] // брейн-система.рф - Режим доступа: https://брейн-система.рф/, свободный. - Загл. с экрана</w:t>
      </w:r>
    </w:p>
    <w:p w:rsidR="00DA08E5" w:rsidRDefault="00956627">
      <w:pPr>
        <w:pStyle w:val="paragraphStyleText"/>
      </w:pPr>
      <w:r>
        <w:rPr>
          <w:rStyle w:val="fontStyleText"/>
        </w:rPr>
        <w:t>3. Внеклассное мероприятие «Брейн-ринг» (Алгебра, 9-10 класс) [Электронный ресурс] // урок.рф - Режим доступа: https://урок.рф/library/brejnring_172811.html, свободный. - Загл. с экрана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4. Внеклассное мероприятие по математике "Брейн-ринг..." [Электронный </w:t>
      </w:r>
      <w:r>
        <w:rPr>
          <w:rStyle w:val="fontStyleText"/>
        </w:rPr>
        <w:t>ресурс] // urok.1sept.ru - Режим доступа: https://urok.1sept.ru/publication/113678, свободный. - Загл. с экрана</w:t>
      </w:r>
    </w:p>
    <w:p w:rsidR="00DA08E5" w:rsidRDefault="00956627">
      <w:pPr>
        <w:pStyle w:val="paragraphStyleText"/>
      </w:pPr>
      <w:r>
        <w:rPr>
          <w:rStyle w:val="fontStyleText"/>
        </w:rPr>
        <w:t xml:space="preserve">5. Государственное бюджетное нетиповое [Электронный ресурс] // spbal.ru - Режим доступа: https://spbal.ru/mv/metod_igry.pdf, свободный. - Загл. </w:t>
      </w:r>
      <w:r>
        <w:rPr>
          <w:rStyle w:val="fontStyleText"/>
        </w:rPr>
        <w:t>с экрана</w:t>
      </w:r>
    </w:p>
    <w:p w:rsidR="00DA08E5" w:rsidRDefault="00956627">
      <w:pPr>
        <w:pStyle w:val="paragraphStyleText"/>
      </w:pPr>
      <w:r>
        <w:rPr>
          <w:rStyle w:val="fontStyleText"/>
        </w:rPr>
        <w:t>6. Игровая беспроводная тумба для викторин | ИГРА-ЭКСПРЕСС [Электронный ресурс] // igra-express.ru - Режим доступа: https://igra-express.ru/product/igrovaya-besprovodnaya-tumba-dlya-viktorin/, свободный. - Загл. с экрана</w:t>
      </w:r>
    </w:p>
    <w:p w:rsidR="00DA08E5" w:rsidRDefault="00956627">
      <w:pPr>
        <w:pStyle w:val="paragraphStyleText"/>
      </w:pPr>
      <w:r>
        <w:rPr>
          <w:rStyle w:val="fontStyleText"/>
        </w:rPr>
        <w:t>7. Игры и игровые методики</w:t>
      </w:r>
      <w:r>
        <w:rPr>
          <w:rStyle w:val="fontStyleText"/>
        </w:rPr>
        <w:t xml:space="preserve"> для повышения мотивации... [Электронный ресурс] // solncesvet.ru - Режим доступа: https://solncesvet.ru/opublikovannyie-materialyi/igry-i-igrovye-metodiki-dlya-povysheniya.24119104104/, свободный. - Загл. с экрана</w:t>
      </w:r>
    </w:p>
    <w:p w:rsidR="00DA08E5" w:rsidRDefault="00956627">
      <w:pPr>
        <w:pStyle w:val="paragraphStyleText"/>
      </w:pPr>
      <w:r>
        <w:rPr>
          <w:rStyle w:val="fontStyleText"/>
        </w:rPr>
        <w:t>8. Из опыта работы учителя математики выс</w:t>
      </w:r>
      <w:r>
        <w:rPr>
          <w:rStyle w:val="fontStyleText"/>
        </w:rPr>
        <w:t>шей квалификационной... [Электронный ресурс] // www.pedm.ru - Режим доступа: https://www.pedm.ru/categories/3/articles/2116, свободный. - Загл. с экрана</w:t>
      </w:r>
    </w:p>
    <w:p w:rsidR="00DA08E5" w:rsidRDefault="00DA08E5">
      <w:pPr>
        <w:pStyle w:val="paragraphStyleText"/>
      </w:pPr>
    </w:p>
    <w:sectPr w:rsidR="00DA08E5">
      <w:footerReference w:type="default" r:id="rId20"/>
      <w:pgSz w:w="11905" w:h="16837"/>
      <w:pgMar w:top="1133" w:right="566" w:bottom="1133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56627">
      <w:pPr>
        <w:spacing w:after="0" w:line="240" w:lineRule="auto"/>
      </w:pPr>
      <w:r>
        <w:separator/>
      </w:r>
    </w:p>
  </w:endnote>
  <w:endnote w:type="continuationSeparator" w:id="0">
    <w:p w:rsidR="00000000" w:rsidRDefault="00956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>
      <w:rPr>
        <w:rStyle w:val="fontStyleText"/>
        <w:noProof/>
      </w:rPr>
      <w:t>2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>
      <w:rPr>
        <w:rStyle w:val="fontStyleText"/>
        <w:noProof/>
      </w:rPr>
      <w:t>21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>
      <w:rPr>
        <w:rStyle w:val="fontStyleText"/>
        <w:noProof/>
      </w:rPr>
      <w:t>23</w:t>
    </w:r>
    <w: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>
      <w:rPr>
        <w:rStyle w:val="fontStyleText"/>
        <w:noProof/>
      </w:rPr>
      <w:t>24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>
      <w:rPr>
        <w:rStyle w:val="fontStyleText"/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>
      <w:rPr>
        <w:rStyle w:val="fontStyleText"/>
        <w:noProof/>
      </w:rPr>
      <w:t>6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 w:rsidR="00E0534C">
      <w:rPr>
        <w:rStyle w:val="fontStyleText"/>
        <w:noProof/>
      </w:rPr>
      <w:t>8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 w:rsidR="00E0534C">
      <w:rPr>
        <w:rStyle w:val="fontStyleText"/>
        <w:noProof/>
      </w:rPr>
      <w:t>10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 w:rsidR="00E0534C">
      <w:rPr>
        <w:rStyle w:val="fontStyleText"/>
        <w:noProof/>
      </w:rPr>
      <w:t>13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 w:rsidR="00E0534C">
      <w:rPr>
        <w:rStyle w:val="fontStyleText"/>
        <w:noProof/>
      </w:rPr>
      <w:t>15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 w:rsidR="00E0534C">
      <w:rPr>
        <w:rStyle w:val="fontStyleText"/>
        <w:noProof/>
      </w:rPr>
      <w:t>17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E5" w:rsidRDefault="00956627">
    <w:pPr>
      <w:pStyle w:val="paragraphStylePageNum"/>
    </w:pPr>
    <w:r>
      <w:fldChar w:fldCharType="begin"/>
    </w:r>
    <w:r>
      <w:rPr>
        <w:rStyle w:val="fontStyleText"/>
      </w:rPr>
      <w:instrText>PAGE</w:instrText>
    </w:r>
    <w:r w:rsidR="00E0534C">
      <w:fldChar w:fldCharType="separate"/>
    </w:r>
    <w:r w:rsidR="00E0534C">
      <w:rPr>
        <w:rStyle w:val="fontStyleText"/>
        <w:noProof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56627">
      <w:pPr>
        <w:spacing w:after="0" w:line="240" w:lineRule="auto"/>
      </w:pPr>
      <w:r>
        <w:separator/>
      </w:r>
    </w:p>
  </w:footnote>
  <w:footnote w:type="continuationSeparator" w:id="0">
    <w:p w:rsidR="00000000" w:rsidRDefault="009566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8E5"/>
    <w:rsid w:val="00956627"/>
    <w:rsid w:val="00DA08E5"/>
    <w:rsid w:val="00E0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/>
    </w:pPr>
    <w:rPr>
      <w:rFonts w:ascii="Times New Roman" w:eastAsia="Times New Roman" w:hAnsi="Times New Roman" w:cs="Times New Roman"/>
      <w:sz w:val="22"/>
      <w:szCs w:val="22"/>
    </w:rPr>
  </w:style>
  <w:style w:type="paragraph" w:styleId="1">
    <w:name w:val="heading 1"/>
    <w:basedOn w:val="a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pPr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Колонтитулы"/>
    <w:basedOn w:val="a"/>
    <w:rPr>
      <w:rFonts w:ascii="Helvetica Neue" w:eastAsia="Helvetica Neue" w:hAnsi="Helvetica Neue" w:cs="Helvetica Neue"/>
    </w:rPr>
  </w:style>
  <w:style w:type="table" w:customStyle="1" w:styleId="11">
    <w:name w:val="Сетка таблицы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Верхний колонтитул1"/>
    <w:basedOn w:val="a"/>
    <w:pPr>
      <w:spacing w:after="0"/>
    </w:pPr>
  </w:style>
  <w:style w:type="character" w:customStyle="1" w:styleId="a5">
    <w:name w:val="Верхний колонтитул Знак"/>
    <w:rPr>
      <w:rFonts w:ascii="Calibri" w:eastAsia="Calibri" w:hAnsi="Calibri" w:cs="Calibri"/>
      <w:color w:val="000000"/>
      <w:sz w:val="22"/>
      <w:szCs w:val="22"/>
    </w:rPr>
  </w:style>
  <w:style w:type="paragraph" w:customStyle="1" w:styleId="13">
    <w:name w:val="Нижний колонтитул1"/>
    <w:basedOn w:val="a"/>
    <w:pPr>
      <w:spacing w:after="0"/>
    </w:pPr>
  </w:style>
  <w:style w:type="character" w:customStyle="1" w:styleId="a6">
    <w:name w:val="Нижний колонтитул Знак"/>
    <w:rPr>
      <w:rFonts w:ascii="Calibri" w:eastAsia="Calibri" w:hAnsi="Calibri" w:cs="Calibri"/>
      <w:color w:val="000000"/>
      <w:sz w:val="22"/>
      <w:szCs w:val="22"/>
    </w:rPr>
  </w:style>
  <w:style w:type="character" w:customStyle="1" w:styleId="fontStyleText">
    <w:name w:val="fontStyleText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character" w:customStyle="1" w:styleId="fontStyleCode">
    <w:name w:val="fontStyleCode"/>
    <w:rPr>
      <w:rFonts w:ascii="Courier New" w:eastAsia="Courier New" w:hAnsi="Courier New" w:cs="Courier New"/>
      <w:b w:val="0"/>
      <w:bCs w:val="0"/>
      <w:i w:val="0"/>
      <w:iCs w:val="0"/>
      <w:sz w:val="24"/>
      <w:szCs w:val="24"/>
    </w:rPr>
  </w:style>
  <w:style w:type="paragraph" w:customStyle="1" w:styleId="paragraphStyleCode">
    <w:name w:val="paragraphStyleCode"/>
    <w:basedOn w:val="a"/>
    <w:pPr>
      <w:pBdr>
        <w:top w:val="single" w:sz="1" w:space="0" w:color="CCCCCC"/>
        <w:left w:val="single" w:sz="1" w:space="0" w:color="CCCCCC"/>
        <w:bottom w:val="single" w:sz="1" w:space="0" w:color="CCCCCC"/>
        <w:right w:val="single" w:sz="1" w:space="0" w:color="CCCCCC"/>
      </w:pBdr>
      <w:shd w:val="clear" w:color="auto" w:fill="F5F5F5"/>
      <w:spacing w:before="120" w:after="120" w:line="288" w:lineRule="auto"/>
    </w:pPr>
  </w:style>
  <w:style w:type="paragraph" w:customStyle="1" w:styleId="paragraphStylePageNum">
    <w:name w:val="paragraphStylePageNum"/>
    <w:basedOn w:val="a"/>
    <w:pPr>
      <w:spacing w:after="100"/>
      <w:jc w:val="right"/>
    </w:pPr>
  </w:style>
  <w:style w:type="paragraph" w:styleId="a7">
    <w:name w:val="Title"/>
    <w:basedOn w:val="a"/>
    <w:pPr>
      <w:jc w:val="center"/>
    </w:pPr>
    <w:rPr>
      <w:b/>
      <w:bCs/>
      <w:sz w:val="28"/>
      <w:szCs w:val="28"/>
    </w:rPr>
  </w:style>
  <w:style w:type="paragraph" w:customStyle="1" w:styleId="paragraphStyleText">
    <w:name w:val="paragraphStyleText"/>
    <w:basedOn w:val="a"/>
    <w:pPr>
      <w:spacing w:after="0" w:line="360" w:lineRule="auto"/>
      <w:ind w:firstLine="720"/>
      <w:jc w:val="both"/>
    </w:pPr>
  </w:style>
  <w:style w:type="paragraph" w:styleId="14">
    <w:name w:val="toc 1"/>
    <w:basedOn w:val="a"/>
    <w:next w:val="a"/>
    <w:autoRedefine/>
    <w:uiPriority w:val="39"/>
    <w:unhideWhenUsed/>
    <w:rsid w:val="00E0534C"/>
    <w:pPr>
      <w:spacing w:after="100"/>
    </w:pPr>
  </w:style>
  <w:style w:type="character" w:styleId="a8">
    <w:name w:val="Hyperlink"/>
    <w:basedOn w:val="a0"/>
    <w:uiPriority w:val="99"/>
    <w:unhideWhenUsed/>
    <w:rsid w:val="00E053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/>
    </w:pPr>
    <w:rPr>
      <w:rFonts w:ascii="Times New Roman" w:eastAsia="Times New Roman" w:hAnsi="Times New Roman" w:cs="Times New Roman"/>
      <w:sz w:val="22"/>
      <w:szCs w:val="22"/>
    </w:rPr>
  </w:style>
  <w:style w:type="paragraph" w:styleId="1">
    <w:name w:val="heading 1"/>
    <w:basedOn w:val="a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pPr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Колонтитулы"/>
    <w:basedOn w:val="a"/>
    <w:rPr>
      <w:rFonts w:ascii="Helvetica Neue" w:eastAsia="Helvetica Neue" w:hAnsi="Helvetica Neue" w:cs="Helvetica Neue"/>
    </w:rPr>
  </w:style>
  <w:style w:type="table" w:customStyle="1" w:styleId="11">
    <w:name w:val="Сетка таблицы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Верхний колонтитул1"/>
    <w:basedOn w:val="a"/>
    <w:pPr>
      <w:spacing w:after="0"/>
    </w:pPr>
  </w:style>
  <w:style w:type="character" w:customStyle="1" w:styleId="a5">
    <w:name w:val="Верхний колонтитул Знак"/>
    <w:rPr>
      <w:rFonts w:ascii="Calibri" w:eastAsia="Calibri" w:hAnsi="Calibri" w:cs="Calibri"/>
      <w:color w:val="000000"/>
      <w:sz w:val="22"/>
      <w:szCs w:val="22"/>
    </w:rPr>
  </w:style>
  <w:style w:type="paragraph" w:customStyle="1" w:styleId="13">
    <w:name w:val="Нижний колонтитул1"/>
    <w:basedOn w:val="a"/>
    <w:pPr>
      <w:spacing w:after="0"/>
    </w:pPr>
  </w:style>
  <w:style w:type="character" w:customStyle="1" w:styleId="a6">
    <w:name w:val="Нижний колонтитул Знак"/>
    <w:rPr>
      <w:rFonts w:ascii="Calibri" w:eastAsia="Calibri" w:hAnsi="Calibri" w:cs="Calibri"/>
      <w:color w:val="000000"/>
      <w:sz w:val="22"/>
      <w:szCs w:val="22"/>
    </w:rPr>
  </w:style>
  <w:style w:type="character" w:customStyle="1" w:styleId="fontStyleText">
    <w:name w:val="fontStyleText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character" w:customStyle="1" w:styleId="fontStyleCode">
    <w:name w:val="fontStyleCode"/>
    <w:rPr>
      <w:rFonts w:ascii="Courier New" w:eastAsia="Courier New" w:hAnsi="Courier New" w:cs="Courier New"/>
      <w:b w:val="0"/>
      <w:bCs w:val="0"/>
      <w:i w:val="0"/>
      <w:iCs w:val="0"/>
      <w:sz w:val="24"/>
      <w:szCs w:val="24"/>
    </w:rPr>
  </w:style>
  <w:style w:type="paragraph" w:customStyle="1" w:styleId="paragraphStyleCode">
    <w:name w:val="paragraphStyleCode"/>
    <w:basedOn w:val="a"/>
    <w:pPr>
      <w:pBdr>
        <w:top w:val="single" w:sz="1" w:space="0" w:color="CCCCCC"/>
        <w:left w:val="single" w:sz="1" w:space="0" w:color="CCCCCC"/>
        <w:bottom w:val="single" w:sz="1" w:space="0" w:color="CCCCCC"/>
        <w:right w:val="single" w:sz="1" w:space="0" w:color="CCCCCC"/>
      </w:pBdr>
      <w:shd w:val="clear" w:color="auto" w:fill="F5F5F5"/>
      <w:spacing w:before="120" w:after="120" w:line="288" w:lineRule="auto"/>
    </w:pPr>
  </w:style>
  <w:style w:type="paragraph" w:customStyle="1" w:styleId="paragraphStylePageNum">
    <w:name w:val="paragraphStylePageNum"/>
    <w:basedOn w:val="a"/>
    <w:pPr>
      <w:spacing w:after="100"/>
      <w:jc w:val="right"/>
    </w:pPr>
  </w:style>
  <w:style w:type="paragraph" w:styleId="a7">
    <w:name w:val="Title"/>
    <w:basedOn w:val="a"/>
    <w:pPr>
      <w:jc w:val="center"/>
    </w:pPr>
    <w:rPr>
      <w:b/>
      <w:bCs/>
      <w:sz w:val="28"/>
      <w:szCs w:val="28"/>
    </w:rPr>
  </w:style>
  <w:style w:type="paragraph" w:customStyle="1" w:styleId="paragraphStyleText">
    <w:name w:val="paragraphStyleText"/>
    <w:basedOn w:val="a"/>
    <w:pPr>
      <w:spacing w:after="0" w:line="360" w:lineRule="auto"/>
      <w:ind w:firstLine="720"/>
      <w:jc w:val="both"/>
    </w:pPr>
  </w:style>
  <w:style w:type="paragraph" w:styleId="14">
    <w:name w:val="toc 1"/>
    <w:basedOn w:val="a"/>
    <w:next w:val="a"/>
    <w:autoRedefine/>
    <w:uiPriority w:val="39"/>
    <w:unhideWhenUsed/>
    <w:rsid w:val="00E0534C"/>
    <w:pPr>
      <w:spacing w:after="100"/>
    </w:pPr>
  </w:style>
  <w:style w:type="character" w:styleId="a8">
    <w:name w:val="Hyperlink"/>
    <w:basedOn w:val="a0"/>
    <w:uiPriority w:val="99"/>
    <w:unhideWhenUsed/>
    <w:rsid w:val="00E053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2.png"/><Relationship Id="rId18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1.png"/><Relationship Id="rId17" Type="http://schemas.openxmlformats.org/officeDocument/2006/relationships/footer" Target="footer9.xml"/><Relationship Id="rId2" Type="http://schemas.microsoft.com/office/2007/relationships/stylesWithEffects" Target="stylesWithEffects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4.xml"/><Relationship Id="rId19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5232</Words>
  <Characters>29828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Точка Роста</dc:creator>
  <cp:lastModifiedBy>Точка Роста</cp:lastModifiedBy>
  <cp:revision>2</cp:revision>
  <dcterms:created xsi:type="dcterms:W3CDTF">2026-04-12T23:41:00Z</dcterms:created>
  <dcterms:modified xsi:type="dcterms:W3CDTF">2026-04-12T23:41:00Z</dcterms:modified>
</cp:coreProperties>
</file>