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270E" w:rsidRPr="00EC270E" w:rsidRDefault="00EC270E" w:rsidP="00EC270E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</w:rPr>
      </w:pPr>
      <w:r w:rsidRPr="00EC270E">
        <w:rPr>
          <w:rFonts w:ascii="Times New Roman" w:hAnsi="Times New Roman" w:cs="Times New Roman"/>
          <w:sz w:val="24"/>
        </w:rPr>
        <w:t>Доенко Д.А</w:t>
      </w:r>
      <w:r w:rsidRPr="00EC270E">
        <w:rPr>
          <w:rFonts w:ascii="Times New Roman" w:hAnsi="Times New Roman" w:cs="Times New Roman"/>
          <w:sz w:val="24"/>
        </w:rPr>
        <w:t>., студент</w:t>
      </w:r>
      <w:r w:rsidRPr="00EC270E">
        <w:rPr>
          <w:rFonts w:ascii="Times New Roman" w:hAnsi="Times New Roman" w:cs="Times New Roman"/>
          <w:sz w:val="24"/>
        </w:rPr>
        <w:t>ка</w:t>
      </w:r>
    </w:p>
    <w:p w:rsidR="00EC270E" w:rsidRPr="00EC270E" w:rsidRDefault="00EC270E" w:rsidP="00EC270E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</w:rPr>
      </w:pPr>
      <w:r w:rsidRPr="00EC270E">
        <w:rPr>
          <w:rFonts w:ascii="Times New Roman" w:hAnsi="Times New Roman" w:cs="Times New Roman"/>
          <w:sz w:val="24"/>
        </w:rPr>
        <w:t xml:space="preserve">Научный руководитель: </w:t>
      </w:r>
      <w:proofErr w:type="spellStart"/>
      <w:proofErr w:type="gramStart"/>
      <w:r w:rsidRPr="00EC270E">
        <w:rPr>
          <w:rFonts w:ascii="Times New Roman" w:hAnsi="Times New Roman" w:cs="Times New Roman"/>
          <w:sz w:val="24"/>
        </w:rPr>
        <w:t>канд.экон</w:t>
      </w:r>
      <w:proofErr w:type="gramEnd"/>
      <w:r w:rsidRPr="00EC270E">
        <w:rPr>
          <w:rFonts w:ascii="Times New Roman" w:hAnsi="Times New Roman" w:cs="Times New Roman"/>
          <w:sz w:val="24"/>
        </w:rPr>
        <w:t>.наук</w:t>
      </w:r>
      <w:proofErr w:type="spellEnd"/>
      <w:r w:rsidRPr="00EC270E">
        <w:rPr>
          <w:rFonts w:ascii="Times New Roman" w:hAnsi="Times New Roman" w:cs="Times New Roman"/>
          <w:sz w:val="24"/>
        </w:rPr>
        <w:t xml:space="preserve">., доц. </w:t>
      </w:r>
      <w:proofErr w:type="spellStart"/>
      <w:r w:rsidRPr="00EC270E">
        <w:rPr>
          <w:rFonts w:ascii="Times New Roman" w:hAnsi="Times New Roman" w:cs="Times New Roman"/>
          <w:sz w:val="24"/>
        </w:rPr>
        <w:t>Закотнюк</w:t>
      </w:r>
      <w:proofErr w:type="spellEnd"/>
      <w:r w:rsidRPr="00EC270E">
        <w:rPr>
          <w:rFonts w:ascii="Times New Roman" w:hAnsi="Times New Roman" w:cs="Times New Roman"/>
          <w:sz w:val="24"/>
        </w:rPr>
        <w:t xml:space="preserve"> О.Л.</w:t>
      </w:r>
    </w:p>
    <w:p w:rsidR="00EC270E" w:rsidRPr="00EC270E" w:rsidRDefault="00EC270E" w:rsidP="00EC270E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</w:rPr>
      </w:pPr>
      <w:r w:rsidRPr="00EC270E">
        <w:rPr>
          <w:rFonts w:ascii="Times New Roman" w:hAnsi="Times New Roman" w:cs="Times New Roman"/>
          <w:sz w:val="24"/>
        </w:rPr>
        <w:t>Донецкий государственный университет, РФ</w:t>
      </w:r>
    </w:p>
    <w:p w:rsidR="00EC270E" w:rsidRPr="00EC270E" w:rsidRDefault="00EC270E" w:rsidP="00EC270E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lang w:val="en-US"/>
        </w:rPr>
      </w:pPr>
      <w:hyperlink r:id="rId5" w:history="1">
        <w:r w:rsidRPr="00EC270E">
          <w:rPr>
            <w:rStyle w:val="a3"/>
            <w:rFonts w:ascii="Times New Roman" w:hAnsi="Times New Roman" w:cs="Times New Roman"/>
            <w:color w:val="auto"/>
            <w:sz w:val="24"/>
            <w:u w:val="none"/>
            <w:lang w:val="en-US"/>
          </w:rPr>
          <w:t>doenkod</w:t>
        </w:r>
        <w:r w:rsidRPr="00EC270E">
          <w:rPr>
            <w:rStyle w:val="a3"/>
            <w:rFonts w:ascii="Times New Roman" w:hAnsi="Times New Roman" w:cs="Times New Roman"/>
            <w:color w:val="auto"/>
            <w:sz w:val="24"/>
            <w:u w:val="none"/>
          </w:rPr>
          <w:t>047@</w:t>
        </w:r>
        <w:r w:rsidRPr="00EC270E">
          <w:rPr>
            <w:rStyle w:val="a3"/>
            <w:rFonts w:ascii="Times New Roman" w:hAnsi="Times New Roman" w:cs="Times New Roman"/>
            <w:color w:val="auto"/>
            <w:sz w:val="24"/>
            <w:u w:val="none"/>
            <w:lang w:val="en-US"/>
          </w:rPr>
          <w:t>gmail</w:t>
        </w:r>
        <w:r w:rsidRPr="00EC270E">
          <w:rPr>
            <w:rStyle w:val="a3"/>
            <w:rFonts w:ascii="Times New Roman" w:hAnsi="Times New Roman" w:cs="Times New Roman"/>
            <w:color w:val="auto"/>
            <w:sz w:val="24"/>
            <w:u w:val="none"/>
          </w:rPr>
          <w:t>.</w:t>
        </w:r>
        <w:r w:rsidRPr="00EC270E">
          <w:rPr>
            <w:rStyle w:val="a3"/>
            <w:rFonts w:ascii="Times New Roman" w:hAnsi="Times New Roman" w:cs="Times New Roman"/>
            <w:color w:val="auto"/>
            <w:sz w:val="24"/>
            <w:u w:val="none"/>
            <w:lang w:val="en-US"/>
          </w:rPr>
          <w:t>com</w:t>
        </w:r>
      </w:hyperlink>
    </w:p>
    <w:p w:rsidR="00EC270E" w:rsidRPr="00BE5522" w:rsidRDefault="00EC270E" w:rsidP="00BE55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EC270E" w:rsidRDefault="00BE5522" w:rsidP="00B678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BE5522">
        <w:rPr>
          <w:rFonts w:ascii="Times New Roman" w:hAnsi="Times New Roman" w:cs="Times New Roman"/>
          <w:b/>
          <w:sz w:val="24"/>
        </w:rPr>
        <w:t>АНАЛИЗ ВЛИЯНИЯ ИГРОВЫХ ТЕХНОЛОГИЙ НА МОТИВАЦИЮ И УСПЕВАЕМОСТЬ УЧАЩИХСЯ</w:t>
      </w:r>
      <w:r w:rsidR="00B678D7">
        <w:rPr>
          <w:rFonts w:ascii="Times New Roman" w:hAnsi="Times New Roman" w:cs="Times New Roman"/>
          <w:b/>
          <w:sz w:val="24"/>
        </w:rPr>
        <w:t xml:space="preserve"> В </w:t>
      </w:r>
      <w:r w:rsidR="00F32AF8">
        <w:rPr>
          <w:rFonts w:ascii="Times New Roman" w:hAnsi="Times New Roman" w:cs="Times New Roman"/>
          <w:b/>
          <w:sz w:val="24"/>
        </w:rPr>
        <w:t xml:space="preserve">ПРОЦЕССЕ </w:t>
      </w:r>
      <w:r w:rsidR="00B678D7">
        <w:rPr>
          <w:rFonts w:ascii="Times New Roman" w:hAnsi="Times New Roman" w:cs="Times New Roman"/>
          <w:b/>
          <w:sz w:val="24"/>
        </w:rPr>
        <w:t>ОБУЧЕНИЯ ГЕОГРАФИИ И ОБЩЕСТВОЗНАНИЯ</w:t>
      </w:r>
    </w:p>
    <w:p w:rsidR="00BE5522" w:rsidRPr="00EC270E" w:rsidRDefault="00BE5522" w:rsidP="00EC27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</w:p>
    <w:p w:rsidR="00EC270E" w:rsidRPr="00EC270E" w:rsidRDefault="00EC270E" w:rsidP="00EC27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EC270E">
        <w:rPr>
          <w:rFonts w:ascii="Times New Roman" w:hAnsi="Times New Roman" w:cs="Times New Roman"/>
          <w:b/>
          <w:sz w:val="24"/>
        </w:rPr>
        <w:t>Актуальность</w:t>
      </w:r>
      <w:r w:rsidRPr="00EC270E">
        <w:rPr>
          <w:rFonts w:ascii="Times New Roman" w:hAnsi="Times New Roman" w:cs="Times New Roman"/>
          <w:sz w:val="24"/>
        </w:rPr>
        <w:t xml:space="preserve"> выбранной темы обусловлена ролью качества образования как ключевого ресурса социально экономических и культурных преобразований в стране. Основным субъектом этих преобразований выступают люди, в процессе образования приобретающие определённый набор социально востребованных знаний, умений, навыков и опыта. Приоритет внимания взаимосвязей ресурса общественных изменений с качеством образования связан с комплексом проблем, существующих в современной системе школьного образования, одной из которых является снижение эффективности процесса обучения и устойчивый недостаток мотивации у обучающихся.</w:t>
      </w:r>
    </w:p>
    <w:p w:rsidR="00BE5522" w:rsidRDefault="00EC270E" w:rsidP="00EC27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BE5522">
        <w:rPr>
          <w:rFonts w:ascii="Times New Roman" w:hAnsi="Times New Roman" w:cs="Times New Roman"/>
          <w:b/>
          <w:sz w:val="24"/>
        </w:rPr>
        <w:t>Анализ последних исследований и публикаций.</w:t>
      </w:r>
      <w:r w:rsidRPr="00EC270E">
        <w:rPr>
          <w:rFonts w:ascii="Times New Roman" w:hAnsi="Times New Roman" w:cs="Times New Roman"/>
          <w:sz w:val="24"/>
        </w:rPr>
        <w:t xml:space="preserve"> </w:t>
      </w:r>
      <w:r w:rsidRPr="00EC270E">
        <w:rPr>
          <w:rFonts w:ascii="Times New Roman" w:hAnsi="Times New Roman" w:cs="Times New Roman"/>
          <w:sz w:val="24"/>
        </w:rPr>
        <w:t xml:space="preserve">Исследования, проведённые методистами географами (И.И. Баринова, И.В. </w:t>
      </w:r>
      <w:proofErr w:type="spellStart"/>
      <w:r w:rsidRPr="00EC270E">
        <w:rPr>
          <w:rFonts w:ascii="Times New Roman" w:hAnsi="Times New Roman" w:cs="Times New Roman"/>
          <w:sz w:val="24"/>
        </w:rPr>
        <w:t>Душина</w:t>
      </w:r>
      <w:proofErr w:type="spellEnd"/>
      <w:r w:rsidRPr="00EC270E">
        <w:rPr>
          <w:rFonts w:ascii="Times New Roman" w:hAnsi="Times New Roman" w:cs="Times New Roman"/>
          <w:sz w:val="24"/>
        </w:rPr>
        <w:t xml:space="preserve">, Л.Ю. Ларионова, Л.В. Мстиславская, Е.В. </w:t>
      </w:r>
      <w:proofErr w:type="spellStart"/>
      <w:r w:rsidRPr="00EC270E">
        <w:rPr>
          <w:rFonts w:ascii="Times New Roman" w:hAnsi="Times New Roman" w:cs="Times New Roman"/>
          <w:sz w:val="24"/>
        </w:rPr>
        <w:t>Растворова</w:t>
      </w:r>
      <w:proofErr w:type="spellEnd"/>
      <w:r w:rsidRPr="00EC270E">
        <w:rPr>
          <w:rFonts w:ascii="Times New Roman" w:hAnsi="Times New Roman" w:cs="Times New Roman"/>
          <w:sz w:val="24"/>
        </w:rPr>
        <w:t xml:space="preserve">, С.В. </w:t>
      </w:r>
      <w:proofErr w:type="spellStart"/>
      <w:r w:rsidRPr="00EC270E">
        <w:rPr>
          <w:rFonts w:ascii="Times New Roman" w:hAnsi="Times New Roman" w:cs="Times New Roman"/>
          <w:sz w:val="24"/>
        </w:rPr>
        <w:t>Милехина</w:t>
      </w:r>
      <w:proofErr w:type="spellEnd"/>
      <w:r w:rsidRPr="00EC270E">
        <w:rPr>
          <w:rFonts w:ascii="Times New Roman" w:hAnsi="Times New Roman" w:cs="Times New Roman"/>
          <w:sz w:val="24"/>
        </w:rPr>
        <w:t xml:space="preserve">, Л.В. Янышева), показывают, что </w:t>
      </w:r>
      <w:r w:rsidR="00BE5522">
        <w:rPr>
          <w:rFonts w:ascii="Times New Roman" w:hAnsi="Times New Roman" w:cs="Times New Roman"/>
          <w:sz w:val="24"/>
        </w:rPr>
        <w:t>с</w:t>
      </w:r>
      <w:r w:rsidRPr="00EC270E">
        <w:rPr>
          <w:rFonts w:ascii="Times New Roman" w:hAnsi="Times New Roman" w:cs="Times New Roman"/>
          <w:sz w:val="24"/>
        </w:rPr>
        <w:t>реди многообразия средств формирования познавательного интереса значимую роль играет игра, которая базируется на введении в учебный процесс элементов познавательной активности, облегчает усвоение сложного теоретического материала посредством яркой, эмоционально насыщенной и увлекательной игровой формы и создаёт возможность для проявления личностных спосо</w:t>
      </w:r>
      <w:r w:rsidR="00BE5522">
        <w:rPr>
          <w:rFonts w:ascii="Times New Roman" w:hAnsi="Times New Roman" w:cs="Times New Roman"/>
          <w:sz w:val="24"/>
        </w:rPr>
        <w:t>бностей и потребностей учащихся.</w:t>
      </w:r>
    </w:p>
    <w:p w:rsidR="00A16A4E" w:rsidRDefault="00EC270E" w:rsidP="00A16A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BE5522">
        <w:rPr>
          <w:rFonts w:ascii="Times New Roman" w:hAnsi="Times New Roman" w:cs="Times New Roman"/>
          <w:b/>
          <w:sz w:val="24"/>
        </w:rPr>
        <w:t>Цель исследования</w:t>
      </w:r>
      <w:r w:rsidRPr="00EC270E">
        <w:rPr>
          <w:rFonts w:ascii="Times New Roman" w:hAnsi="Times New Roman" w:cs="Times New Roman"/>
          <w:sz w:val="24"/>
        </w:rPr>
        <w:t xml:space="preserve"> – провести комплексный анализ </w:t>
      </w:r>
      <w:r w:rsidR="00BE5522" w:rsidRPr="00BE5522">
        <w:rPr>
          <w:rFonts w:ascii="Times New Roman" w:hAnsi="Times New Roman" w:cs="Times New Roman"/>
          <w:sz w:val="24"/>
        </w:rPr>
        <w:t>влияния игровых технологий на мотивацию и успеваемость учащихся</w:t>
      </w:r>
      <w:r w:rsidRPr="00EC270E">
        <w:rPr>
          <w:rFonts w:ascii="Times New Roman" w:hAnsi="Times New Roman" w:cs="Times New Roman"/>
          <w:sz w:val="24"/>
        </w:rPr>
        <w:t>.</w:t>
      </w:r>
    </w:p>
    <w:p w:rsidR="00BE5522" w:rsidRPr="00A16A4E" w:rsidRDefault="00EC270E" w:rsidP="00A16A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A16A4E">
        <w:rPr>
          <w:rFonts w:ascii="Times New Roman" w:hAnsi="Times New Roman" w:cs="Times New Roman"/>
          <w:b/>
          <w:sz w:val="24"/>
          <w:szCs w:val="24"/>
        </w:rPr>
        <w:t xml:space="preserve">Результаты исследования. </w:t>
      </w:r>
      <w:r w:rsidR="00BE5522" w:rsidRPr="00A16A4E">
        <w:rPr>
          <w:rFonts w:ascii="Times New Roman" w:hAnsi="Times New Roman" w:cs="Times New Roman"/>
          <w:sz w:val="24"/>
          <w:szCs w:val="24"/>
        </w:rPr>
        <w:t xml:space="preserve">Исследование, посвященное влиянию игровых технологий на мотивацию и успеваемость обучающихся, представляет собой важный аспект, который позволяет оценить эффективность современных педагогических методов. В частности, мотивация можно рассматривать как систему причин, которые побуждают человека к определенному поведению и деятельности. Она </w:t>
      </w:r>
      <w:proofErr w:type="gramStart"/>
      <w:r w:rsidR="00BE5522" w:rsidRPr="00A16A4E">
        <w:rPr>
          <w:rFonts w:ascii="Times New Roman" w:hAnsi="Times New Roman" w:cs="Times New Roman"/>
          <w:sz w:val="24"/>
          <w:szCs w:val="24"/>
        </w:rPr>
        <w:t>определяет</w:t>
      </w:r>
      <w:proofErr w:type="gramEnd"/>
      <w:r w:rsidR="00BE5522" w:rsidRPr="00A16A4E">
        <w:rPr>
          <w:rFonts w:ascii="Times New Roman" w:hAnsi="Times New Roman" w:cs="Times New Roman"/>
          <w:sz w:val="24"/>
          <w:szCs w:val="24"/>
        </w:rPr>
        <w:t xml:space="preserve"> как направленность, так и интенсивность активности личности. В контексте образовательного процесса учебная мотивация играет ключевую роль, так как она выступает в качестве внутреннего механизма, способствующего активному вовлечению обучающихся в познавательную деятельность. Это стремление к достижению образовательных результатов, а также преодоление трудностей, возникающих в процессе освоения учебного материала.</w:t>
      </w:r>
    </w:p>
    <w:p w:rsidR="00B678D7" w:rsidRDefault="00BE5522" w:rsidP="00B678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5522">
        <w:rPr>
          <w:rFonts w:ascii="Times New Roman" w:hAnsi="Times New Roman" w:cs="Times New Roman"/>
          <w:sz w:val="24"/>
          <w:szCs w:val="24"/>
        </w:rPr>
        <w:t xml:space="preserve">Теоретические основы влияния игровых технологий на мотивацию обучающихся можно объяснить через концепцию </w:t>
      </w:r>
      <w:proofErr w:type="spellStart"/>
      <w:r w:rsidRPr="00BE5522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BE5522">
        <w:rPr>
          <w:rFonts w:ascii="Times New Roman" w:hAnsi="Times New Roman" w:cs="Times New Roman"/>
          <w:sz w:val="24"/>
          <w:szCs w:val="24"/>
        </w:rPr>
        <w:t xml:space="preserve"> подхода, разработанную А.Н. Леонтьевым, а также через теорию развивающего обучения, предложенную Д.Б. </w:t>
      </w:r>
      <w:proofErr w:type="spellStart"/>
      <w:r w:rsidRPr="00BE5522">
        <w:rPr>
          <w:rFonts w:ascii="Times New Roman" w:hAnsi="Times New Roman" w:cs="Times New Roman"/>
          <w:sz w:val="24"/>
          <w:szCs w:val="24"/>
        </w:rPr>
        <w:t>Элькониным</w:t>
      </w:r>
      <w:proofErr w:type="spellEnd"/>
      <w:r w:rsidRPr="00BE5522">
        <w:rPr>
          <w:rFonts w:ascii="Times New Roman" w:hAnsi="Times New Roman" w:cs="Times New Roman"/>
          <w:sz w:val="24"/>
          <w:szCs w:val="24"/>
        </w:rPr>
        <w:t xml:space="preserve"> и В.В. Давыдовым. В соответствии с этими теориями, игровая деятельность обладает внутренней мотивационной структурой, где сам процесс выполнения действия имеет самостоятельную ценность. Это создает условия для формирования познавательных интересов и способствует трансформации внешней мотивации во внутреннюю. В контексте обучения таким предметам, как география и обществознание, игровые технологии могут существенно изменить отношение учащихся к изучаемым дисциплинам. Они создают ситуации, в которых освоение географических и обществоведческих знаний становится необходимым условием для достижения игровой цели.</w:t>
      </w:r>
    </w:p>
    <w:p w:rsidR="00BE5522" w:rsidRPr="00BE5522" w:rsidRDefault="00BE5522" w:rsidP="00B678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5522">
        <w:rPr>
          <w:rFonts w:ascii="Times New Roman" w:hAnsi="Times New Roman" w:cs="Times New Roman"/>
          <w:sz w:val="24"/>
          <w:szCs w:val="24"/>
        </w:rPr>
        <w:lastRenderedPageBreak/>
        <w:t>Вместо заучивания правил ученик учится выводить общий принцип решения задач, двигаясь от абстрактного к конкретному. Главный принцип – обучение ведет за собой развитие, а учебная деятельность строится как поиск и открытие нового знания самим ребенком. В результате формируется не просто исполнитель, а думающий, инициативный человек, способный решать любые задачи.</w:t>
      </w:r>
    </w:p>
    <w:p w:rsidR="00BE5522" w:rsidRPr="00BE5522" w:rsidRDefault="00BE5522" w:rsidP="00BE55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5522">
        <w:rPr>
          <w:rFonts w:ascii="Times New Roman" w:hAnsi="Times New Roman" w:cs="Times New Roman"/>
          <w:sz w:val="24"/>
          <w:szCs w:val="24"/>
        </w:rPr>
        <w:t xml:space="preserve">Для более глубокого понимания данного явления было проведено эмпирическое исследование, целью которого было изучение влияния игровых технологий на мотивацию учащихся. Исследование проводилось методом анкетирования среди обучающихся 7-11 классов образовательного учреждения ГБОУ «СШ № 2 г. Кировское Шахтерского </w:t>
      </w:r>
      <w:proofErr w:type="spellStart"/>
      <w:r w:rsidRPr="00BE5522">
        <w:rPr>
          <w:rFonts w:ascii="Times New Roman" w:hAnsi="Times New Roman" w:cs="Times New Roman"/>
          <w:sz w:val="24"/>
          <w:szCs w:val="24"/>
        </w:rPr>
        <w:t>м.о</w:t>
      </w:r>
      <w:proofErr w:type="spellEnd"/>
      <w:r w:rsidRPr="00BE5522">
        <w:rPr>
          <w:rFonts w:ascii="Times New Roman" w:hAnsi="Times New Roman" w:cs="Times New Roman"/>
          <w:sz w:val="24"/>
          <w:szCs w:val="24"/>
        </w:rPr>
        <w:t>.». Период проведения исследования охватывал время с марта 2026 года по май 2026 года. В общей сложности в исследовании приняло участие 256 учащихся. Из них 128 обучались в классах, где на уроках применялись игровые технологии, что составило экспериментальную группу, а остальные 128 учащихся находились в классах, где использовали преимущественно традиционные методы обучения, и составили контрольную группу</w:t>
      </w:r>
      <w:r w:rsidR="00B678D7">
        <w:rPr>
          <w:rFonts w:ascii="Times New Roman" w:hAnsi="Times New Roman" w:cs="Times New Roman"/>
          <w:sz w:val="24"/>
          <w:szCs w:val="24"/>
        </w:rPr>
        <w:t>.</w:t>
      </w:r>
    </w:p>
    <w:p w:rsidR="00BE5522" w:rsidRPr="00BE5522" w:rsidRDefault="00BE5522" w:rsidP="00BE55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5522">
        <w:rPr>
          <w:rFonts w:ascii="Times New Roman" w:hAnsi="Times New Roman" w:cs="Times New Roman"/>
          <w:sz w:val="24"/>
          <w:szCs w:val="24"/>
        </w:rPr>
        <w:t xml:space="preserve">Для оценки уровня учебной мотивации использовалась модифицированная методика, основанная на методике М.В. Матюхиной, которая была адаптирована для нужд данного исследования. Результаты проведенного исследования были обобщены и представлены в виде таблицы, которая иллюстрирует полученные данные и позволяет сделать выводы о влиянии игровых технологий на мотивацию обучающихся. Важно отметить, что результаты исследования могут служить основой для дальнейших разработок и внедрения игровых технологий в образовательный процесс, что в свою очередь может привести к повышению интереса учащихся к учебным предметам и улучшению их </w:t>
      </w:r>
      <w:proofErr w:type="gramStart"/>
      <w:r w:rsidRPr="00BE5522">
        <w:rPr>
          <w:rFonts w:ascii="Times New Roman" w:hAnsi="Times New Roman" w:cs="Times New Roman"/>
          <w:sz w:val="24"/>
          <w:szCs w:val="24"/>
        </w:rPr>
        <w:t>успеваемости</w:t>
      </w:r>
      <w:r w:rsidR="00A16A4E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B678D7">
        <w:rPr>
          <w:rFonts w:ascii="Times New Roman" w:hAnsi="Times New Roman" w:cs="Times New Roman"/>
          <w:sz w:val="24"/>
          <w:szCs w:val="24"/>
        </w:rPr>
        <w:t xml:space="preserve"> (</w:t>
      </w:r>
      <w:proofErr w:type="gramEnd"/>
      <w:r w:rsidR="00B678D7">
        <w:rPr>
          <w:rFonts w:ascii="Times New Roman" w:hAnsi="Times New Roman" w:cs="Times New Roman"/>
          <w:sz w:val="24"/>
          <w:szCs w:val="24"/>
        </w:rPr>
        <w:t>табл. 1</w:t>
      </w:r>
      <w:r w:rsidRPr="00BE5522">
        <w:rPr>
          <w:rFonts w:ascii="Times New Roman" w:hAnsi="Times New Roman" w:cs="Times New Roman"/>
          <w:sz w:val="24"/>
          <w:szCs w:val="24"/>
        </w:rPr>
        <w:t>).</w:t>
      </w:r>
    </w:p>
    <w:p w:rsidR="00BE5522" w:rsidRPr="00BE5522" w:rsidRDefault="00BE5522" w:rsidP="00BE55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E5522" w:rsidRPr="00BE5522" w:rsidRDefault="00BE5522" w:rsidP="00BE5522">
      <w:pPr>
        <w:spacing w:after="0" w:line="240" w:lineRule="auto"/>
        <w:ind w:firstLine="567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E5522">
        <w:rPr>
          <w:rFonts w:ascii="Times New Roman" w:hAnsi="Times New Roman" w:cs="Times New Roman"/>
          <w:bCs/>
          <w:sz w:val="24"/>
          <w:szCs w:val="24"/>
        </w:rPr>
        <w:t xml:space="preserve">Таблица </w:t>
      </w:r>
      <w:r w:rsidR="00B678D7">
        <w:rPr>
          <w:rFonts w:ascii="Times New Roman" w:hAnsi="Times New Roman" w:cs="Times New Roman"/>
          <w:bCs/>
          <w:sz w:val="24"/>
          <w:szCs w:val="24"/>
        </w:rPr>
        <w:t>1</w:t>
      </w:r>
    </w:p>
    <w:p w:rsidR="00BE5522" w:rsidRPr="00BE5522" w:rsidRDefault="00BE5522" w:rsidP="00BE5522">
      <w:pPr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E5522">
        <w:rPr>
          <w:rFonts w:ascii="Times New Roman" w:hAnsi="Times New Roman" w:cs="Times New Roman"/>
          <w:bCs/>
          <w:sz w:val="24"/>
          <w:szCs w:val="24"/>
        </w:rPr>
        <w:t>Сравнительная характеристика учебной мотивации учащихся экспериментальной и контрольной групп</w:t>
      </w:r>
    </w:p>
    <w:p w:rsidR="00BE5522" w:rsidRPr="00BE5522" w:rsidRDefault="00BE5522" w:rsidP="00BE5522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2451"/>
        <w:gridCol w:w="3132"/>
        <w:gridCol w:w="2435"/>
        <w:gridCol w:w="1043"/>
      </w:tblGrid>
      <w:tr w:rsidR="00BE5522" w:rsidRPr="00BE5522" w:rsidTr="00102169">
        <w:trPr>
          <w:tblHeader/>
        </w:trPr>
        <w:tc>
          <w:tcPr>
            <w:tcW w:w="0" w:type="auto"/>
          </w:tcPr>
          <w:p w:rsidR="00BE5522" w:rsidRPr="00BE5522" w:rsidRDefault="00BE5522" w:rsidP="00A16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5522">
              <w:rPr>
                <w:rFonts w:ascii="Times New Roman" w:hAnsi="Times New Roman" w:cs="Times New Roman"/>
                <w:sz w:val="24"/>
                <w:szCs w:val="24"/>
              </w:rPr>
              <w:t>Тип мотивации</w:t>
            </w:r>
          </w:p>
        </w:tc>
        <w:tc>
          <w:tcPr>
            <w:tcW w:w="0" w:type="auto"/>
          </w:tcPr>
          <w:p w:rsidR="00BE5522" w:rsidRPr="00BE5522" w:rsidRDefault="00BE5522" w:rsidP="00A16A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522">
              <w:rPr>
                <w:rFonts w:ascii="Times New Roman" w:hAnsi="Times New Roman" w:cs="Times New Roman"/>
                <w:sz w:val="24"/>
                <w:szCs w:val="24"/>
              </w:rPr>
              <w:t>Средний балл в экспериментальной группе</w:t>
            </w:r>
          </w:p>
        </w:tc>
        <w:tc>
          <w:tcPr>
            <w:tcW w:w="0" w:type="auto"/>
          </w:tcPr>
          <w:p w:rsidR="00BE5522" w:rsidRPr="00BE5522" w:rsidRDefault="00BE5522" w:rsidP="00A16A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522">
              <w:rPr>
                <w:rFonts w:ascii="Times New Roman" w:hAnsi="Times New Roman" w:cs="Times New Roman"/>
                <w:sz w:val="24"/>
                <w:szCs w:val="24"/>
              </w:rPr>
              <w:t>Средний балл в контрольной группе</w:t>
            </w:r>
          </w:p>
        </w:tc>
        <w:tc>
          <w:tcPr>
            <w:tcW w:w="0" w:type="auto"/>
          </w:tcPr>
          <w:p w:rsidR="00BE5522" w:rsidRPr="00BE5522" w:rsidRDefault="00BE5522" w:rsidP="00A16A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522">
              <w:rPr>
                <w:rFonts w:ascii="Times New Roman" w:hAnsi="Times New Roman" w:cs="Times New Roman"/>
                <w:sz w:val="24"/>
                <w:szCs w:val="24"/>
              </w:rPr>
              <w:t>Разница</w:t>
            </w:r>
          </w:p>
        </w:tc>
      </w:tr>
      <w:tr w:rsidR="00BE5522" w:rsidRPr="00BE5522" w:rsidTr="00102169">
        <w:tc>
          <w:tcPr>
            <w:tcW w:w="0" w:type="auto"/>
          </w:tcPr>
          <w:p w:rsidR="00BE5522" w:rsidRPr="00BE5522" w:rsidRDefault="00BE5522" w:rsidP="00A16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5522">
              <w:rPr>
                <w:rFonts w:ascii="Times New Roman" w:hAnsi="Times New Roman" w:cs="Times New Roman"/>
                <w:sz w:val="24"/>
                <w:szCs w:val="24"/>
              </w:rPr>
              <w:t>Познавательная мотивация</w:t>
            </w:r>
          </w:p>
        </w:tc>
        <w:tc>
          <w:tcPr>
            <w:tcW w:w="0" w:type="auto"/>
          </w:tcPr>
          <w:p w:rsidR="00BE5522" w:rsidRPr="00BE5522" w:rsidRDefault="00BE5522" w:rsidP="00A16A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522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0" w:type="auto"/>
          </w:tcPr>
          <w:p w:rsidR="00BE5522" w:rsidRPr="00BE5522" w:rsidRDefault="00BE5522" w:rsidP="00A16A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522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0" w:type="auto"/>
          </w:tcPr>
          <w:p w:rsidR="00BE5522" w:rsidRPr="00BE5522" w:rsidRDefault="00BE5522" w:rsidP="00A16A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522">
              <w:rPr>
                <w:rFonts w:ascii="Times New Roman" w:hAnsi="Times New Roman" w:cs="Times New Roman"/>
                <w:sz w:val="24"/>
                <w:szCs w:val="24"/>
              </w:rPr>
              <w:t>+0,9</w:t>
            </w:r>
          </w:p>
        </w:tc>
      </w:tr>
      <w:tr w:rsidR="00BE5522" w:rsidRPr="00BE5522" w:rsidTr="00102169">
        <w:tc>
          <w:tcPr>
            <w:tcW w:w="0" w:type="auto"/>
          </w:tcPr>
          <w:p w:rsidR="00BE5522" w:rsidRPr="00BE5522" w:rsidRDefault="00BE5522" w:rsidP="00A16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5522">
              <w:rPr>
                <w:rFonts w:ascii="Times New Roman" w:hAnsi="Times New Roman" w:cs="Times New Roman"/>
                <w:sz w:val="24"/>
                <w:szCs w:val="24"/>
              </w:rPr>
              <w:t>Мотивация достижения</w:t>
            </w:r>
          </w:p>
        </w:tc>
        <w:tc>
          <w:tcPr>
            <w:tcW w:w="0" w:type="auto"/>
          </w:tcPr>
          <w:p w:rsidR="00BE5522" w:rsidRPr="00BE5522" w:rsidRDefault="00BE5522" w:rsidP="00A16A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522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0" w:type="auto"/>
          </w:tcPr>
          <w:p w:rsidR="00BE5522" w:rsidRPr="00BE5522" w:rsidRDefault="00BE5522" w:rsidP="00A16A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522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0" w:type="auto"/>
          </w:tcPr>
          <w:p w:rsidR="00BE5522" w:rsidRPr="00BE5522" w:rsidRDefault="00BE5522" w:rsidP="00A16A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522">
              <w:rPr>
                <w:rFonts w:ascii="Times New Roman" w:hAnsi="Times New Roman" w:cs="Times New Roman"/>
                <w:sz w:val="24"/>
                <w:szCs w:val="24"/>
              </w:rPr>
              <w:t>+0,5</w:t>
            </w:r>
          </w:p>
        </w:tc>
      </w:tr>
      <w:tr w:rsidR="00BE5522" w:rsidRPr="00BE5522" w:rsidTr="00102169">
        <w:tc>
          <w:tcPr>
            <w:tcW w:w="0" w:type="auto"/>
          </w:tcPr>
          <w:p w:rsidR="00BE5522" w:rsidRPr="00BE5522" w:rsidRDefault="00BE5522" w:rsidP="00A16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5522">
              <w:rPr>
                <w:rFonts w:ascii="Times New Roman" w:hAnsi="Times New Roman" w:cs="Times New Roman"/>
                <w:sz w:val="24"/>
                <w:szCs w:val="24"/>
              </w:rPr>
              <w:t>Социальная мотивация</w:t>
            </w:r>
          </w:p>
        </w:tc>
        <w:tc>
          <w:tcPr>
            <w:tcW w:w="0" w:type="auto"/>
          </w:tcPr>
          <w:p w:rsidR="00BE5522" w:rsidRPr="00BE5522" w:rsidRDefault="00BE5522" w:rsidP="00A16A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522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0" w:type="auto"/>
          </w:tcPr>
          <w:p w:rsidR="00BE5522" w:rsidRPr="00BE5522" w:rsidRDefault="00BE5522" w:rsidP="00A16A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522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0" w:type="auto"/>
          </w:tcPr>
          <w:p w:rsidR="00BE5522" w:rsidRPr="00BE5522" w:rsidRDefault="00BE5522" w:rsidP="00A16A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522">
              <w:rPr>
                <w:rFonts w:ascii="Times New Roman" w:hAnsi="Times New Roman" w:cs="Times New Roman"/>
                <w:sz w:val="24"/>
                <w:szCs w:val="24"/>
              </w:rPr>
              <w:t>+0,1</w:t>
            </w:r>
          </w:p>
        </w:tc>
      </w:tr>
      <w:tr w:rsidR="00BE5522" w:rsidRPr="00BE5522" w:rsidTr="00102169">
        <w:tc>
          <w:tcPr>
            <w:tcW w:w="0" w:type="auto"/>
          </w:tcPr>
          <w:p w:rsidR="00BE5522" w:rsidRPr="00BE5522" w:rsidRDefault="00BE5522" w:rsidP="00A16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5522">
              <w:rPr>
                <w:rFonts w:ascii="Times New Roman" w:hAnsi="Times New Roman" w:cs="Times New Roman"/>
                <w:sz w:val="24"/>
                <w:szCs w:val="24"/>
              </w:rPr>
              <w:t>Мотивация самоопределения</w:t>
            </w:r>
          </w:p>
        </w:tc>
        <w:tc>
          <w:tcPr>
            <w:tcW w:w="0" w:type="auto"/>
          </w:tcPr>
          <w:p w:rsidR="00BE5522" w:rsidRPr="00BE5522" w:rsidRDefault="00BE5522" w:rsidP="00A16A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522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0" w:type="auto"/>
          </w:tcPr>
          <w:p w:rsidR="00BE5522" w:rsidRPr="00BE5522" w:rsidRDefault="00BE5522" w:rsidP="00A16A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52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0" w:type="auto"/>
          </w:tcPr>
          <w:p w:rsidR="00BE5522" w:rsidRPr="00BE5522" w:rsidRDefault="00BE5522" w:rsidP="00A16A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522">
              <w:rPr>
                <w:rFonts w:ascii="Times New Roman" w:hAnsi="Times New Roman" w:cs="Times New Roman"/>
                <w:sz w:val="24"/>
                <w:szCs w:val="24"/>
              </w:rPr>
              <w:t>+0,3</w:t>
            </w:r>
          </w:p>
        </w:tc>
      </w:tr>
      <w:tr w:rsidR="00BE5522" w:rsidRPr="00BE5522" w:rsidTr="00102169">
        <w:tc>
          <w:tcPr>
            <w:tcW w:w="0" w:type="auto"/>
          </w:tcPr>
          <w:p w:rsidR="00BE5522" w:rsidRPr="00BE5522" w:rsidRDefault="00BE5522" w:rsidP="00A16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5522">
              <w:rPr>
                <w:rFonts w:ascii="Times New Roman" w:hAnsi="Times New Roman" w:cs="Times New Roman"/>
                <w:sz w:val="24"/>
                <w:szCs w:val="24"/>
              </w:rPr>
              <w:t>Внешняя мотивация</w:t>
            </w:r>
          </w:p>
        </w:tc>
        <w:tc>
          <w:tcPr>
            <w:tcW w:w="0" w:type="auto"/>
          </w:tcPr>
          <w:p w:rsidR="00BE5522" w:rsidRPr="00BE5522" w:rsidRDefault="00BE5522" w:rsidP="00A16A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522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  <w:tc>
          <w:tcPr>
            <w:tcW w:w="0" w:type="auto"/>
          </w:tcPr>
          <w:p w:rsidR="00BE5522" w:rsidRPr="00BE5522" w:rsidRDefault="00BE5522" w:rsidP="00A16A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522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0" w:type="auto"/>
          </w:tcPr>
          <w:p w:rsidR="00BE5522" w:rsidRPr="00BE5522" w:rsidRDefault="00BE5522" w:rsidP="00A16A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522">
              <w:rPr>
                <w:rFonts w:ascii="Times New Roman" w:hAnsi="Times New Roman" w:cs="Times New Roman"/>
                <w:sz w:val="24"/>
                <w:szCs w:val="24"/>
              </w:rPr>
              <w:t>-0,8</w:t>
            </w:r>
          </w:p>
        </w:tc>
      </w:tr>
      <w:tr w:rsidR="00BE5522" w:rsidRPr="00BE5522" w:rsidTr="00102169">
        <w:tc>
          <w:tcPr>
            <w:tcW w:w="0" w:type="auto"/>
          </w:tcPr>
          <w:p w:rsidR="00BE5522" w:rsidRPr="00BE5522" w:rsidRDefault="00BE5522" w:rsidP="00A16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5522">
              <w:rPr>
                <w:rFonts w:ascii="Times New Roman" w:hAnsi="Times New Roman" w:cs="Times New Roman"/>
                <w:sz w:val="24"/>
                <w:szCs w:val="24"/>
              </w:rPr>
              <w:t>Общий уровень мотивации</w:t>
            </w:r>
          </w:p>
        </w:tc>
        <w:tc>
          <w:tcPr>
            <w:tcW w:w="0" w:type="auto"/>
          </w:tcPr>
          <w:p w:rsidR="00BE5522" w:rsidRPr="00BE5522" w:rsidRDefault="00BE5522" w:rsidP="00A16A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522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0" w:type="auto"/>
          </w:tcPr>
          <w:p w:rsidR="00BE5522" w:rsidRPr="00BE5522" w:rsidRDefault="00BE5522" w:rsidP="00A16A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52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0" w:type="auto"/>
          </w:tcPr>
          <w:p w:rsidR="00BE5522" w:rsidRPr="00BE5522" w:rsidRDefault="00BE5522" w:rsidP="00A16A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522">
              <w:rPr>
                <w:rFonts w:ascii="Times New Roman" w:hAnsi="Times New Roman" w:cs="Times New Roman"/>
                <w:sz w:val="24"/>
                <w:szCs w:val="24"/>
              </w:rPr>
              <w:t>+0,2</w:t>
            </w:r>
          </w:p>
        </w:tc>
      </w:tr>
    </w:tbl>
    <w:p w:rsidR="00BE5522" w:rsidRPr="00BE5522" w:rsidRDefault="00BE5522" w:rsidP="00BE55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E5522" w:rsidRPr="00BE5522" w:rsidRDefault="00BE5522" w:rsidP="00BE55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5522">
        <w:rPr>
          <w:rFonts w:ascii="Times New Roman" w:hAnsi="Times New Roman" w:cs="Times New Roman"/>
          <w:sz w:val="24"/>
          <w:szCs w:val="24"/>
        </w:rPr>
        <w:t xml:space="preserve">В представленных данных таблицы можно наблюдать статистически значительное преимущество экспериментальной группы по различным показателям познавательной мотивации и мотивации достижения. В частности, разница в баллах составила 0,9 в области познавательной мотивации и 0,5 в области мотивации достижения. Эти цифры подчеркивают, что учащиеся экспериментальной группы демонстрируют более высокий уровень заинтересованности в изучаемых предметах. Особенно важно отметить, что в экспериментальной группе был зафиксирован заметный спад уровня внешней </w:t>
      </w:r>
      <w:r w:rsidRPr="00BE5522">
        <w:rPr>
          <w:rFonts w:ascii="Times New Roman" w:hAnsi="Times New Roman" w:cs="Times New Roman"/>
          <w:sz w:val="24"/>
          <w:szCs w:val="24"/>
        </w:rPr>
        <w:lastRenderedPageBreak/>
        <w:t>мотивации, который составил 0,8 балла по сравнению с контрольной группой. Это свидетельствует о том, что у учащихся формируется внутренняя мотивация к изучению таких дисциплин, как география и обществознание, что является позитивным показателем для образовательного процесса.</w:t>
      </w:r>
    </w:p>
    <w:p w:rsidR="00BE5522" w:rsidRPr="00BE5522" w:rsidRDefault="00BE5522" w:rsidP="00BE55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5522">
        <w:rPr>
          <w:rFonts w:ascii="Times New Roman" w:hAnsi="Times New Roman" w:cs="Times New Roman"/>
          <w:sz w:val="24"/>
          <w:szCs w:val="24"/>
        </w:rPr>
        <w:t>Наименьшая разница в показателях наблюдается в области социальной мотивации. Это может быть объяснено тем, что на данный аспект оказывают влияние факторы, не связанные напрямую с методами обучения, что требует дополнительного анализа и изучения. Важно учитывать, что социальная мотивация может зависеть от множества внешних обстоятельств, таких как взаимодействие с одноклассниками, поддержка со стороны преподавателей и общая атмосфера в учебном заведении.</w:t>
      </w:r>
    </w:p>
    <w:p w:rsidR="00BE5522" w:rsidRPr="00BE5522" w:rsidRDefault="00BE5522" w:rsidP="00BE55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5522">
        <w:rPr>
          <w:rFonts w:ascii="Times New Roman" w:hAnsi="Times New Roman" w:cs="Times New Roman"/>
          <w:sz w:val="24"/>
          <w:szCs w:val="24"/>
        </w:rPr>
        <w:t>В рамках исследования также проводился анализ влияния игровых технологий на успеваемость учащихся. Для этого были сопоставлены результаты текущей и промежуточной аттестации как экспериментальной, так и контрольной групп по предметам география и обществознание за 2026 учебный год. В процессе анализа оценивались различные показатели, включая средний балл по предмету, долю учащихся, получивших оценки «отлично» и «хорошо» (что позволяет судить о качестве знаний), а также долю учащихся, имеющих оценку «неудовлетворительно», что указывает на уровень неуспеваемости. Кроме того, рассматривался средний балл выполнения контрольных работ, в которых требовалось применять полученные знания в практических ситуациях.</w:t>
      </w:r>
    </w:p>
    <w:p w:rsidR="00BE5522" w:rsidRPr="00BE5522" w:rsidRDefault="00BE5522" w:rsidP="00BE55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5522">
        <w:rPr>
          <w:rFonts w:ascii="Times New Roman" w:hAnsi="Times New Roman" w:cs="Times New Roman"/>
          <w:sz w:val="24"/>
          <w:szCs w:val="24"/>
        </w:rPr>
        <w:t>Результаты сравнительного анализа, который был проведен в рамках данного исследования, представлены в таблице</w:t>
      </w:r>
      <w:r w:rsidR="00B678D7">
        <w:rPr>
          <w:rFonts w:ascii="Times New Roman" w:hAnsi="Times New Roman" w:cs="Times New Roman"/>
          <w:sz w:val="24"/>
          <w:szCs w:val="24"/>
        </w:rPr>
        <w:t xml:space="preserve"> (табл. 2</w:t>
      </w:r>
      <w:r w:rsidRPr="00BE5522">
        <w:rPr>
          <w:rFonts w:ascii="Times New Roman" w:hAnsi="Times New Roman" w:cs="Times New Roman"/>
          <w:sz w:val="24"/>
          <w:szCs w:val="24"/>
        </w:rPr>
        <w:t xml:space="preserve">). Эти данные позволяют сделать выводы о том, как игровые технологии влияют на учебный процесс и мотивацию учащихся, а также о том, какие изменения происходят в их успеваемости. </w:t>
      </w:r>
    </w:p>
    <w:p w:rsidR="00BE5522" w:rsidRPr="00BE5522" w:rsidRDefault="00BE5522" w:rsidP="00BE55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E5522" w:rsidRPr="00BE5522" w:rsidRDefault="00BE5522" w:rsidP="00BE55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E5522" w:rsidRPr="00BE5522" w:rsidRDefault="00B678D7" w:rsidP="00BE5522">
      <w:pPr>
        <w:spacing w:after="0" w:line="240" w:lineRule="auto"/>
        <w:ind w:firstLine="567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Таблица 2</w:t>
      </w:r>
    </w:p>
    <w:p w:rsidR="00BE5522" w:rsidRPr="00BE5522" w:rsidRDefault="00BE5522" w:rsidP="00A16A4E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E5522">
        <w:rPr>
          <w:rFonts w:ascii="Times New Roman" w:hAnsi="Times New Roman" w:cs="Times New Roman"/>
          <w:bCs/>
          <w:sz w:val="24"/>
          <w:szCs w:val="24"/>
        </w:rPr>
        <w:t>Показатели успеваемости учащихся экспериментальной и контрольной групп по географии и обществознанию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3176"/>
        <w:gridCol w:w="2254"/>
        <w:gridCol w:w="2530"/>
        <w:gridCol w:w="1101"/>
      </w:tblGrid>
      <w:tr w:rsidR="00BE5522" w:rsidRPr="00BE5522" w:rsidTr="00B678D7">
        <w:trPr>
          <w:tblHeader/>
          <w:jc w:val="center"/>
        </w:trPr>
        <w:tc>
          <w:tcPr>
            <w:tcW w:w="1797" w:type="pct"/>
          </w:tcPr>
          <w:p w:rsidR="00BE5522" w:rsidRPr="00BE5522" w:rsidRDefault="00BE5522" w:rsidP="00A16A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522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111" w:type="pct"/>
          </w:tcPr>
          <w:p w:rsidR="00BE5522" w:rsidRPr="00BE5522" w:rsidRDefault="00BE5522" w:rsidP="00A16A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522">
              <w:rPr>
                <w:rFonts w:ascii="Times New Roman" w:hAnsi="Times New Roman" w:cs="Times New Roman"/>
                <w:sz w:val="24"/>
                <w:szCs w:val="24"/>
              </w:rPr>
              <w:t>Экспериментальная группа</w:t>
            </w:r>
          </w:p>
        </w:tc>
        <w:tc>
          <w:tcPr>
            <w:tcW w:w="0" w:type="auto"/>
          </w:tcPr>
          <w:p w:rsidR="00BE5522" w:rsidRPr="00BE5522" w:rsidRDefault="00BE5522" w:rsidP="00A16A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522">
              <w:rPr>
                <w:rFonts w:ascii="Times New Roman" w:hAnsi="Times New Roman" w:cs="Times New Roman"/>
                <w:sz w:val="24"/>
                <w:szCs w:val="24"/>
              </w:rPr>
              <w:t>Контрольная группа</w:t>
            </w:r>
          </w:p>
        </w:tc>
        <w:tc>
          <w:tcPr>
            <w:tcW w:w="0" w:type="auto"/>
          </w:tcPr>
          <w:p w:rsidR="00BE5522" w:rsidRPr="00BE5522" w:rsidRDefault="00BE5522" w:rsidP="00A16A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522">
              <w:rPr>
                <w:rFonts w:ascii="Times New Roman" w:hAnsi="Times New Roman" w:cs="Times New Roman"/>
                <w:sz w:val="24"/>
                <w:szCs w:val="24"/>
              </w:rPr>
              <w:t>Разница</w:t>
            </w:r>
          </w:p>
        </w:tc>
      </w:tr>
      <w:tr w:rsidR="00BE5522" w:rsidRPr="00BE5522" w:rsidTr="00B678D7">
        <w:trPr>
          <w:jc w:val="center"/>
        </w:trPr>
        <w:tc>
          <w:tcPr>
            <w:tcW w:w="1797" w:type="pct"/>
          </w:tcPr>
          <w:p w:rsidR="00BE5522" w:rsidRPr="00BE5522" w:rsidRDefault="00BE5522" w:rsidP="00A16A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522">
              <w:rPr>
                <w:rFonts w:ascii="Times New Roman" w:hAnsi="Times New Roman" w:cs="Times New Roman"/>
                <w:sz w:val="24"/>
                <w:szCs w:val="24"/>
              </w:rPr>
              <w:t>Средний балл по географии</w:t>
            </w:r>
          </w:p>
        </w:tc>
        <w:tc>
          <w:tcPr>
            <w:tcW w:w="1111" w:type="pct"/>
          </w:tcPr>
          <w:p w:rsidR="00BE5522" w:rsidRPr="00BE5522" w:rsidRDefault="00BE5522" w:rsidP="00A16A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522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0" w:type="auto"/>
          </w:tcPr>
          <w:p w:rsidR="00BE5522" w:rsidRPr="00BE5522" w:rsidRDefault="00BE5522" w:rsidP="00A16A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522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0" w:type="auto"/>
          </w:tcPr>
          <w:p w:rsidR="00BE5522" w:rsidRPr="00BE5522" w:rsidRDefault="00BE5522" w:rsidP="00A16A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522">
              <w:rPr>
                <w:rFonts w:ascii="Times New Roman" w:hAnsi="Times New Roman" w:cs="Times New Roman"/>
                <w:sz w:val="24"/>
                <w:szCs w:val="24"/>
              </w:rPr>
              <w:t>+0,4</w:t>
            </w:r>
          </w:p>
        </w:tc>
      </w:tr>
      <w:tr w:rsidR="00BE5522" w:rsidRPr="00BE5522" w:rsidTr="00B678D7">
        <w:trPr>
          <w:jc w:val="center"/>
        </w:trPr>
        <w:tc>
          <w:tcPr>
            <w:tcW w:w="1797" w:type="pct"/>
          </w:tcPr>
          <w:p w:rsidR="00BE5522" w:rsidRPr="00BE5522" w:rsidRDefault="00BE5522" w:rsidP="00A16A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522">
              <w:rPr>
                <w:rFonts w:ascii="Times New Roman" w:hAnsi="Times New Roman" w:cs="Times New Roman"/>
                <w:sz w:val="24"/>
                <w:szCs w:val="24"/>
              </w:rPr>
              <w:t>Средний балл по обществознанию</w:t>
            </w:r>
          </w:p>
        </w:tc>
        <w:tc>
          <w:tcPr>
            <w:tcW w:w="1111" w:type="pct"/>
          </w:tcPr>
          <w:p w:rsidR="00BE5522" w:rsidRPr="00BE5522" w:rsidRDefault="00BE5522" w:rsidP="00A16A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522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0" w:type="auto"/>
          </w:tcPr>
          <w:p w:rsidR="00BE5522" w:rsidRPr="00BE5522" w:rsidRDefault="00BE5522" w:rsidP="00A16A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522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0" w:type="auto"/>
          </w:tcPr>
          <w:p w:rsidR="00BE5522" w:rsidRPr="00BE5522" w:rsidRDefault="00BE5522" w:rsidP="00A16A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522">
              <w:rPr>
                <w:rFonts w:ascii="Times New Roman" w:hAnsi="Times New Roman" w:cs="Times New Roman"/>
                <w:sz w:val="24"/>
                <w:szCs w:val="24"/>
              </w:rPr>
              <w:t>+0,4</w:t>
            </w:r>
          </w:p>
        </w:tc>
      </w:tr>
      <w:tr w:rsidR="00BE5522" w:rsidRPr="00BE5522" w:rsidTr="00B678D7">
        <w:trPr>
          <w:jc w:val="center"/>
        </w:trPr>
        <w:tc>
          <w:tcPr>
            <w:tcW w:w="1797" w:type="pct"/>
          </w:tcPr>
          <w:p w:rsidR="00BE5522" w:rsidRPr="00BE5522" w:rsidRDefault="00BE5522" w:rsidP="00A16A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522">
              <w:rPr>
                <w:rFonts w:ascii="Times New Roman" w:hAnsi="Times New Roman" w:cs="Times New Roman"/>
                <w:sz w:val="24"/>
                <w:szCs w:val="24"/>
              </w:rPr>
              <w:t>Качество знаний по географии (%)</w:t>
            </w:r>
          </w:p>
        </w:tc>
        <w:tc>
          <w:tcPr>
            <w:tcW w:w="1111" w:type="pct"/>
          </w:tcPr>
          <w:p w:rsidR="00BE5522" w:rsidRPr="00BE5522" w:rsidRDefault="00BE5522" w:rsidP="00A16A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522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0" w:type="auto"/>
          </w:tcPr>
          <w:p w:rsidR="00BE5522" w:rsidRPr="00BE5522" w:rsidRDefault="00BE5522" w:rsidP="00A16A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522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0" w:type="auto"/>
          </w:tcPr>
          <w:p w:rsidR="00BE5522" w:rsidRPr="00BE5522" w:rsidRDefault="00BE5522" w:rsidP="00A16A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522">
              <w:rPr>
                <w:rFonts w:ascii="Times New Roman" w:hAnsi="Times New Roman" w:cs="Times New Roman"/>
                <w:sz w:val="24"/>
                <w:szCs w:val="24"/>
              </w:rPr>
              <w:t>+11</w:t>
            </w:r>
          </w:p>
        </w:tc>
      </w:tr>
      <w:tr w:rsidR="00BE5522" w:rsidRPr="00BE5522" w:rsidTr="00B678D7">
        <w:trPr>
          <w:jc w:val="center"/>
        </w:trPr>
        <w:tc>
          <w:tcPr>
            <w:tcW w:w="1797" w:type="pct"/>
          </w:tcPr>
          <w:p w:rsidR="00BE5522" w:rsidRPr="00BE5522" w:rsidRDefault="00BE5522" w:rsidP="00A16A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522">
              <w:rPr>
                <w:rFonts w:ascii="Times New Roman" w:hAnsi="Times New Roman" w:cs="Times New Roman"/>
                <w:sz w:val="24"/>
                <w:szCs w:val="24"/>
              </w:rPr>
              <w:t>Качество знаний по обществознанию (%)</w:t>
            </w:r>
          </w:p>
        </w:tc>
        <w:tc>
          <w:tcPr>
            <w:tcW w:w="1111" w:type="pct"/>
          </w:tcPr>
          <w:p w:rsidR="00BE5522" w:rsidRPr="00BE5522" w:rsidRDefault="00BE5522" w:rsidP="00A16A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522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0" w:type="auto"/>
          </w:tcPr>
          <w:p w:rsidR="00BE5522" w:rsidRPr="00BE5522" w:rsidRDefault="00BE5522" w:rsidP="00A16A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522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0" w:type="auto"/>
          </w:tcPr>
          <w:p w:rsidR="00BE5522" w:rsidRPr="00BE5522" w:rsidRDefault="00BE5522" w:rsidP="00A16A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522">
              <w:rPr>
                <w:rFonts w:ascii="Times New Roman" w:hAnsi="Times New Roman" w:cs="Times New Roman"/>
                <w:sz w:val="24"/>
                <w:szCs w:val="24"/>
              </w:rPr>
              <w:t>+11</w:t>
            </w:r>
          </w:p>
        </w:tc>
      </w:tr>
      <w:tr w:rsidR="00BE5522" w:rsidRPr="00BE5522" w:rsidTr="00B678D7">
        <w:trPr>
          <w:jc w:val="center"/>
        </w:trPr>
        <w:tc>
          <w:tcPr>
            <w:tcW w:w="1797" w:type="pct"/>
          </w:tcPr>
          <w:p w:rsidR="00BE5522" w:rsidRPr="00BE5522" w:rsidRDefault="00BE5522" w:rsidP="00A16A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522">
              <w:rPr>
                <w:rFonts w:ascii="Times New Roman" w:hAnsi="Times New Roman" w:cs="Times New Roman"/>
                <w:sz w:val="24"/>
                <w:szCs w:val="24"/>
              </w:rPr>
              <w:t>Средний балл практических работ по географии</w:t>
            </w:r>
          </w:p>
        </w:tc>
        <w:tc>
          <w:tcPr>
            <w:tcW w:w="1111" w:type="pct"/>
          </w:tcPr>
          <w:p w:rsidR="00BE5522" w:rsidRPr="00BE5522" w:rsidRDefault="00BE5522" w:rsidP="00A16A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522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0" w:type="auto"/>
          </w:tcPr>
          <w:p w:rsidR="00BE5522" w:rsidRPr="00BE5522" w:rsidRDefault="00BE5522" w:rsidP="00A16A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522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0" w:type="auto"/>
          </w:tcPr>
          <w:p w:rsidR="00BE5522" w:rsidRPr="00BE5522" w:rsidRDefault="00BE5522" w:rsidP="00A16A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522">
              <w:rPr>
                <w:rFonts w:ascii="Times New Roman" w:hAnsi="Times New Roman" w:cs="Times New Roman"/>
                <w:sz w:val="24"/>
                <w:szCs w:val="24"/>
              </w:rPr>
              <w:t>+0,5</w:t>
            </w:r>
          </w:p>
        </w:tc>
      </w:tr>
      <w:tr w:rsidR="00BE5522" w:rsidRPr="00BE5522" w:rsidTr="00B678D7">
        <w:trPr>
          <w:jc w:val="center"/>
        </w:trPr>
        <w:tc>
          <w:tcPr>
            <w:tcW w:w="1797" w:type="pct"/>
          </w:tcPr>
          <w:p w:rsidR="00BE5522" w:rsidRPr="00BE5522" w:rsidRDefault="00BE5522" w:rsidP="00A16A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522">
              <w:rPr>
                <w:rFonts w:ascii="Times New Roman" w:hAnsi="Times New Roman" w:cs="Times New Roman"/>
                <w:sz w:val="24"/>
                <w:szCs w:val="24"/>
              </w:rPr>
              <w:t>Средний балл практических работ по обществознанию</w:t>
            </w:r>
          </w:p>
        </w:tc>
        <w:tc>
          <w:tcPr>
            <w:tcW w:w="1111" w:type="pct"/>
          </w:tcPr>
          <w:p w:rsidR="00BE5522" w:rsidRPr="00BE5522" w:rsidRDefault="00BE5522" w:rsidP="00A16A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522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0" w:type="auto"/>
          </w:tcPr>
          <w:p w:rsidR="00BE5522" w:rsidRPr="00BE5522" w:rsidRDefault="00BE5522" w:rsidP="00A16A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522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0" w:type="auto"/>
          </w:tcPr>
          <w:p w:rsidR="00BE5522" w:rsidRPr="00BE5522" w:rsidRDefault="00BE5522" w:rsidP="00A16A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522">
              <w:rPr>
                <w:rFonts w:ascii="Times New Roman" w:hAnsi="Times New Roman" w:cs="Times New Roman"/>
                <w:sz w:val="24"/>
                <w:szCs w:val="24"/>
              </w:rPr>
              <w:t>+0,5</w:t>
            </w:r>
          </w:p>
        </w:tc>
      </w:tr>
    </w:tbl>
    <w:p w:rsidR="00BE5522" w:rsidRPr="00BE5522" w:rsidRDefault="00BE5522" w:rsidP="00BE55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E5522" w:rsidRPr="00BE5522" w:rsidRDefault="00BE5522" w:rsidP="00BE55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5522">
        <w:rPr>
          <w:rFonts w:ascii="Times New Roman" w:hAnsi="Times New Roman" w:cs="Times New Roman"/>
          <w:sz w:val="24"/>
          <w:szCs w:val="24"/>
        </w:rPr>
        <w:t xml:space="preserve">Представленные данные подтверждают, что систематическое использование игровых технологий оказывает положительное воздействие на успеваемость учащихся в предметах, таких как география и обществознание. Наиболее заметная разница наблюдается в показателях качества знаний, где она составляет 11 процентов, а также в среднем балле выполнения практических работ, который увеличивается на 0,5 балла. Это особенно важно, так как выполнение практических заданий требует не просто воспроизведения полученных знаний, но и их применения в новых, нестандартных </w:t>
      </w:r>
      <w:r w:rsidRPr="00BE5522">
        <w:rPr>
          <w:rFonts w:ascii="Times New Roman" w:hAnsi="Times New Roman" w:cs="Times New Roman"/>
          <w:sz w:val="24"/>
          <w:szCs w:val="24"/>
        </w:rPr>
        <w:lastRenderedPageBreak/>
        <w:t xml:space="preserve">ситуациях. Такой подход является показателем глубины усвоения учебного материала и уровня </w:t>
      </w:r>
      <w:proofErr w:type="spellStart"/>
      <w:r w:rsidRPr="00BE5522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BE5522">
        <w:rPr>
          <w:rFonts w:ascii="Times New Roman" w:hAnsi="Times New Roman" w:cs="Times New Roman"/>
          <w:sz w:val="24"/>
          <w:szCs w:val="24"/>
        </w:rPr>
        <w:t xml:space="preserve"> практических навыков у учащихся.</w:t>
      </w:r>
    </w:p>
    <w:p w:rsidR="00BE5522" w:rsidRPr="00BE5522" w:rsidRDefault="00BE5522" w:rsidP="00BE55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5522">
        <w:rPr>
          <w:rFonts w:ascii="Times New Roman" w:hAnsi="Times New Roman" w:cs="Times New Roman"/>
          <w:sz w:val="24"/>
          <w:szCs w:val="24"/>
        </w:rPr>
        <w:t xml:space="preserve">Качественный анализ результатов обучения позволяет выявить конкретные образовательные эффекты, возникающие в результате применения игровых технологий. Учителя отмечают, что учащиеся, участвующие в экспериментальной группе, демонстрируют более высокий уровень развития ряда ключевых компетенций. Это включает в себя умение анализировать географическую и социальную информацию, получаемую из различных источников, а также навыки работы с картографическими материалами и статистическими данными. Учащиеся становятся более способными выявлять причинно-следственные связи между природными и социальными процессами, аргументированно представлять свою точку зрения и участвовать в дискуссиях. </w:t>
      </w:r>
    </w:p>
    <w:p w:rsidR="00BE5522" w:rsidRPr="00BE5522" w:rsidRDefault="00BE5522" w:rsidP="00BE55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5522">
        <w:rPr>
          <w:rFonts w:ascii="Times New Roman" w:hAnsi="Times New Roman" w:cs="Times New Roman"/>
          <w:sz w:val="24"/>
          <w:szCs w:val="24"/>
        </w:rPr>
        <w:t>Дифференцированный анализ воздействия игровых технологий на учащихся с различным уровнем начальной подготовки показывает, что наибольшее положительное влияние эти методы оказывают на обучающихся со средним и низким уровнем успеваемости. У данной категории учащихся наблюдается значительное повышение учебной мотивации, преодоление психологических барьеров, связанных с боязнью ошибок, а также развитие уверенности в собственных силах. Это, в свою очередь, способствует более активному вовлечению в учебный процесс и улучшению результатов.</w:t>
      </w:r>
    </w:p>
    <w:p w:rsidR="00BE5522" w:rsidRPr="00BE5522" w:rsidRDefault="00BE5522" w:rsidP="00BE55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5522">
        <w:rPr>
          <w:rFonts w:ascii="Times New Roman" w:hAnsi="Times New Roman" w:cs="Times New Roman"/>
          <w:sz w:val="24"/>
          <w:szCs w:val="24"/>
        </w:rPr>
        <w:t>Тем не менее, результаты исследования также показывают, что для достижения максимального эффекта от применения игровых технологий необходимо учитывать индивидуальные особенности и потребности каждого учащегося. Это означает, что необходимо адаптировать игровые методы и подходы в зависимости от уровня подготовки и мотивации учащихся. Важно, чтобы учителя были готовы к тому, чтобы поддерживать и направлять учащихся в процессе обучения, создавая комфортную и стимулирующую атмосферу</w:t>
      </w:r>
      <w:r w:rsidR="00B678D7">
        <w:rPr>
          <w:rFonts w:ascii="Times New Roman" w:hAnsi="Times New Roman" w:cs="Times New Roman"/>
          <w:color w:val="0D0D0D"/>
          <w:sz w:val="24"/>
          <w:szCs w:val="24"/>
          <w:shd w:val="clear" w:color="auto" w:fill="FFFFFF"/>
        </w:rPr>
        <w:t>.</w:t>
      </w:r>
      <w:r w:rsidRPr="00BE55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5522" w:rsidRPr="00BE5522" w:rsidRDefault="00BE5522" w:rsidP="00FA33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5522">
        <w:rPr>
          <w:rFonts w:ascii="Times New Roman" w:hAnsi="Times New Roman" w:cs="Times New Roman"/>
          <w:sz w:val="24"/>
          <w:szCs w:val="24"/>
        </w:rPr>
        <w:t>Таким образом, применение игровых технологий в образовательном процессе не только способствует повышению успеваемости, но и развивает важные компетенции, которые необходимы для успешного освоения учебной программы. Учителя и образовательные учреждения должны активно внедрять и развивать эти методы, чтобы обеспечить качественное образование и подготовить учащихся к вызовам современного мира.</w:t>
      </w:r>
    </w:p>
    <w:p w:rsidR="00843568" w:rsidRPr="00FA331E" w:rsidRDefault="00843568" w:rsidP="00FA331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130EC" w:rsidRPr="00FA331E" w:rsidRDefault="000130EC" w:rsidP="00FA331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A331E">
        <w:rPr>
          <w:rFonts w:ascii="Times New Roman" w:hAnsi="Times New Roman" w:cs="Times New Roman"/>
          <w:sz w:val="24"/>
          <w:szCs w:val="24"/>
        </w:rPr>
        <w:t>Список литературы</w:t>
      </w:r>
    </w:p>
    <w:p w:rsidR="000130EC" w:rsidRPr="00FA331E" w:rsidRDefault="000130EC" w:rsidP="00FA33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30EC" w:rsidRPr="00FA331E" w:rsidRDefault="000130EC" w:rsidP="00FA331E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A331E">
        <w:rPr>
          <w:rFonts w:ascii="Times New Roman" w:hAnsi="Times New Roman" w:cs="Times New Roman"/>
          <w:sz w:val="24"/>
          <w:szCs w:val="24"/>
        </w:rPr>
        <w:t>Абдулаев</w:t>
      </w:r>
      <w:proofErr w:type="spellEnd"/>
      <w:r w:rsidRPr="00FA331E">
        <w:rPr>
          <w:rFonts w:ascii="Times New Roman" w:hAnsi="Times New Roman" w:cs="Times New Roman"/>
          <w:sz w:val="24"/>
          <w:szCs w:val="24"/>
        </w:rPr>
        <w:t xml:space="preserve">, С. С. </w:t>
      </w:r>
      <w:proofErr w:type="spellStart"/>
      <w:r w:rsidRPr="00FA331E">
        <w:rPr>
          <w:rFonts w:ascii="Times New Roman" w:hAnsi="Times New Roman" w:cs="Times New Roman"/>
          <w:sz w:val="24"/>
          <w:szCs w:val="24"/>
        </w:rPr>
        <w:t>Геймификация</w:t>
      </w:r>
      <w:proofErr w:type="spellEnd"/>
      <w:r w:rsidRPr="00FA331E">
        <w:rPr>
          <w:rFonts w:ascii="Times New Roman" w:hAnsi="Times New Roman" w:cs="Times New Roman"/>
          <w:sz w:val="24"/>
          <w:szCs w:val="24"/>
        </w:rPr>
        <w:t xml:space="preserve"> образовательного процесса на уроках географии: от развлечения к познанию / С. С. </w:t>
      </w:r>
      <w:proofErr w:type="spellStart"/>
      <w:r w:rsidRPr="00FA331E">
        <w:rPr>
          <w:rFonts w:ascii="Times New Roman" w:hAnsi="Times New Roman" w:cs="Times New Roman"/>
          <w:sz w:val="24"/>
          <w:szCs w:val="24"/>
        </w:rPr>
        <w:t>Абдулаев</w:t>
      </w:r>
      <w:proofErr w:type="spellEnd"/>
      <w:r w:rsidRPr="00FA331E">
        <w:rPr>
          <w:rFonts w:ascii="Times New Roman" w:hAnsi="Times New Roman" w:cs="Times New Roman"/>
          <w:sz w:val="24"/>
          <w:szCs w:val="24"/>
        </w:rPr>
        <w:t>, Н. В. Яковлева // Современные проблемы науки и образования. – 2021. – № 4. – С. 45–53.</w:t>
      </w:r>
    </w:p>
    <w:p w:rsidR="000130EC" w:rsidRPr="00FA331E" w:rsidRDefault="000130EC" w:rsidP="00FA331E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31E">
        <w:rPr>
          <w:rFonts w:ascii="Times New Roman" w:hAnsi="Times New Roman" w:cs="Times New Roman"/>
          <w:sz w:val="24"/>
          <w:szCs w:val="24"/>
        </w:rPr>
        <w:t xml:space="preserve">Боголюбов, Л. Н. Методика преподавания обществознания в школе / Л. Н. Боголюбов, Л. Ф. Иванова. – </w:t>
      </w:r>
      <w:proofErr w:type="gramStart"/>
      <w:r w:rsidRPr="00FA331E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FA33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331E">
        <w:rPr>
          <w:rFonts w:ascii="Times New Roman" w:hAnsi="Times New Roman" w:cs="Times New Roman"/>
          <w:sz w:val="24"/>
          <w:szCs w:val="24"/>
        </w:rPr>
        <w:t>Владос</w:t>
      </w:r>
      <w:proofErr w:type="spellEnd"/>
      <w:r w:rsidRPr="00FA331E">
        <w:rPr>
          <w:rFonts w:ascii="Times New Roman" w:hAnsi="Times New Roman" w:cs="Times New Roman"/>
          <w:sz w:val="24"/>
          <w:szCs w:val="24"/>
        </w:rPr>
        <w:t>, 2021. – 304 с.</w:t>
      </w:r>
    </w:p>
    <w:p w:rsidR="000130EC" w:rsidRPr="00FA331E" w:rsidRDefault="000130EC" w:rsidP="00FA331E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31E">
        <w:rPr>
          <w:rFonts w:ascii="Times New Roman" w:hAnsi="Times New Roman" w:cs="Times New Roman"/>
          <w:sz w:val="24"/>
          <w:szCs w:val="24"/>
        </w:rPr>
        <w:t>Концепция развития географического образования в Российской Федерации [Электронный ресурс]. – URL: http://www.rgo.ru/ru/obshchestvo/koncepciya-razvitiya-geograficheskogo-obrazovaniya-v-rossiyskoy-federacii (дата обращения: 15.03.2025).</w:t>
      </w:r>
    </w:p>
    <w:p w:rsidR="000130EC" w:rsidRDefault="00FA331E" w:rsidP="00FA331E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A331E">
        <w:rPr>
          <w:rFonts w:ascii="Times New Roman" w:hAnsi="Times New Roman" w:cs="Times New Roman"/>
          <w:sz w:val="24"/>
          <w:szCs w:val="24"/>
        </w:rPr>
        <w:t>Селевко</w:t>
      </w:r>
      <w:proofErr w:type="spellEnd"/>
      <w:r w:rsidRPr="00FA331E">
        <w:rPr>
          <w:rFonts w:ascii="Times New Roman" w:hAnsi="Times New Roman" w:cs="Times New Roman"/>
          <w:sz w:val="24"/>
          <w:szCs w:val="24"/>
        </w:rPr>
        <w:t xml:space="preserve">, Г. К. Современные образовательные </w:t>
      </w:r>
      <w:proofErr w:type="gramStart"/>
      <w:r w:rsidRPr="00FA331E">
        <w:rPr>
          <w:rFonts w:ascii="Times New Roman" w:hAnsi="Times New Roman" w:cs="Times New Roman"/>
          <w:sz w:val="24"/>
          <w:szCs w:val="24"/>
        </w:rPr>
        <w:t>технологии :</w:t>
      </w:r>
      <w:proofErr w:type="gramEnd"/>
      <w:r w:rsidRPr="00FA331E">
        <w:rPr>
          <w:rFonts w:ascii="Times New Roman" w:hAnsi="Times New Roman" w:cs="Times New Roman"/>
          <w:sz w:val="24"/>
          <w:szCs w:val="24"/>
        </w:rPr>
        <w:t xml:space="preserve"> учебное пособие / Г. К. </w:t>
      </w:r>
      <w:proofErr w:type="spellStart"/>
      <w:r w:rsidRPr="00FA331E">
        <w:rPr>
          <w:rFonts w:ascii="Times New Roman" w:hAnsi="Times New Roman" w:cs="Times New Roman"/>
          <w:sz w:val="24"/>
          <w:szCs w:val="24"/>
        </w:rPr>
        <w:t>Селевко</w:t>
      </w:r>
      <w:proofErr w:type="spellEnd"/>
      <w:r w:rsidRPr="00FA331E">
        <w:rPr>
          <w:rFonts w:ascii="Times New Roman" w:hAnsi="Times New Roman" w:cs="Times New Roman"/>
          <w:sz w:val="24"/>
          <w:szCs w:val="24"/>
        </w:rPr>
        <w:t xml:space="preserve">. – </w:t>
      </w:r>
      <w:proofErr w:type="gramStart"/>
      <w:r w:rsidRPr="00FA331E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FA331E">
        <w:rPr>
          <w:rFonts w:ascii="Times New Roman" w:hAnsi="Times New Roman" w:cs="Times New Roman"/>
          <w:sz w:val="24"/>
          <w:szCs w:val="24"/>
        </w:rPr>
        <w:t xml:space="preserve"> Народное образование, 2022. – 256 с.</w:t>
      </w:r>
    </w:p>
    <w:p w:rsidR="00A16A4E" w:rsidRPr="00A16A4E" w:rsidRDefault="00A16A4E" w:rsidP="00A16A4E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16A4E">
        <w:rPr>
          <w:rFonts w:ascii="Times New Roman" w:hAnsi="Times New Roman" w:cs="Times New Roman"/>
          <w:sz w:val="24"/>
          <w:szCs w:val="24"/>
        </w:rPr>
        <w:t>Эльконин</w:t>
      </w:r>
      <w:proofErr w:type="spellEnd"/>
      <w:r w:rsidRPr="00A16A4E">
        <w:rPr>
          <w:rFonts w:ascii="Times New Roman" w:hAnsi="Times New Roman" w:cs="Times New Roman"/>
          <w:sz w:val="24"/>
          <w:szCs w:val="24"/>
        </w:rPr>
        <w:t xml:space="preserve">, Д. Б. Психология </w:t>
      </w:r>
      <w:proofErr w:type="gramStart"/>
      <w:r w:rsidRPr="00A16A4E">
        <w:rPr>
          <w:rFonts w:ascii="Times New Roman" w:hAnsi="Times New Roman" w:cs="Times New Roman"/>
          <w:sz w:val="24"/>
          <w:szCs w:val="24"/>
        </w:rPr>
        <w:t>игры :</w:t>
      </w:r>
      <w:proofErr w:type="gramEnd"/>
      <w:r w:rsidRPr="00A16A4E">
        <w:rPr>
          <w:rFonts w:ascii="Times New Roman" w:hAnsi="Times New Roman" w:cs="Times New Roman"/>
          <w:sz w:val="24"/>
          <w:szCs w:val="24"/>
        </w:rPr>
        <w:t xml:space="preserve"> монография / Д. Б. </w:t>
      </w:r>
      <w:proofErr w:type="spellStart"/>
      <w:r w:rsidRPr="00A16A4E">
        <w:rPr>
          <w:rFonts w:ascii="Times New Roman" w:hAnsi="Times New Roman" w:cs="Times New Roman"/>
          <w:sz w:val="24"/>
          <w:szCs w:val="24"/>
        </w:rPr>
        <w:t>Эльконин</w:t>
      </w:r>
      <w:proofErr w:type="spellEnd"/>
      <w:r w:rsidRPr="00A16A4E">
        <w:rPr>
          <w:rFonts w:ascii="Times New Roman" w:hAnsi="Times New Roman" w:cs="Times New Roman"/>
          <w:sz w:val="24"/>
          <w:szCs w:val="24"/>
        </w:rPr>
        <w:t xml:space="preserve">. – </w:t>
      </w:r>
      <w:proofErr w:type="gramStart"/>
      <w:r w:rsidRPr="00A16A4E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A16A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6A4E">
        <w:rPr>
          <w:rFonts w:ascii="Times New Roman" w:hAnsi="Times New Roman" w:cs="Times New Roman"/>
          <w:sz w:val="24"/>
          <w:szCs w:val="24"/>
        </w:rPr>
        <w:t>Владос</w:t>
      </w:r>
      <w:proofErr w:type="spellEnd"/>
      <w:r w:rsidRPr="00A16A4E">
        <w:rPr>
          <w:rFonts w:ascii="Times New Roman" w:hAnsi="Times New Roman" w:cs="Times New Roman"/>
          <w:sz w:val="24"/>
          <w:szCs w:val="24"/>
        </w:rPr>
        <w:t>, 2020. – 360 с.</w:t>
      </w:r>
    </w:p>
    <w:sectPr w:rsidR="00A16A4E" w:rsidRPr="00A16A4E" w:rsidSect="00EC270E">
      <w:pgSz w:w="11906" w:h="16838"/>
      <w:pgMar w:top="1418" w:right="1134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DD70FB"/>
    <w:multiLevelType w:val="multilevel"/>
    <w:tmpl w:val="36C6A55E"/>
    <w:lvl w:ilvl="0">
      <w:start w:val="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8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32" w:hanging="1800"/>
      </w:pPr>
      <w:rPr>
        <w:rFonts w:hint="default"/>
      </w:rPr>
    </w:lvl>
  </w:abstractNum>
  <w:abstractNum w:abstractNumId="1" w15:restartNumberingAfterBreak="0">
    <w:nsid w:val="33BF6EE7"/>
    <w:multiLevelType w:val="hybridMultilevel"/>
    <w:tmpl w:val="ED5EF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70E"/>
    <w:rsid w:val="000130EC"/>
    <w:rsid w:val="00843568"/>
    <w:rsid w:val="00A16A4E"/>
    <w:rsid w:val="00B678D7"/>
    <w:rsid w:val="00BE5522"/>
    <w:rsid w:val="00EC270E"/>
    <w:rsid w:val="00F32AF8"/>
    <w:rsid w:val="00FA3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26FE6"/>
  <w15:chartTrackingRefBased/>
  <w15:docId w15:val="{84461987-241C-4359-880C-9F3844108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C270E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BE55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oenkod047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4</Pages>
  <Words>1766</Words>
  <Characters>10067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zvezda</dc:creator>
  <cp:keywords/>
  <dc:description/>
  <cp:lastModifiedBy>zvezda</cp:lastModifiedBy>
  <cp:revision>1</cp:revision>
  <dcterms:created xsi:type="dcterms:W3CDTF">2026-06-03T07:15:00Z</dcterms:created>
  <dcterms:modified xsi:type="dcterms:W3CDTF">2026-06-03T08:45:00Z</dcterms:modified>
</cp:coreProperties>
</file>