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046FC2">
      <w:pPr>
        <w:ind w:firstLine="0"/>
        <w:jc w:val="center"/>
        <w:rPr>
          <w:rFonts w:hint="default"/>
          <w:b/>
          <w:lang w:val="ru-RU"/>
        </w:rPr>
      </w:pPr>
      <w:bookmarkStart w:id="0" w:name="_GoBack"/>
      <w:r>
        <w:rPr>
          <w:b/>
          <w:lang w:val="ru-RU"/>
        </w:rPr>
        <w:t>М</w:t>
      </w:r>
      <w:r>
        <w:rPr>
          <w:b/>
        </w:rPr>
        <w:t xml:space="preserve">етодическое обеспечение инклюзивного образования в </w:t>
      </w:r>
      <w:r>
        <w:rPr>
          <w:b/>
          <w:lang w:val="ru-RU"/>
        </w:rPr>
        <w:t>ДОУ</w:t>
      </w:r>
      <w:bookmarkEnd w:id="0"/>
    </w:p>
    <w:p w14:paraId="70401A39">
      <w:pPr>
        <w:rPr>
          <w:b/>
          <w:color w:val="auto"/>
        </w:rPr>
      </w:pPr>
    </w:p>
    <w:p w14:paraId="7F4D50AA">
      <w:pPr>
        <w:jc w:val="right"/>
        <w:rPr>
          <w:rFonts w:hint="default"/>
          <w:b/>
          <w:i/>
          <w:color w:val="auto"/>
          <w:lang w:val="ru-RU"/>
        </w:rPr>
      </w:pPr>
      <w:r>
        <w:rPr>
          <w:b/>
          <w:bCs/>
          <w:i/>
          <w:iCs/>
          <w:color w:val="auto"/>
          <w:lang w:val="ru-RU"/>
        </w:rPr>
        <w:t>Н</w:t>
      </w:r>
      <w:r>
        <w:rPr>
          <w:rFonts w:hint="default"/>
          <w:b/>
          <w:bCs/>
          <w:i/>
          <w:iCs/>
          <w:color w:val="auto"/>
          <w:lang w:val="ru-RU"/>
        </w:rPr>
        <w:t>. С. Кузнецова</w:t>
      </w:r>
    </w:p>
    <w:p w14:paraId="541C8BAF">
      <w:r>
        <w:rPr>
          <w:b/>
          <w:bCs/>
        </w:rPr>
        <w:t>Аннотация.</w:t>
      </w:r>
      <w:r>
        <w:t xml:space="preserve"> Обсуждение преимуществ и трудностей, возникающих при реализации инклюзивных образовательных подходов в дошкольных учреждениях, является крайне актуальным на современном этапе развития образования. Регулирование организационно-методического обеспечения инклюзивного образования и полное наличие основных сфер обеспечивает равные возможности для всех детей, способствуя их полноценному развитию и социализации.</w:t>
      </w:r>
    </w:p>
    <w:p w14:paraId="66279136"/>
    <w:p w14:paraId="16FAC040">
      <w:r>
        <w:rPr>
          <w:b/>
          <w:bCs/>
        </w:rPr>
        <w:t>Ключевые слова:</w:t>
      </w:r>
      <w:r>
        <w:t xml:space="preserve"> инклюзивные образовательные подходы, инклюзивное обучение, образовательный процесс, дошкольные образовательные учреждения</w:t>
      </w:r>
    </w:p>
    <w:p w14:paraId="2CAE25DA"/>
    <w:p w14:paraId="2FEEE46D">
      <w:pPr>
        <w:ind w:firstLine="0"/>
        <w:jc w:val="center"/>
        <w:rPr>
          <w:b/>
          <w:lang w:val="en-US"/>
        </w:rPr>
      </w:pPr>
      <w:r>
        <w:rPr>
          <w:b/>
          <w:lang w:val="en-US"/>
        </w:rPr>
        <w:t>Organizational and Methodological Support for Inclusive Education in a Preschool Educational Institution</w:t>
      </w:r>
    </w:p>
    <w:p w14:paraId="7ABE0754">
      <w:pPr>
        <w:ind w:firstLine="0"/>
        <w:jc w:val="center"/>
        <w:rPr>
          <w:b/>
          <w:lang w:val="en-US"/>
        </w:rPr>
      </w:pPr>
    </w:p>
    <w:p w14:paraId="246C7247">
      <w:pPr>
        <w:ind w:firstLine="0"/>
        <w:jc w:val="right"/>
        <w:rPr>
          <w:rFonts w:hint="default"/>
          <w:b/>
          <w:color w:val="auto"/>
          <w:lang w:val="en-US"/>
        </w:rPr>
      </w:pPr>
      <w:r>
        <w:rPr>
          <w:rFonts w:hint="default"/>
          <w:b/>
          <w:bCs/>
          <w:i/>
          <w:iCs/>
          <w:color w:val="auto"/>
          <w:lang w:val="en-US"/>
        </w:rPr>
        <w:t>N.C. Reznetcova</w:t>
      </w:r>
    </w:p>
    <w:p w14:paraId="6F68D712">
      <w:pPr>
        <w:rPr>
          <w:lang w:val="en-US"/>
        </w:rPr>
      </w:pPr>
      <w:r>
        <w:rPr>
          <w:b/>
          <w:bCs/>
          <w:lang w:val="en-US"/>
        </w:rPr>
        <w:t>Abstract.</w:t>
      </w:r>
      <w:r>
        <w:rPr>
          <w:lang w:val="en-US"/>
        </w:rPr>
        <w:t xml:space="preserve"> The discussion of the advantages and difficulties that arise when implementing inclusive educational approaches in preschool institutions is extremely relevant at the current stage of education development. The regulation of the organizational and methodological support for inclusive education and the full availability of the main areas ensure equal opportunities for all children, contributing to their full development and socialization.</w:t>
      </w:r>
    </w:p>
    <w:p w14:paraId="240FC01B">
      <w:pPr>
        <w:rPr>
          <w:lang w:val="en-US"/>
        </w:rPr>
      </w:pPr>
    </w:p>
    <w:p w14:paraId="0B499B50">
      <w:pPr>
        <w:rPr>
          <w:lang w:val="en-US"/>
        </w:rPr>
      </w:pPr>
      <w:r>
        <w:rPr>
          <w:b/>
          <w:bCs/>
        </w:rPr>
        <w:t>К</w:t>
      </w:r>
      <w:r>
        <w:rPr>
          <w:b/>
          <w:bCs/>
          <w:lang w:val="en-US"/>
        </w:rPr>
        <w:t>eywords:</w:t>
      </w:r>
      <w:r>
        <w:rPr>
          <w:lang w:val="en-US"/>
        </w:rPr>
        <w:t xml:space="preserve"> inclusive educational approaches, inclusive learning, educational process, preschool educational institutions.</w:t>
      </w:r>
    </w:p>
    <w:p w14:paraId="31AEF0FB">
      <w:r>
        <w:t>Нарушения здоровья нередко дают о себе знать уже в первые годы жизни ребёнка, что впоследствии негативно сказывается на его развитии, порождает в школьные годы трудности в усвоении знаний и становится почвой для возникновения вторичных психических расстройств. Трансформация современной среды – экономической, социальной и экологической – повлекла за собой заметный рост количества детей, нуждающихся в особом подходе к образованию. Вопрос организации инклюзивного образования на федеральном и иных уровнях приобретает всё большую актуальность, равно как и необходимость комплексного психолого-педагогического и медико-социального сопровождения детей. Своевременное обнаружение нарушений в развитии ребёнка и незамедлительное начало систематической коррекционной работы дают возможность не только устранить уже существующие проблемы, но и предотвратить появление новых.</w:t>
      </w:r>
    </w:p>
    <w:p w14:paraId="244A4723">
      <w:r>
        <w:t>Традиционные методы решения образовательных задач на различных возрастных этапах утрачивают свою эффективность применительно к детям с нарушениями в развитии. Именно разрыв связей с социумом и культурой, выступающими ключевыми источниками развития личности, становится главным фактором, тормозящим развитие таких детей. Это явление Л.С. Выготский обозначил термином «социальный вывих» [цит. по: 6, с. 15], указывая тем самым на то, что отклонения в развитии неизбежно ведут к деформации взаимодействия ребёнка с окружающей культурной и социальной средой.</w:t>
      </w:r>
    </w:p>
    <w:p w14:paraId="20B5EBDD">
      <w:r>
        <w:t xml:space="preserve">Особого внимания требует анализ того, как менялось количество детей с инвалидностью и их удельный вес среди всех инвалидов страны – тем более в связке с динамикой численности детского населения в целом [5, с. 352]. </w:t>
      </w:r>
    </w:p>
    <w:p w14:paraId="7E263C72">
      <w:r>
        <w:t>Среди россиян, не достигших совершеннолетия, дети с инвалидностью занимают долю в 2,6% – такие цифры приводит Институт демографии НИУ ВШЭ имени А. Г. Вишневского. В абсолютном выражении речь идёт о более чем 779,3 тысячах человек, и именно такой показатель был зафиксирован в стране к 2025 году – рисунок 1 [10].</w:t>
      </w:r>
    </w:p>
    <w:p w14:paraId="1BE9E657">
      <w:pPr>
        <w:ind w:firstLine="0"/>
      </w:pPr>
    </w:p>
    <w:p w14:paraId="77365412">
      <w:pPr>
        <w:ind w:firstLine="0"/>
        <w:jc w:val="center"/>
      </w:pPr>
      <w:r>
        <w:rPr>
          <w:lang w:eastAsia="ru-RU"/>
        </w:rPr>
        <w:drawing>
          <wp:inline distT="0" distB="0" distL="0" distR="0">
            <wp:extent cx="4791075" cy="30861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A4426C7">
      <w:pPr>
        <w:spacing w:line="240" w:lineRule="auto"/>
        <w:jc w:val="center"/>
        <w:rPr>
          <w:sz w:val="24"/>
          <w:szCs w:val="24"/>
        </w:rPr>
      </w:pPr>
      <w:r>
        <w:rPr>
          <w:i/>
          <w:iCs/>
          <w:sz w:val="24"/>
          <w:szCs w:val="24"/>
        </w:rPr>
        <w:t>Рис. 1.</w:t>
      </w:r>
      <w:r>
        <w:rPr>
          <w:sz w:val="24"/>
          <w:szCs w:val="24"/>
        </w:rPr>
        <w:t xml:space="preserve">  Численность детей-инвалидов в России, тысяч человек </w:t>
      </w:r>
    </w:p>
    <w:p w14:paraId="2390A465">
      <w:pPr>
        <w:spacing w:line="240" w:lineRule="auto"/>
        <w:jc w:val="center"/>
        <w:rPr>
          <w:sz w:val="24"/>
          <w:szCs w:val="24"/>
          <w:lang w:val="en-US"/>
        </w:rPr>
      </w:pPr>
      <w:r>
        <w:rPr>
          <w:sz w:val="24"/>
          <w:szCs w:val="24"/>
          <w:lang w:val="en-US"/>
        </w:rPr>
        <w:t>Fig. 1. Number of disabled children in Russia, in thousands</w:t>
      </w:r>
    </w:p>
    <w:p w14:paraId="7EFF7328">
      <w:pPr>
        <w:ind w:firstLine="0"/>
        <w:rPr>
          <w:lang w:val="en-US"/>
        </w:rPr>
      </w:pPr>
    </w:p>
    <w:p w14:paraId="28F1B5C7">
      <w:pPr>
        <w:rPr>
          <w:lang w:val="en-US"/>
        </w:rPr>
      </w:pPr>
    </w:p>
    <w:p w14:paraId="5BD74AAA">
      <w:r>
        <w:t xml:space="preserve">Принимая во внимание особые образовательные потребности детей с ограниченными возможностями здоровья, можно отметить отличающие их от других групп воспитанников потребность в ранней диагностике и начале коррекционно-развивающей работы, индивидуальном и дифференцированном подходе, непрерывности коррекционного воздействия, изменении содержания образования, путей его изучения (методов, средств, форм), а также пространственно-временной организации среды обучения, и специфические потребности каждой группы воспитанников с </w:t>
      </w:r>
      <w:r>
        <w:rPr>
          <w:bCs/>
        </w:rPr>
        <w:t>ограниченными возможностями здоровья</w:t>
      </w:r>
      <w:r>
        <w:t>, которые имеют свои особенности и требования к организационно-методическому обеспечению инклюзивного образования [8, с. 49].</w:t>
      </w:r>
    </w:p>
    <w:p w14:paraId="6D583E83">
      <w:r>
        <w:t>Организационно-методическое обеспечение инклюзивного образования – это комплекс мер, направленных на создание условий для равного доступа к образованию для всех обучающихся с учётом их особых образовательных потребностей и индивидуальных возможностей.</w:t>
      </w:r>
    </w:p>
    <w:p w14:paraId="6D6310DD">
      <w:r>
        <w:rPr>
          <w:shd w:val="clear" w:color="auto" w:fill="FFFFFF"/>
        </w:rPr>
        <w:t>Организационно-методическое обеспечение инклюзивного образования</w:t>
      </w:r>
      <w:r>
        <w:t xml:space="preserve"> включает разные направления регулирования. В таблице 1 представлена нормативно-правовая составляющая </w:t>
      </w:r>
      <w:r>
        <w:rPr>
          <w:bCs/>
        </w:rPr>
        <w:t>организационно-методическое обеспечение инклюзивного образования</w:t>
      </w:r>
      <w:r>
        <w:t>.</w:t>
      </w:r>
    </w:p>
    <w:p w14:paraId="0C8AD012">
      <w:pPr>
        <w:spacing w:line="240" w:lineRule="auto"/>
        <w:jc w:val="right"/>
        <w:rPr>
          <w:i/>
          <w:iCs/>
          <w:sz w:val="24"/>
          <w:szCs w:val="24"/>
        </w:rPr>
      </w:pPr>
      <w:r>
        <w:rPr>
          <w:i/>
          <w:iCs/>
          <w:sz w:val="24"/>
          <w:szCs w:val="24"/>
        </w:rPr>
        <w:t>Таблица 1</w:t>
      </w:r>
    </w:p>
    <w:p w14:paraId="445CF7AA">
      <w:pPr>
        <w:spacing w:line="240" w:lineRule="auto"/>
        <w:ind w:firstLine="0"/>
        <w:jc w:val="center"/>
        <w:rPr>
          <w:b/>
          <w:bCs/>
          <w:sz w:val="24"/>
          <w:szCs w:val="24"/>
        </w:rPr>
      </w:pPr>
      <w:r>
        <w:rPr>
          <w:b/>
          <w:sz w:val="24"/>
          <w:szCs w:val="24"/>
        </w:rPr>
        <w:t xml:space="preserve">Нормативно-правовая </w:t>
      </w:r>
      <w:r>
        <w:rPr>
          <w:b/>
          <w:bCs/>
          <w:sz w:val="24"/>
          <w:szCs w:val="24"/>
        </w:rPr>
        <w:t>составляющая организационно-методического обеспечения инклюзивного образования в дошкольном образовательном учреждении</w:t>
      </w:r>
    </w:p>
    <w:p w14:paraId="3D960648">
      <w:pPr>
        <w:spacing w:line="240" w:lineRule="auto"/>
        <w:jc w:val="right"/>
        <w:rPr>
          <w:i/>
          <w:iCs/>
          <w:sz w:val="24"/>
          <w:szCs w:val="24"/>
          <w:lang w:val="en-US"/>
        </w:rPr>
      </w:pPr>
      <w:r>
        <w:rPr>
          <w:i/>
          <w:iCs/>
          <w:sz w:val="24"/>
          <w:szCs w:val="24"/>
          <w:lang w:val="en-US"/>
        </w:rPr>
        <w:t>Table 1</w:t>
      </w:r>
    </w:p>
    <w:p w14:paraId="3F7BC39C">
      <w:pPr>
        <w:spacing w:line="240" w:lineRule="auto"/>
        <w:ind w:firstLine="0"/>
        <w:jc w:val="center"/>
        <w:rPr>
          <w:b/>
          <w:bCs/>
          <w:sz w:val="24"/>
          <w:szCs w:val="24"/>
          <w:lang w:val="en-US"/>
        </w:rPr>
      </w:pPr>
      <w:r>
        <w:rPr>
          <w:b/>
          <w:bCs/>
          <w:sz w:val="24"/>
          <w:szCs w:val="24"/>
          <w:lang w:val="en-US"/>
        </w:rPr>
        <w:t>The legal and regulatory framework for organizational and methodological support of inclusive education in preschool educational institutions</w:t>
      </w:r>
    </w:p>
    <w:p w14:paraId="0A0C0E25">
      <w:pPr>
        <w:spacing w:line="240" w:lineRule="auto"/>
        <w:ind w:firstLine="0"/>
        <w:jc w:val="center"/>
        <w:rPr>
          <w:b/>
          <w:bCs/>
          <w:sz w:val="24"/>
          <w:szCs w:val="24"/>
          <w:lang w:val="en-US"/>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52"/>
        <w:gridCol w:w="5002"/>
      </w:tblGrid>
      <w:tr w14:paraId="74A6D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pct"/>
          </w:tcPr>
          <w:p w14:paraId="0B874616">
            <w:pPr>
              <w:spacing w:line="240" w:lineRule="auto"/>
              <w:ind w:firstLine="0"/>
              <w:jc w:val="center"/>
              <w:rPr>
                <w:b/>
                <w:sz w:val="24"/>
                <w:szCs w:val="24"/>
              </w:rPr>
            </w:pPr>
            <w:r>
              <w:rPr>
                <w:b/>
                <w:sz w:val="24"/>
                <w:szCs w:val="24"/>
              </w:rPr>
              <w:t>Наименование</w:t>
            </w:r>
          </w:p>
        </w:tc>
        <w:tc>
          <w:tcPr>
            <w:tcW w:w="2538" w:type="pct"/>
          </w:tcPr>
          <w:p w14:paraId="5F9866A6">
            <w:pPr>
              <w:spacing w:line="240" w:lineRule="auto"/>
              <w:ind w:firstLine="0"/>
              <w:jc w:val="center"/>
              <w:rPr>
                <w:b/>
                <w:sz w:val="24"/>
                <w:szCs w:val="24"/>
              </w:rPr>
            </w:pPr>
            <w:r>
              <w:rPr>
                <w:b/>
                <w:sz w:val="24"/>
                <w:szCs w:val="24"/>
              </w:rPr>
              <w:t>Характеристика</w:t>
            </w:r>
          </w:p>
        </w:tc>
      </w:tr>
      <w:tr w14:paraId="4FAA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pct"/>
          </w:tcPr>
          <w:p w14:paraId="3ED4740B">
            <w:pPr>
              <w:spacing w:line="240" w:lineRule="auto"/>
              <w:ind w:firstLine="0"/>
              <w:jc w:val="left"/>
              <w:rPr>
                <w:sz w:val="24"/>
                <w:szCs w:val="24"/>
              </w:rPr>
            </w:pPr>
            <w:r>
              <w:rPr>
                <w:sz w:val="24"/>
                <w:szCs w:val="24"/>
              </w:rPr>
              <w:t>Федеральный закон «Об образовании в Российской Федерации» [1]</w:t>
            </w:r>
          </w:p>
        </w:tc>
        <w:tc>
          <w:tcPr>
            <w:tcW w:w="2538" w:type="pct"/>
          </w:tcPr>
          <w:p w14:paraId="77749CA4">
            <w:pPr>
              <w:spacing w:line="240" w:lineRule="auto"/>
              <w:ind w:firstLine="0"/>
              <w:rPr>
                <w:sz w:val="24"/>
                <w:szCs w:val="24"/>
              </w:rPr>
            </w:pPr>
            <w:r>
              <w:rPr>
                <w:sz w:val="24"/>
                <w:szCs w:val="24"/>
              </w:rPr>
              <w:t>Право на образование для людей с инвалидностью и ОВЗ является гарантированным, и в связи с этим образовательные организации несут обязательство по созданию специальных условий, необходимых для обучения таких учащихся.</w:t>
            </w:r>
          </w:p>
        </w:tc>
      </w:tr>
      <w:tr w14:paraId="6A75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pct"/>
          </w:tcPr>
          <w:p w14:paraId="4DA0788B">
            <w:pPr>
              <w:spacing w:line="240" w:lineRule="auto"/>
              <w:ind w:firstLine="0"/>
              <w:rPr>
                <w:sz w:val="24"/>
                <w:szCs w:val="24"/>
              </w:rPr>
            </w:pPr>
            <w:r>
              <w:rPr>
                <w:sz w:val="24"/>
                <w:szCs w:val="24"/>
              </w:rPr>
              <w:t>Приказ Минпросвещения России «Об утверждении положения о психолого-медико-педагогической комиссии» [2]</w:t>
            </w:r>
          </w:p>
        </w:tc>
        <w:tc>
          <w:tcPr>
            <w:tcW w:w="2538" w:type="pct"/>
          </w:tcPr>
          <w:p w14:paraId="203D4B0F">
            <w:pPr>
              <w:spacing w:line="240" w:lineRule="auto"/>
              <w:ind w:firstLine="0"/>
              <w:rPr>
                <w:sz w:val="24"/>
                <w:szCs w:val="24"/>
              </w:rPr>
            </w:pPr>
            <w:r>
              <w:rPr>
                <w:sz w:val="24"/>
                <w:szCs w:val="24"/>
              </w:rPr>
              <w:t>Выявление детей с особенностями развития, а также выработка рекомендаций по их воспитанию и обучению – это задачи, которые относятся к полномочиям психолого-медико-педагогической комиссии («ПМПК»). Именно на закрепление указанных функций за данным органом направлено утверждённое Положение, регулирующее его деятельность.</w:t>
            </w:r>
          </w:p>
        </w:tc>
      </w:tr>
      <w:tr w14:paraId="40FC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pct"/>
          </w:tcPr>
          <w:p w14:paraId="2E5C5383">
            <w:pPr>
              <w:spacing w:line="240" w:lineRule="auto"/>
              <w:ind w:firstLine="0"/>
              <w:rPr>
                <w:sz w:val="24"/>
                <w:szCs w:val="24"/>
              </w:rPr>
            </w:pPr>
            <w:r>
              <w:rPr>
                <w:sz w:val="24"/>
                <w:szCs w:val="24"/>
              </w:rPr>
              <w:t>Распоряжение Минпросвещения России «Об утверждении примерного Положения о психолого-педагогическом консилиуме образовательной организации» [3]</w:t>
            </w:r>
          </w:p>
        </w:tc>
        <w:tc>
          <w:tcPr>
            <w:tcW w:w="2538" w:type="pct"/>
          </w:tcPr>
          <w:p w14:paraId="26FC880E">
            <w:pPr>
              <w:spacing w:line="240" w:lineRule="auto"/>
              <w:ind w:firstLine="0"/>
              <w:rPr>
                <w:sz w:val="24"/>
                <w:szCs w:val="24"/>
              </w:rPr>
            </w:pPr>
            <w:r>
              <w:rPr>
                <w:sz w:val="24"/>
                <w:szCs w:val="24"/>
              </w:rPr>
              <w:t>Порядок деятельности, задачи и функции психолого-педагогического консилиума (ППк), функционирующего в рамках образовательной организации, устанавливаются данным документом.</w:t>
            </w:r>
          </w:p>
        </w:tc>
      </w:tr>
    </w:tbl>
    <w:p w14:paraId="2B5BB1BB">
      <w:pPr>
        <w:ind w:firstLine="0"/>
      </w:pPr>
    </w:p>
    <w:p w14:paraId="047A5854">
      <w:r>
        <w:t>Для детей с ограниченными возможностями здоровья и детей-инвалидов в дошкольных образовательных учреждениях формируется специальная среда, реализация которой невозможна без методического и кадрового сопровождения инклюзивного образования. Совокупность необходимых организационных мероприятий, направленных на выстраивание эффективного воспитательно-образовательного процесса, составляет основу данного направления работы.</w:t>
      </w:r>
    </w:p>
    <w:p w14:paraId="39EA34EB">
      <w:r>
        <w:t>Для педагога наличие диплома о профессиональной переподготовке либо удостоверения о повышении квалификации установленного образца является обязательным подтверждением соответствующей подготовки. При этом каждый педагог и специалист обязан освоить программу в области специальной педагогики и психологии, касающуюся организации обучения и воспитания детей с ограниченными возможностями здоровья, – будь то курсы повышения квалификации или профессиональная переподготовка объёмом не менее 72 часов.</w:t>
      </w:r>
    </w:p>
    <w:p w14:paraId="44AF1DD9">
      <w:r>
        <w:t xml:space="preserve">Профиль имеющихся у воспитанников ограничений по здоровью определяет, какие именно специалисты должны быть включены в кадровый состав дошкольной организации, работающей по адаптированным образовательным программам. Так, штатное расписание подобных учреждений может предусматривать ставки тьюторов, педагогов-психологов, социальных педагогов, учителей-логопедов, учителей-дефектологов, а также иных профильных сотрудников, необходимых для полноценного сопровождения детей [9, с. 31]. </w:t>
      </w:r>
    </w:p>
    <w:p w14:paraId="0D18EE7E">
      <w:r>
        <w:t xml:space="preserve">В таблице 2 представлена кадровая составляющая </w:t>
      </w:r>
      <w:r>
        <w:rPr>
          <w:bCs/>
        </w:rPr>
        <w:t>организационно-методическое обеспечение инклюзивного образования</w:t>
      </w:r>
      <w:r>
        <w:t>.</w:t>
      </w:r>
    </w:p>
    <w:p w14:paraId="10821764">
      <w:pPr>
        <w:spacing w:line="240" w:lineRule="auto"/>
        <w:jc w:val="right"/>
        <w:rPr>
          <w:i/>
          <w:iCs/>
          <w:sz w:val="24"/>
          <w:szCs w:val="24"/>
        </w:rPr>
      </w:pPr>
      <w:r>
        <w:rPr>
          <w:i/>
          <w:iCs/>
          <w:sz w:val="24"/>
          <w:szCs w:val="24"/>
        </w:rPr>
        <w:t>Таблица 2</w:t>
      </w:r>
    </w:p>
    <w:p w14:paraId="69C812F8">
      <w:pPr>
        <w:spacing w:line="240" w:lineRule="auto"/>
        <w:ind w:firstLine="0"/>
        <w:jc w:val="center"/>
        <w:rPr>
          <w:b/>
          <w:bCs/>
          <w:sz w:val="24"/>
          <w:szCs w:val="24"/>
        </w:rPr>
      </w:pPr>
      <w:r>
        <w:rPr>
          <w:b/>
          <w:sz w:val="24"/>
          <w:szCs w:val="24"/>
        </w:rPr>
        <w:t xml:space="preserve">Кадровая </w:t>
      </w:r>
      <w:r>
        <w:rPr>
          <w:b/>
          <w:bCs/>
          <w:sz w:val="24"/>
          <w:szCs w:val="24"/>
        </w:rPr>
        <w:t>составляющая организационно-методического обеспечения инклюзивного образования в дошкольном образовательном учреждении</w:t>
      </w:r>
    </w:p>
    <w:p w14:paraId="3B8CA469">
      <w:pPr>
        <w:spacing w:line="240" w:lineRule="auto"/>
        <w:jc w:val="right"/>
        <w:rPr>
          <w:i/>
          <w:iCs/>
          <w:sz w:val="24"/>
          <w:szCs w:val="24"/>
          <w:lang w:val="en-US"/>
        </w:rPr>
      </w:pPr>
      <w:r>
        <w:rPr>
          <w:i/>
          <w:iCs/>
          <w:sz w:val="24"/>
          <w:szCs w:val="24"/>
          <w:lang w:val="en-US"/>
        </w:rPr>
        <w:t>Table 2</w:t>
      </w:r>
    </w:p>
    <w:p w14:paraId="1D8C34B3">
      <w:pPr>
        <w:spacing w:line="240" w:lineRule="auto"/>
        <w:ind w:firstLine="0"/>
        <w:jc w:val="center"/>
        <w:rPr>
          <w:b/>
          <w:bCs/>
          <w:sz w:val="24"/>
          <w:szCs w:val="24"/>
          <w:lang w:val="en-US"/>
        </w:rPr>
      </w:pPr>
      <w:r>
        <w:rPr>
          <w:b/>
          <w:bCs/>
          <w:sz w:val="24"/>
          <w:szCs w:val="24"/>
          <w:lang w:val="en-US"/>
        </w:rPr>
        <w:t>The human resources component of the organizational and methodological support of inclusive education in a preschool educational institution</w:t>
      </w:r>
    </w:p>
    <w:p w14:paraId="26CE87BA">
      <w:pPr>
        <w:spacing w:line="240" w:lineRule="auto"/>
        <w:ind w:firstLine="0"/>
        <w:jc w:val="center"/>
        <w:rPr>
          <w:b/>
          <w:bCs/>
          <w:sz w:val="24"/>
          <w:szCs w:val="24"/>
          <w:lang w:val="en-US"/>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2"/>
        <w:gridCol w:w="7182"/>
      </w:tblGrid>
      <w:tr w14:paraId="35FF4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Pr>
          <w:p w14:paraId="5C39B619">
            <w:pPr>
              <w:spacing w:line="240" w:lineRule="auto"/>
              <w:ind w:firstLine="0"/>
              <w:jc w:val="center"/>
              <w:rPr>
                <w:b/>
                <w:sz w:val="24"/>
                <w:szCs w:val="24"/>
              </w:rPr>
            </w:pPr>
            <w:r>
              <w:rPr>
                <w:b/>
                <w:sz w:val="24"/>
                <w:szCs w:val="24"/>
              </w:rPr>
              <w:t>Наименование</w:t>
            </w:r>
          </w:p>
        </w:tc>
        <w:tc>
          <w:tcPr>
            <w:tcW w:w="3644" w:type="pct"/>
          </w:tcPr>
          <w:p w14:paraId="2D0BBA85">
            <w:pPr>
              <w:spacing w:line="240" w:lineRule="auto"/>
              <w:ind w:firstLine="0"/>
              <w:jc w:val="center"/>
              <w:rPr>
                <w:b/>
                <w:sz w:val="24"/>
                <w:szCs w:val="24"/>
              </w:rPr>
            </w:pPr>
            <w:r>
              <w:rPr>
                <w:b/>
                <w:sz w:val="24"/>
                <w:szCs w:val="24"/>
              </w:rPr>
              <w:t>Характеристика</w:t>
            </w:r>
          </w:p>
        </w:tc>
      </w:tr>
      <w:tr w14:paraId="4F25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Pr>
          <w:p w14:paraId="1D5B42ED">
            <w:pPr>
              <w:spacing w:line="240" w:lineRule="auto"/>
              <w:ind w:firstLine="0"/>
              <w:jc w:val="left"/>
              <w:rPr>
                <w:sz w:val="24"/>
                <w:szCs w:val="24"/>
              </w:rPr>
            </w:pPr>
            <w:r>
              <w:rPr>
                <w:sz w:val="24"/>
                <w:szCs w:val="24"/>
              </w:rPr>
              <w:t>Укомплектованность кадрами</w:t>
            </w:r>
          </w:p>
        </w:tc>
        <w:tc>
          <w:tcPr>
            <w:tcW w:w="3644" w:type="pct"/>
          </w:tcPr>
          <w:p w14:paraId="512337F1">
            <w:pPr>
              <w:spacing w:line="240" w:lineRule="auto"/>
              <w:ind w:firstLine="0"/>
              <w:rPr>
                <w:sz w:val="24"/>
                <w:szCs w:val="24"/>
              </w:rPr>
            </w:pPr>
            <w:r>
              <w:rPr>
                <w:sz w:val="24"/>
                <w:szCs w:val="24"/>
              </w:rPr>
              <w:t>Укомплектованность образовательного учреждения педагогическими и руководящими работниками, компетентными в понимании особых образовательных потребностей детей с ОВЗ.</w:t>
            </w:r>
          </w:p>
        </w:tc>
      </w:tr>
      <w:tr w14:paraId="7E496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Pr>
          <w:p w14:paraId="7F1E28FF">
            <w:pPr>
              <w:spacing w:line="240" w:lineRule="auto"/>
              <w:ind w:firstLine="0"/>
              <w:rPr>
                <w:sz w:val="24"/>
                <w:szCs w:val="24"/>
              </w:rPr>
            </w:pPr>
            <w:r>
              <w:rPr>
                <w:sz w:val="24"/>
                <w:szCs w:val="24"/>
              </w:rPr>
              <w:t>Повышение квалификации</w:t>
            </w:r>
          </w:p>
        </w:tc>
        <w:tc>
          <w:tcPr>
            <w:tcW w:w="3644" w:type="pct"/>
          </w:tcPr>
          <w:p w14:paraId="4317ACB5">
            <w:pPr>
              <w:spacing w:line="240" w:lineRule="auto"/>
              <w:ind w:firstLine="0"/>
              <w:rPr>
                <w:sz w:val="24"/>
                <w:szCs w:val="24"/>
              </w:rPr>
            </w:pPr>
            <w:r>
              <w:rPr>
                <w:sz w:val="24"/>
                <w:szCs w:val="24"/>
              </w:rPr>
              <w:t>Повышение квалификации и профессиональная переподготовка педагогов, в том числе в рамках сетевого взаимодействия с вузами и центрами переподготовки.</w:t>
            </w:r>
          </w:p>
        </w:tc>
      </w:tr>
      <w:tr w14:paraId="22205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Pr>
          <w:p w14:paraId="6239E503">
            <w:pPr>
              <w:spacing w:line="240" w:lineRule="auto"/>
              <w:ind w:firstLine="0"/>
              <w:rPr>
                <w:sz w:val="24"/>
                <w:szCs w:val="24"/>
              </w:rPr>
            </w:pPr>
            <w:r>
              <w:rPr>
                <w:sz w:val="24"/>
                <w:szCs w:val="24"/>
              </w:rPr>
              <w:t>Команда</w:t>
            </w:r>
          </w:p>
        </w:tc>
        <w:tc>
          <w:tcPr>
            <w:tcW w:w="3644" w:type="pct"/>
          </w:tcPr>
          <w:p w14:paraId="6213869E">
            <w:pPr>
              <w:spacing w:line="240" w:lineRule="auto"/>
              <w:ind w:firstLine="0"/>
              <w:rPr>
                <w:sz w:val="24"/>
                <w:szCs w:val="24"/>
              </w:rPr>
            </w:pPr>
            <w:r>
              <w:rPr>
                <w:sz w:val="24"/>
                <w:szCs w:val="24"/>
              </w:rPr>
              <w:t>Формирование команды специалистов сопровождения: координатор по инклюзии, психолог, учитель-логопед, учитель-дефектолог, социальный педагог, тьютор и др.</w:t>
            </w:r>
          </w:p>
        </w:tc>
      </w:tr>
    </w:tbl>
    <w:p w14:paraId="4D951E0F"/>
    <w:p w14:paraId="6CAEF8C4">
      <w:r>
        <w:t xml:space="preserve">В таблице 3 представлена методическая составляющая </w:t>
      </w:r>
      <w:r>
        <w:rPr>
          <w:bCs/>
        </w:rPr>
        <w:t>организационно-методическое обеспечение инклюзивного образования</w:t>
      </w:r>
      <w:r>
        <w:t>.</w:t>
      </w:r>
    </w:p>
    <w:p w14:paraId="441EF975">
      <w:pPr>
        <w:rPr>
          <w:i/>
          <w:iCs/>
          <w:sz w:val="24"/>
          <w:szCs w:val="24"/>
        </w:rPr>
      </w:pPr>
      <w:r>
        <w:rPr>
          <w:i/>
          <w:iCs/>
          <w:sz w:val="24"/>
          <w:szCs w:val="24"/>
        </w:rPr>
        <w:br w:type="page"/>
      </w:r>
    </w:p>
    <w:p w14:paraId="0F8A76CF">
      <w:pPr>
        <w:spacing w:line="240" w:lineRule="auto"/>
        <w:jc w:val="right"/>
        <w:rPr>
          <w:i/>
          <w:iCs/>
          <w:sz w:val="24"/>
          <w:szCs w:val="24"/>
        </w:rPr>
      </w:pPr>
      <w:r>
        <w:rPr>
          <w:i/>
          <w:iCs/>
          <w:sz w:val="24"/>
          <w:szCs w:val="24"/>
        </w:rPr>
        <w:t>Таблица 3</w:t>
      </w:r>
    </w:p>
    <w:p w14:paraId="4DFCA390">
      <w:pPr>
        <w:spacing w:line="240" w:lineRule="auto"/>
        <w:ind w:firstLine="0"/>
        <w:jc w:val="center"/>
        <w:rPr>
          <w:b/>
          <w:bCs/>
          <w:sz w:val="24"/>
          <w:szCs w:val="24"/>
        </w:rPr>
      </w:pPr>
      <w:r>
        <w:rPr>
          <w:b/>
          <w:sz w:val="24"/>
          <w:szCs w:val="24"/>
        </w:rPr>
        <w:t xml:space="preserve">Методическая </w:t>
      </w:r>
      <w:r>
        <w:rPr>
          <w:b/>
          <w:bCs/>
          <w:sz w:val="24"/>
          <w:szCs w:val="24"/>
        </w:rPr>
        <w:t>составляющая организационно-методического обеспечения инклюзивного образования в дошкольном образовательном учреждении</w:t>
      </w:r>
    </w:p>
    <w:p w14:paraId="701BA646">
      <w:pPr>
        <w:spacing w:line="240" w:lineRule="auto"/>
        <w:jc w:val="right"/>
        <w:rPr>
          <w:i/>
          <w:iCs/>
          <w:sz w:val="24"/>
          <w:szCs w:val="24"/>
          <w:lang w:val="en-US"/>
        </w:rPr>
      </w:pPr>
      <w:r>
        <w:rPr>
          <w:i/>
          <w:iCs/>
          <w:sz w:val="24"/>
          <w:szCs w:val="24"/>
          <w:lang w:val="en-US"/>
        </w:rPr>
        <w:t>Table 3</w:t>
      </w:r>
    </w:p>
    <w:p w14:paraId="6FC6B8E6">
      <w:pPr>
        <w:spacing w:line="240" w:lineRule="auto"/>
        <w:ind w:firstLine="0"/>
        <w:jc w:val="center"/>
        <w:rPr>
          <w:b/>
          <w:bCs/>
          <w:sz w:val="24"/>
          <w:szCs w:val="24"/>
          <w:lang w:val="en-US"/>
        </w:rPr>
      </w:pPr>
      <w:r>
        <w:rPr>
          <w:b/>
          <w:bCs/>
          <w:sz w:val="24"/>
          <w:szCs w:val="24"/>
          <w:lang w:val="en-US"/>
        </w:rPr>
        <w:t>The methodological component of the organizational and methodological support of inclusive education in a preschool educational institution</w:t>
      </w:r>
    </w:p>
    <w:p w14:paraId="35B037EE">
      <w:pPr>
        <w:spacing w:line="240" w:lineRule="auto"/>
        <w:ind w:firstLine="0"/>
        <w:jc w:val="center"/>
        <w:rPr>
          <w:b/>
          <w:bCs/>
          <w:sz w:val="24"/>
          <w:szCs w:val="24"/>
          <w:lang w:val="en-US"/>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2"/>
        <w:gridCol w:w="7182"/>
      </w:tblGrid>
      <w:tr w14:paraId="4B4F2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445E8059">
            <w:pPr>
              <w:spacing w:line="240" w:lineRule="auto"/>
              <w:ind w:firstLine="0"/>
              <w:jc w:val="center"/>
              <w:rPr>
                <w:b/>
                <w:sz w:val="24"/>
                <w:szCs w:val="24"/>
              </w:rPr>
            </w:pPr>
            <w:r>
              <w:rPr>
                <w:b/>
                <w:sz w:val="24"/>
                <w:szCs w:val="24"/>
              </w:rPr>
              <w:t>Наименование</w:t>
            </w:r>
          </w:p>
        </w:tc>
        <w:tc>
          <w:tcPr>
            <w:tcW w:w="3644" w:type="pct"/>
            <w:tcBorders>
              <w:top w:val="single" w:color="auto" w:sz="4" w:space="0"/>
              <w:left w:val="single" w:color="auto" w:sz="4" w:space="0"/>
              <w:bottom w:val="single" w:color="auto" w:sz="4" w:space="0"/>
              <w:right w:val="single" w:color="auto" w:sz="4" w:space="0"/>
            </w:tcBorders>
          </w:tcPr>
          <w:p w14:paraId="786EBCD5">
            <w:pPr>
              <w:spacing w:line="240" w:lineRule="auto"/>
              <w:ind w:firstLine="0"/>
              <w:jc w:val="center"/>
              <w:rPr>
                <w:b/>
                <w:sz w:val="24"/>
                <w:szCs w:val="24"/>
              </w:rPr>
            </w:pPr>
            <w:r>
              <w:rPr>
                <w:b/>
                <w:sz w:val="24"/>
                <w:szCs w:val="24"/>
              </w:rPr>
              <w:t>Характеристика</w:t>
            </w:r>
          </w:p>
        </w:tc>
      </w:tr>
      <w:tr w14:paraId="0588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361D4305">
            <w:pPr>
              <w:spacing w:line="240" w:lineRule="auto"/>
              <w:ind w:firstLine="0"/>
              <w:jc w:val="left"/>
              <w:rPr>
                <w:sz w:val="24"/>
                <w:szCs w:val="24"/>
              </w:rPr>
            </w:pPr>
            <w:r>
              <w:rPr>
                <w:sz w:val="24"/>
                <w:szCs w:val="24"/>
              </w:rPr>
              <w:t>Адаптированные образовательные программы</w:t>
            </w:r>
          </w:p>
        </w:tc>
        <w:tc>
          <w:tcPr>
            <w:tcW w:w="3644" w:type="pct"/>
            <w:tcBorders>
              <w:top w:val="single" w:color="auto" w:sz="4" w:space="0"/>
              <w:left w:val="single" w:color="auto" w:sz="4" w:space="0"/>
              <w:bottom w:val="single" w:color="auto" w:sz="4" w:space="0"/>
              <w:right w:val="single" w:color="auto" w:sz="4" w:space="0"/>
            </w:tcBorders>
          </w:tcPr>
          <w:p w14:paraId="1BA0DE9A">
            <w:pPr>
              <w:spacing w:line="240" w:lineRule="auto"/>
              <w:ind w:firstLine="0"/>
              <w:rPr>
                <w:sz w:val="24"/>
                <w:szCs w:val="24"/>
              </w:rPr>
            </w:pPr>
            <w:r>
              <w:rPr>
                <w:sz w:val="24"/>
                <w:szCs w:val="24"/>
              </w:rPr>
              <w:t>Программы, учитывающие особенности психофизического развития и индивидуальные возможности обучающихся с ОВЗ</w:t>
            </w:r>
          </w:p>
        </w:tc>
      </w:tr>
      <w:tr w14:paraId="5B219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5DEBD921">
            <w:pPr>
              <w:spacing w:line="240" w:lineRule="auto"/>
              <w:ind w:firstLine="0"/>
              <w:rPr>
                <w:sz w:val="24"/>
                <w:szCs w:val="24"/>
              </w:rPr>
            </w:pPr>
            <w:r>
              <w:rPr>
                <w:sz w:val="24"/>
                <w:szCs w:val="24"/>
              </w:rPr>
              <w:t>Учебно-методические комплекты</w:t>
            </w:r>
          </w:p>
        </w:tc>
        <w:tc>
          <w:tcPr>
            <w:tcW w:w="3644" w:type="pct"/>
            <w:tcBorders>
              <w:top w:val="single" w:color="auto" w:sz="4" w:space="0"/>
              <w:left w:val="single" w:color="auto" w:sz="4" w:space="0"/>
              <w:bottom w:val="single" w:color="auto" w:sz="4" w:space="0"/>
              <w:right w:val="single" w:color="auto" w:sz="4" w:space="0"/>
            </w:tcBorders>
          </w:tcPr>
          <w:p w14:paraId="3BF5AE04">
            <w:pPr>
              <w:spacing w:line="240" w:lineRule="auto"/>
              <w:ind w:firstLine="0"/>
              <w:rPr>
                <w:sz w:val="24"/>
                <w:szCs w:val="24"/>
              </w:rPr>
            </w:pPr>
            <w:r>
              <w:rPr>
                <w:sz w:val="24"/>
                <w:szCs w:val="24"/>
              </w:rPr>
              <w:t>Включающие специальные учебники, пособия, дидактические материалы, адаптированные с учётом особенностей обучающихся</w:t>
            </w:r>
          </w:p>
        </w:tc>
      </w:tr>
      <w:tr w14:paraId="5AA5F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34012416">
            <w:pPr>
              <w:spacing w:line="240" w:lineRule="auto"/>
              <w:ind w:firstLine="0"/>
              <w:rPr>
                <w:sz w:val="24"/>
                <w:szCs w:val="24"/>
              </w:rPr>
            </w:pPr>
            <w:r>
              <w:rPr>
                <w:sz w:val="24"/>
                <w:szCs w:val="24"/>
              </w:rPr>
              <w:t>Интернет-обеспечение</w:t>
            </w:r>
          </w:p>
        </w:tc>
        <w:tc>
          <w:tcPr>
            <w:tcW w:w="3644" w:type="pct"/>
            <w:tcBorders>
              <w:top w:val="single" w:color="auto" w:sz="4" w:space="0"/>
              <w:left w:val="single" w:color="auto" w:sz="4" w:space="0"/>
              <w:bottom w:val="single" w:color="auto" w:sz="4" w:space="0"/>
              <w:right w:val="single" w:color="auto" w:sz="4" w:space="0"/>
            </w:tcBorders>
          </w:tcPr>
          <w:p w14:paraId="2AD2236E">
            <w:pPr>
              <w:spacing w:line="240" w:lineRule="auto"/>
              <w:ind w:firstLine="0"/>
              <w:rPr>
                <w:sz w:val="24"/>
                <w:szCs w:val="24"/>
              </w:rPr>
            </w:pPr>
            <w:r>
              <w:rPr>
                <w:sz w:val="24"/>
                <w:szCs w:val="24"/>
              </w:rPr>
              <w:t>Ээлектронные развивающие игры, онлайн-ресурсы, адаптированные с учётом индивидуальных особенностей ребёнка</w:t>
            </w:r>
          </w:p>
        </w:tc>
      </w:tr>
    </w:tbl>
    <w:p w14:paraId="2C4388CE"/>
    <w:p w14:paraId="7379BB0B">
      <w:r>
        <w:t>Уровень инклюзивной компетентности как родителей дошкольников с особыми образовательными потребностями, так и педагогов, работающих с данной категорией семей, существенно возрастёт при условии выстроенного психолого-педагогического сопровождения всех участников образовательных отношений в дошкольном учреждении. Помимо этого, подобный подход способствует сокращению числа воспитанников, испытывающих трудности в развитии.</w:t>
      </w:r>
    </w:p>
    <w:p w14:paraId="317D8770">
      <w:r>
        <w:t xml:space="preserve">Основополагающие подходы к психолого-педагогическому сопровождению в рамках организационно-методической базы инклюзивного дошкольного образования: </w:t>
      </w:r>
    </w:p>
    <w:p w14:paraId="38C9C62C">
      <w:r>
        <w:t>1. Профессионально-деловое партнёрство взрослых участников системы инклюзивного образования (педагогов, администрации, родителей).</w:t>
      </w:r>
    </w:p>
    <w:p w14:paraId="2FC44FDD">
      <w:r>
        <w:t>2. Динамический характер сопровождения, учитывающий уровень достижений и зону ближайшего развития ребёнка.</w:t>
      </w:r>
    </w:p>
    <w:p w14:paraId="1938AEE0">
      <w:r>
        <w:t>3. Целенаправленность и целесообразность стратегии сопровождения, нацеленной на развитие у ребёнка восприятия сверстника на положительной эмоциональной основе.</w:t>
      </w:r>
    </w:p>
    <w:p w14:paraId="2E9975D5">
      <w:r>
        <w:t>4. Учёт совокупности биологических и социальных факторов развития ребёнка [7, с. 223].</w:t>
      </w:r>
    </w:p>
    <w:p w14:paraId="504A3788">
      <w:r>
        <w:t>В таблице 4 представлено психолого-педагогическое сопровождение</w:t>
      </w:r>
      <w:r>
        <w:rPr>
          <w:bCs/>
        </w:rPr>
        <w:t xml:space="preserve"> организационно-методического обеспечения инклюзивного образования</w:t>
      </w:r>
      <w:r>
        <w:t>.</w:t>
      </w:r>
    </w:p>
    <w:p w14:paraId="4A413D5D">
      <w:pPr>
        <w:spacing w:line="240" w:lineRule="auto"/>
        <w:jc w:val="right"/>
        <w:rPr>
          <w:i/>
          <w:iCs/>
          <w:sz w:val="24"/>
          <w:szCs w:val="24"/>
        </w:rPr>
      </w:pPr>
      <w:r>
        <w:rPr>
          <w:i/>
          <w:iCs/>
          <w:sz w:val="24"/>
          <w:szCs w:val="24"/>
        </w:rPr>
        <w:t>Таблица 4</w:t>
      </w:r>
    </w:p>
    <w:p w14:paraId="43DBF446">
      <w:pPr>
        <w:spacing w:line="240" w:lineRule="auto"/>
        <w:ind w:firstLine="0"/>
        <w:jc w:val="center"/>
        <w:rPr>
          <w:b/>
          <w:bCs/>
          <w:sz w:val="24"/>
          <w:szCs w:val="24"/>
        </w:rPr>
      </w:pPr>
      <w:r>
        <w:rPr>
          <w:b/>
          <w:sz w:val="24"/>
          <w:szCs w:val="24"/>
        </w:rPr>
        <w:t>Психолого-педагогическое сопровождение организационно-методического обеспечения инклюзивного образования</w:t>
      </w:r>
      <w:r>
        <w:rPr>
          <w:b/>
          <w:bCs/>
          <w:sz w:val="24"/>
          <w:szCs w:val="24"/>
        </w:rPr>
        <w:t xml:space="preserve"> в дошкольном образовательном учреждении</w:t>
      </w:r>
    </w:p>
    <w:p w14:paraId="6836F2F3">
      <w:pPr>
        <w:spacing w:line="240" w:lineRule="auto"/>
        <w:jc w:val="right"/>
        <w:rPr>
          <w:i/>
          <w:iCs/>
          <w:sz w:val="24"/>
          <w:szCs w:val="24"/>
          <w:lang w:val="en-US"/>
        </w:rPr>
      </w:pPr>
      <w:r>
        <w:rPr>
          <w:i/>
          <w:iCs/>
          <w:sz w:val="24"/>
          <w:szCs w:val="24"/>
          <w:lang w:val="en-US"/>
        </w:rPr>
        <w:t>Table 4</w:t>
      </w:r>
    </w:p>
    <w:p w14:paraId="1F134619">
      <w:pPr>
        <w:spacing w:line="240" w:lineRule="auto"/>
        <w:ind w:firstLine="0"/>
        <w:jc w:val="center"/>
        <w:rPr>
          <w:b/>
          <w:bCs/>
          <w:sz w:val="24"/>
          <w:szCs w:val="24"/>
          <w:lang w:val="en-US"/>
        </w:rPr>
      </w:pPr>
      <w:r>
        <w:rPr>
          <w:b/>
          <w:bCs/>
          <w:sz w:val="24"/>
          <w:szCs w:val="24"/>
          <w:lang w:val="en-US"/>
        </w:rPr>
        <w:t>Psychological and pedagogical support for the organizational and methodological provision of inclusive education in a preschool educational institution</w:t>
      </w:r>
    </w:p>
    <w:p w14:paraId="4174DD30">
      <w:pPr>
        <w:spacing w:line="240" w:lineRule="auto"/>
        <w:ind w:firstLine="0"/>
        <w:jc w:val="center"/>
        <w:rPr>
          <w:b/>
          <w:bCs/>
          <w:sz w:val="24"/>
          <w:szCs w:val="24"/>
          <w:lang w:val="en-US"/>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2"/>
        <w:gridCol w:w="7182"/>
      </w:tblGrid>
      <w:tr w14:paraId="2258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3B564571">
            <w:pPr>
              <w:spacing w:line="240" w:lineRule="auto"/>
              <w:ind w:firstLine="0"/>
              <w:jc w:val="center"/>
              <w:rPr>
                <w:b/>
                <w:sz w:val="24"/>
                <w:szCs w:val="24"/>
              </w:rPr>
            </w:pPr>
            <w:r>
              <w:rPr>
                <w:b/>
                <w:sz w:val="24"/>
                <w:szCs w:val="24"/>
              </w:rPr>
              <w:t>Наименование</w:t>
            </w:r>
          </w:p>
        </w:tc>
        <w:tc>
          <w:tcPr>
            <w:tcW w:w="3644" w:type="pct"/>
            <w:tcBorders>
              <w:top w:val="single" w:color="auto" w:sz="4" w:space="0"/>
              <w:left w:val="single" w:color="auto" w:sz="4" w:space="0"/>
              <w:bottom w:val="single" w:color="auto" w:sz="4" w:space="0"/>
              <w:right w:val="single" w:color="auto" w:sz="4" w:space="0"/>
            </w:tcBorders>
          </w:tcPr>
          <w:p w14:paraId="77B2D311">
            <w:pPr>
              <w:spacing w:line="240" w:lineRule="auto"/>
              <w:ind w:firstLine="0"/>
              <w:jc w:val="center"/>
              <w:rPr>
                <w:b/>
                <w:sz w:val="24"/>
                <w:szCs w:val="24"/>
              </w:rPr>
            </w:pPr>
            <w:r>
              <w:rPr>
                <w:b/>
                <w:sz w:val="24"/>
                <w:szCs w:val="24"/>
              </w:rPr>
              <w:t>Характеристика</w:t>
            </w:r>
          </w:p>
        </w:tc>
      </w:tr>
      <w:tr w14:paraId="709CC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2E3350EA">
            <w:pPr>
              <w:spacing w:line="240" w:lineRule="auto"/>
              <w:ind w:firstLine="0"/>
              <w:jc w:val="left"/>
              <w:rPr>
                <w:sz w:val="24"/>
                <w:szCs w:val="24"/>
              </w:rPr>
            </w:pPr>
            <w:r>
              <w:rPr>
                <w:sz w:val="24"/>
                <w:szCs w:val="24"/>
              </w:rPr>
              <w:t>Психолого-педагогический консилиум</w:t>
            </w:r>
          </w:p>
        </w:tc>
        <w:tc>
          <w:tcPr>
            <w:tcW w:w="3644" w:type="pct"/>
            <w:tcBorders>
              <w:top w:val="single" w:color="auto" w:sz="4" w:space="0"/>
              <w:left w:val="single" w:color="auto" w:sz="4" w:space="0"/>
              <w:bottom w:val="single" w:color="auto" w:sz="4" w:space="0"/>
              <w:right w:val="single" w:color="auto" w:sz="4" w:space="0"/>
            </w:tcBorders>
          </w:tcPr>
          <w:p w14:paraId="01B3FA7A">
            <w:pPr>
              <w:spacing w:line="240" w:lineRule="auto"/>
              <w:ind w:firstLine="0"/>
              <w:rPr>
                <w:sz w:val="24"/>
                <w:szCs w:val="24"/>
              </w:rPr>
            </w:pPr>
            <w:r>
              <w:rPr>
                <w:sz w:val="24"/>
                <w:szCs w:val="24"/>
              </w:rPr>
              <w:t>Коллегиальный консультативный орган, обеспечивающий комплексное сопровождение обучающихся, включая диагностику, коррекцию, адаптацию и социализацию</w:t>
            </w:r>
          </w:p>
        </w:tc>
      </w:tr>
      <w:tr w14:paraId="7022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49DDA4CD">
            <w:pPr>
              <w:spacing w:line="240" w:lineRule="auto"/>
              <w:ind w:firstLine="0"/>
              <w:rPr>
                <w:sz w:val="24"/>
                <w:szCs w:val="24"/>
              </w:rPr>
            </w:pPr>
            <w:r>
              <w:rPr>
                <w:sz w:val="24"/>
                <w:szCs w:val="24"/>
              </w:rPr>
              <w:t>Диагностическое сопровождение</w:t>
            </w:r>
          </w:p>
        </w:tc>
        <w:tc>
          <w:tcPr>
            <w:tcW w:w="3644" w:type="pct"/>
            <w:tcBorders>
              <w:top w:val="single" w:color="auto" w:sz="4" w:space="0"/>
              <w:left w:val="single" w:color="auto" w:sz="4" w:space="0"/>
              <w:bottom w:val="single" w:color="auto" w:sz="4" w:space="0"/>
              <w:right w:val="single" w:color="auto" w:sz="4" w:space="0"/>
            </w:tcBorders>
          </w:tcPr>
          <w:p w14:paraId="57082FE7">
            <w:pPr>
              <w:spacing w:line="240" w:lineRule="auto"/>
              <w:ind w:firstLine="0"/>
              <w:rPr>
                <w:sz w:val="24"/>
                <w:szCs w:val="24"/>
              </w:rPr>
            </w:pPr>
            <w:r>
              <w:rPr>
                <w:sz w:val="24"/>
                <w:szCs w:val="24"/>
              </w:rPr>
              <w:t>Диагностика эффективности процессов коррекции, адаптации и социализации детей с особенностями развития</w:t>
            </w:r>
          </w:p>
        </w:tc>
      </w:tr>
      <w:tr w14:paraId="37D4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7868A3B0">
            <w:pPr>
              <w:spacing w:line="240" w:lineRule="auto"/>
              <w:ind w:firstLine="0"/>
              <w:rPr>
                <w:sz w:val="24"/>
                <w:szCs w:val="24"/>
              </w:rPr>
            </w:pPr>
            <w:r>
              <w:rPr>
                <w:sz w:val="24"/>
                <w:szCs w:val="24"/>
              </w:rPr>
              <w:t>Психологический комфорт</w:t>
            </w:r>
          </w:p>
        </w:tc>
        <w:tc>
          <w:tcPr>
            <w:tcW w:w="3644" w:type="pct"/>
            <w:tcBorders>
              <w:top w:val="single" w:color="auto" w:sz="4" w:space="0"/>
              <w:left w:val="single" w:color="auto" w:sz="4" w:space="0"/>
              <w:bottom w:val="single" w:color="auto" w:sz="4" w:space="0"/>
              <w:right w:val="single" w:color="auto" w:sz="4" w:space="0"/>
            </w:tcBorders>
          </w:tcPr>
          <w:p w14:paraId="615C9531">
            <w:pPr>
              <w:spacing w:line="240" w:lineRule="auto"/>
              <w:ind w:firstLine="0"/>
              <w:rPr>
                <w:sz w:val="24"/>
                <w:szCs w:val="24"/>
              </w:rPr>
            </w:pPr>
            <w:r>
              <w:rPr>
                <w:sz w:val="24"/>
                <w:szCs w:val="24"/>
              </w:rPr>
              <w:t>Создание психологически комфортной образовательной среды, направленной на формирование социальных компетенций и толерантных отношений</w:t>
            </w:r>
          </w:p>
        </w:tc>
      </w:tr>
    </w:tbl>
    <w:p w14:paraId="67D4EADA"/>
    <w:p w14:paraId="6E4293EB">
      <w:r>
        <w:t>Психолого-педагогическое сопровождение для</w:t>
      </w:r>
      <w:r>
        <w:rPr>
          <w:bCs/>
        </w:rPr>
        <w:t xml:space="preserve"> организационно-методического обеспечения инклюзивного образования</w:t>
      </w:r>
      <w:r>
        <w:t xml:space="preserve"> представляет собой системный и многоуровневый процесс, требующий координации усилий специалистов, активного вовлечения всех участников образовательного процесса и постоянного мониторинга результатов. </w:t>
      </w:r>
    </w:p>
    <w:p w14:paraId="0B319FB3">
      <w:r>
        <w:t>Материально-техническая составляющая организационно-методического обеспечения инклюзивного образования</w:t>
      </w:r>
      <w:r>
        <w:rPr>
          <w:bCs/>
        </w:rPr>
        <w:t xml:space="preserve"> в дошкольном образовательном учреждении</w:t>
      </w:r>
      <w:r>
        <w:t xml:space="preserve"> предполагает создание безбарьерной среды: пандусы, подъёмники, специально оборудованные туалеты, кабинеты лечебной физкультуры, комнаты для логопедических и коррекционных занятий, медицинский кабинет, спортивный зал и пр. [4, с. 308].</w:t>
      </w:r>
    </w:p>
    <w:p w14:paraId="09C85D4A">
      <w:r>
        <w:t xml:space="preserve">В таблице 5 представлена материально-техническая составляющая </w:t>
      </w:r>
      <w:r>
        <w:rPr>
          <w:bCs/>
        </w:rPr>
        <w:t>организационно-методического обеспечения инклюзивного образования</w:t>
      </w:r>
      <w:r>
        <w:t>.</w:t>
      </w:r>
    </w:p>
    <w:p w14:paraId="1826D9AA">
      <w:pPr>
        <w:rPr>
          <w:i/>
          <w:iCs/>
          <w:sz w:val="24"/>
          <w:szCs w:val="24"/>
        </w:rPr>
      </w:pPr>
      <w:r>
        <w:rPr>
          <w:i/>
          <w:iCs/>
          <w:sz w:val="24"/>
          <w:szCs w:val="24"/>
        </w:rPr>
        <w:br w:type="page"/>
      </w:r>
    </w:p>
    <w:p w14:paraId="66AF8964">
      <w:pPr>
        <w:spacing w:line="240" w:lineRule="auto"/>
        <w:jc w:val="right"/>
        <w:rPr>
          <w:i/>
          <w:iCs/>
          <w:sz w:val="24"/>
          <w:szCs w:val="24"/>
        </w:rPr>
      </w:pPr>
      <w:r>
        <w:rPr>
          <w:i/>
          <w:iCs/>
          <w:sz w:val="24"/>
          <w:szCs w:val="24"/>
        </w:rPr>
        <w:t>Таблица 5</w:t>
      </w:r>
    </w:p>
    <w:p w14:paraId="1C4BC09F">
      <w:pPr>
        <w:spacing w:line="240" w:lineRule="auto"/>
        <w:ind w:firstLine="0"/>
        <w:jc w:val="center"/>
        <w:rPr>
          <w:i/>
          <w:iCs/>
          <w:sz w:val="24"/>
          <w:szCs w:val="24"/>
        </w:rPr>
      </w:pPr>
      <w:r>
        <w:rPr>
          <w:b/>
          <w:sz w:val="24"/>
          <w:szCs w:val="24"/>
        </w:rPr>
        <w:t xml:space="preserve">Материально-техническая составляющая организационно-методического обеспечения инклюзивного образования </w:t>
      </w:r>
      <w:r>
        <w:rPr>
          <w:b/>
          <w:bCs/>
          <w:sz w:val="24"/>
          <w:szCs w:val="24"/>
        </w:rPr>
        <w:t>в дошкольном образовательном учреждении</w:t>
      </w:r>
    </w:p>
    <w:p w14:paraId="088928A7">
      <w:pPr>
        <w:spacing w:line="240" w:lineRule="auto"/>
        <w:jc w:val="right"/>
        <w:rPr>
          <w:i/>
          <w:iCs/>
          <w:sz w:val="24"/>
          <w:szCs w:val="24"/>
          <w:lang w:val="en-US"/>
        </w:rPr>
      </w:pPr>
      <w:r>
        <w:rPr>
          <w:i/>
          <w:iCs/>
          <w:sz w:val="24"/>
          <w:szCs w:val="24"/>
          <w:lang w:val="en-US"/>
        </w:rPr>
        <w:t>Table 5</w:t>
      </w:r>
    </w:p>
    <w:p w14:paraId="10E9516F">
      <w:pPr>
        <w:spacing w:line="240" w:lineRule="auto"/>
        <w:ind w:firstLine="0"/>
        <w:jc w:val="center"/>
        <w:rPr>
          <w:b/>
          <w:bCs/>
          <w:sz w:val="24"/>
          <w:szCs w:val="24"/>
          <w:lang w:val="en-US"/>
        </w:rPr>
      </w:pPr>
      <w:r>
        <w:rPr>
          <w:b/>
          <w:bCs/>
          <w:sz w:val="24"/>
          <w:szCs w:val="24"/>
          <w:lang w:val="en-US"/>
        </w:rPr>
        <w:t>Material and technical component of organizational and methodological support for inclusive education in a preschool educational institution</w:t>
      </w:r>
    </w:p>
    <w:p w14:paraId="61E5BCBB">
      <w:pPr>
        <w:spacing w:line="240" w:lineRule="auto"/>
        <w:ind w:firstLine="0"/>
        <w:jc w:val="center"/>
        <w:rPr>
          <w:b/>
          <w:bCs/>
          <w:sz w:val="24"/>
          <w:szCs w:val="24"/>
          <w:lang w:val="en-US"/>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2"/>
        <w:gridCol w:w="7182"/>
      </w:tblGrid>
      <w:tr w14:paraId="5FAB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45862E9F">
            <w:pPr>
              <w:spacing w:line="240" w:lineRule="auto"/>
              <w:ind w:firstLine="0"/>
              <w:jc w:val="center"/>
              <w:rPr>
                <w:b/>
                <w:sz w:val="24"/>
                <w:szCs w:val="24"/>
              </w:rPr>
            </w:pPr>
            <w:r>
              <w:rPr>
                <w:b/>
                <w:sz w:val="24"/>
                <w:szCs w:val="24"/>
              </w:rPr>
              <w:t>Наименование</w:t>
            </w:r>
          </w:p>
        </w:tc>
        <w:tc>
          <w:tcPr>
            <w:tcW w:w="3644" w:type="pct"/>
            <w:tcBorders>
              <w:top w:val="single" w:color="auto" w:sz="4" w:space="0"/>
              <w:left w:val="single" w:color="auto" w:sz="4" w:space="0"/>
              <w:bottom w:val="single" w:color="auto" w:sz="4" w:space="0"/>
              <w:right w:val="single" w:color="auto" w:sz="4" w:space="0"/>
            </w:tcBorders>
          </w:tcPr>
          <w:p w14:paraId="47B757B0">
            <w:pPr>
              <w:spacing w:line="240" w:lineRule="auto"/>
              <w:ind w:firstLine="0"/>
              <w:jc w:val="center"/>
              <w:rPr>
                <w:b/>
                <w:sz w:val="24"/>
                <w:szCs w:val="24"/>
              </w:rPr>
            </w:pPr>
            <w:r>
              <w:rPr>
                <w:b/>
                <w:sz w:val="24"/>
                <w:szCs w:val="24"/>
              </w:rPr>
              <w:t>Характеристика</w:t>
            </w:r>
          </w:p>
        </w:tc>
      </w:tr>
      <w:tr w14:paraId="0879D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5D84AE2C">
            <w:pPr>
              <w:spacing w:line="240" w:lineRule="auto"/>
              <w:ind w:firstLine="0"/>
              <w:jc w:val="left"/>
              <w:rPr>
                <w:sz w:val="24"/>
                <w:szCs w:val="24"/>
              </w:rPr>
            </w:pPr>
            <w:r>
              <w:rPr>
                <w:sz w:val="24"/>
                <w:szCs w:val="24"/>
              </w:rPr>
              <w:t>Физическая доступность зданий и помещений</w:t>
            </w:r>
          </w:p>
        </w:tc>
        <w:tc>
          <w:tcPr>
            <w:tcW w:w="3644" w:type="pct"/>
            <w:tcBorders>
              <w:top w:val="single" w:color="auto" w:sz="4" w:space="0"/>
              <w:left w:val="single" w:color="auto" w:sz="4" w:space="0"/>
              <w:bottom w:val="single" w:color="auto" w:sz="4" w:space="0"/>
              <w:right w:val="single" w:color="auto" w:sz="4" w:space="0"/>
            </w:tcBorders>
          </w:tcPr>
          <w:p w14:paraId="461AAD5E">
            <w:pPr>
              <w:spacing w:line="240" w:lineRule="auto"/>
              <w:ind w:firstLine="0"/>
              <w:rPr>
                <w:sz w:val="24"/>
                <w:szCs w:val="24"/>
              </w:rPr>
            </w:pPr>
            <w:r>
              <w:rPr>
                <w:sz w:val="24"/>
                <w:szCs w:val="24"/>
              </w:rPr>
              <w:t>Обеспечение беспрепятственного доступа к образовательным учреждениям для учащихся с нарушениями опорно-двигательного аппарата, слуха, зрения</w:t>
            </w:r>
          </w:p>
        </w:tc>
      </w:tr>
      <w:tr w14:paraId="1567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4470B473">
            <w:pPr>
              <w:spacing w:line="240" w:lineRule="auto"/>
              <w:ind w:firstLine="0"/>
              <w:jc w:val="left"/>
              <w:rPr>
                <w:sz w:val="24"/>
                <w:szCs w:val="24"/>
              </w:rPr>
            </w:pPr>
            <w:r>
              <w:rPr>
                <w:sz w:val="24"/>
                <w:szCs w:val="24"/>
              </w:rPr>
              <w:t>Специальное оборудование и технические средства</w:t>
            </w:r>
          </w:p>
        </w:tc>
        <w:tc>
          <w:tcPr>
            <w:tcW w:w="3644" w:type="pct"/>
            <w:tcBorders>
              <w:top w:val="single" w:color="auto" w:sz="4" w:space="0"/>
              <w:left w:val="single" w:color="auto" w:sz="4" w:space="0"/>
              <w:bottom w:val="single" w:color="auto" w:sz="4" w:space="0"/>
              <w:right w:val="single" w:color="auto" w:sz="4" w:space="0"/>
            </w:tcBorders>
          </w:tcPr>
          <w:p w14:paraId="32C789BA">
            <w:pPr>
              <w:spacing w:line="240" w:lineRule="auto"/>
              <w:ind w:firstLine="0"/>
              <w:rPr>
                <w:sz w:val="24"/>
                <w:szCs w:val="24"/>
              </w:rPr>
            </w:pPr>
            <w:r>
              <w:rPr>
                <w:sz w:val="24"/>
                <w:szCs w:val="24"/>
              </w:rPr>
              <w:t xml:space="preserve">Для детей с нарушениями слуха – звукоусиливающая аппаратура, мультимедийные средства. </w:t>
            </w:r>
          </w:p>
          <w:p w14:paraId="2BFB7844">
            <w:pPr>
              <w:spacing w:line="240" w:lineRule="auto"/>
              <w:ind w:firstLine="0"/>
              <w:rPr>
                <w:sz w:val="24"/>
                <w:szCs w:val="24"/>
              </w:rPr>
            </w:pPr>
            <w:r>
              <w:rPr>
                <w:sz w:val="24"/>
                <w:szCs w:val="24"/>
              </w:rPr>
              <w:t xml:space="preserve">Для детей с нарушениями зрения – адаптивные технологии: дисплеи-клавиатуры Брайля, тифлофлешплееры, программы экранного доступа, экранного увеличения, текстовые редакторы. </w:t>
            </w:r>
          </w:p>
          <w:p w14:paraId="69419E6B">
            <w:pPr>
              <w:spacing w:line="240" w:lineRule="auto"/>
              <w:ind w:firstLine="0"/>
              <w:rPr>
                <w:sz w:val="24"/>
                <w:szCs w:val="24"/>
              </w:rPr>
            </w:pPr>
            <w:r>
              <w:rPr>
                <w:sz w:val="24"/>
                <w:szCs w:val="24"/>
              </w:rPr>
              <w:t>Для детей с нарушениями опорно-двигательного аппарата – компьютерная техника с адаптированным программным обеспечением, альтернативные устройства ввода информации (мыши-роллеры, джойстики, клавиатуры с увеличенным размером клавиш и шрифта).</w:t>
            </w:r>
          </w:p>
        </w:tc>
      </w:tr>
      <w:tr w14:paraId="29A1A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3AF20B06">
            <w:pPr>
              <w:spacing w:line="240" w:lineRule="auto"/>
              <w:ind w:firstLine="0"/>
              <w:rPr>
                <w:sz w:val="24"/>
                <w:szCs w:val="24"/>
              </w:rPr>
            </w:pPr>
            <w:r>
              <w:rPr>
                <w:sz w:val="24"/>
                <w:szCs w:val="24"/>
              </w:rPr>
              <w:t>Санитарно-бытовые условия</w:t>
            </w:r>
          </w:p>
        </w:tc>
        <w:tc>
          <w:tcPr>
            <w:tcW w:w="3644" w:type="pct"/>
            <w:tcBorders>
              <w:top w:val="single" w:color="auto" w:sz="4" w:space="0"/>
              <w:left w:val="single" w:color="auto" w:sz="4" w:space="0"/>
              <w:bottom w:val="single" w:color="auto" w:sz="4" w:space="0"/>
              <w:right w:val="single" w:color="auto" w:sz="4" w:space="0"/>
            </w:tcBorders>
          </w:tcPr>
          <w:p w14:paraId="729DC529">
            <w:pPr>
              <w:spacing w:line="240" w:lineRule="auto"/>
              <w:ind w:firstLine="0"/>
              <w:rPr>
                <w:sz w:val="24"/>
                <w:szCs w:val="24"/>
              </w:rPr>
            </w:pPr>
            <w:r>
              <w:rPr>
                <w:sz w:val="24"/>
                <w:szCs w:val="24"/>
              </w:rPr>
              <w:t>Наличие оборудованных гардеробов, санузлов, мест личной гигиены с учётом потребностей детей с ОВЗ</w:t>
            </w:r>
          </w:p>
        </w:tc>
      </w:tr>
      <w:tr w14:paraId="259D4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pct"/>
            <w:tcBorders>
              <w:top w:val="single" w:color="auto" w:sz="4" w:space="0"/>
              <w:left w:val="single" w:color="auto" w:sz="4" w:space="0"/>
              <w:bottom w:val="single" w:color="auto" w:sz="4" w:space="0"/>
              <w:right w:val="single" w:color="auto" w:sz="4" w:space="0"/>
            </w:tcBorders>
          </w:tcPr>
          <w:p w14:paraId="39FF23D6">
            <w:pPr>
              <w:spacing w:line="240" w:lineRule="auto"/>
              <w:ind w:firstLine="0"/>
              <w:rPr>
                <w:sz w:val="24"/>
                <w:szCs w:val="24"/>
              </w:rPr>
            </w:pPr>
            <w:r>
              <w:rPr>
                <w:sz w:val="24"/>
                <w:szCs w:val="24"/>
              </w:rPr>
              <w:t>Соблюдение санитарно-гигиенических норм</w:t>
            </w:r>
          </w:p>
        </w:tc>
        <w:tc>
          <w:tcPr>
            <w:tcW w:w="3644" w:type="pct"/>
            <w:tcBorders>
              <w:top w:val="single" w:color="auto" w:sz="4" w:space="0"/>
              <w:left w:val="single" w:color="auto" w:sz="4" w:space="0"/>
              <w:bottom w:val="single" w:color="auto" w:sz="4" w:space="0"/>
              <w:right w:val="single" w:color="auto" w:sz="4" w:space="0"/>
            </w:tcBorders>
          </w:tcPr>
          <w:p w14:paraId="0C0E8F54">
            <w:pPr>
              <w:spacing w:line="240" w:lineRule="auto"/>
              <w:ind w:firstLine="0"/>
              <w:rPr>
                <w:sz w:val="24"/>
                <w:szCs w:val="24"/>
              </w:rPr>
            </w:pPr>
            <w:r>
              <w:rPr>
                <w:sz w:val="24"/>
                <w:szCs w:val="24"/>
              </w:rPr>
              <w:t>Требования к водоснабжению, канализации, освещению, воздушно-тепловому режиму и т. д.</w:t>
            </w:r>
          </w:p>
        </w:tc>
      </w:tr>
    </w:tbl>
    <w:p w14:paraId="1CD4E6F7"/>
    <w:p w14:paraId="526309AD">
      <w:r>
        <w:t>Таким образом, комплексная система поддержки инклюзии в дошкольных учреждениях охватывает сразу несколько ключевых направлений: «психолого-педагогическое», «программно-методическое» и «материально-техническое» сопровождение, а также «кадровое» обеспечение и «нормативно-правовое» регулирование – всё это в совокупности формирует «организационно-методическую» базу инклюзивного образования в ДОУ.</w:t>
      </w:r>
    </w:p>
    <w:p w14:paraId="2EAD4C67">
      <w:r>
        <w:t>Эффективность инклюзивного образования зависит от оптимальной взаимосвязи всех этих компонентов, что позволяет полнее удовлетворять права детей на образование и их социальное развитие.</w:t>
      </w:r>
    </w:p>
    <w:p w14:paraId="4958C783">
      <w:pPr>
        <w:rPr>
          <w:sz w:val="24"/>
          <w:szCs w:val="24"/>
        </w:rPr>
      </w:pPr>
    </w:p>
    <w:p w14:paraId="4F69356D">
      <w:pPr>
        <w:rPr>
          <w:sz w:val="24"/>
          <w:szCs w:val="24"/>
        </w:rPr>
      </w:pPr>
    </w:p>
    <w:p w14:paraId="5C0B37BC">
      <w:pPr>
        <w:rPr>
          <w:sz w:val="24"/>
          <w:szCs w:val="24"/>
        </w:rPr>
      </w:pPr>
    </w:p>
    <w:p w14:paraId="28430AFD">
      <w:pPr>
        <w:rPr>
          <w:sz w:val="24"/>
          <w:szCs w:val="24"/>
        </w:rPr>
      </w:pPr>
    </w:p>
    <w:p w14:paraId="1332EF39">
      <w:pPr>
        <w:rPr>
          <w:sz w:val="24"/>
          <w:szCs w:val="24"/>
        </w:rPr>
      </w:pPr>
    </w:p>
    <w:p w14:paraId="18AC3B86">
      <w:pPr>
        <w:rPr>
          <w:sz w:val="24"/>
          <w:szCs w:val="24"/>
        </w:rPr>
      </w:pPr>
    </w:p>
    <w:p w14:paraId="6DEAB9FD">
      <w:pPr>
        <w:jc w:val="center"/>
        <w:rPr>
          <w:b/>
          <w:sz w:val="24"/>
          <w:szCs w:val="24"/>
        </w:rPr>
      </w:pPr>
      <w:r>
        <w:rPr>
          <w:b/>
          <w:sz w:val="24"/>
          <w:szCs w:val="24"/>
        </w:rPr>
        <w:t>Список источников</w:t>
      </w:r>
    </w:p>
    <w:p w14:paraId="254E7E6D">
      <w:pPr>
        <w:rPr>
          <w:sz w:val="24"/>
          <w:szCs w:val="24"/>
        </w:rPr>
      </w:pPr>
    </w:p>
    <w:p w14:paraId="4F54E5DA">
      <w:pPr>
        <w:pStyle w:val="8"/>
        <w:numPr>
          <w:ilvl w:val="0"/>
          <w:numId w:val="1"/>
        </w:numPr>
        <w:tabs>
          <w:tab w:val="left" w:pos="993"/>
        </w:tabs>
        <w:ind w:left="0" w:firstLine="709"/>
        <w:rPr>
          <w:sz w:val="24"/>
          <w:szCs w:val="24"/>
        </w:rPr>
      </w:pPr>
      <w:r>
        <w:rPr>
          <w:sz w:val="24"/>
          <w:szCs w:val="24"/>
        </w:rPr>
        <w:t xml:space="preserve">Об образовании в Российской Федерации: федеральный закон от 29 дек. 2012 г. № 273-ФЗ // Российская газета. 2012. 30 дек. С. 10. </w:t>
      </w:r>
    </w:p>
    <w:p w14:paraId="0702B643">
      <w:pPr>
        <w:pStyle w:val="8"/>
        <w:numPr>
          <w:ilvl w:val="0"/>
          <w:numId w:val="1"/>
        </w:numPr>
        <w:tabs>
          <w:tab w:val="left" w:pos="993"/>
        </w:tabs>
        <w:ind w:left="0" w:firstLine="709"/>
        <w:rPr>
          <w:sz w:val="24"/>
          <w:szCs w:val="24"/>
        </w:rPr>
      </w:pPr>
      <w:r>
        <w:rPr>
          <w:sz w:val="24"/>
          <w:szCs w:val="24"/>
        </w:rPr>
        <w:t>Об утверждении положения о психолого-медико-педагогической комиссии: приказ Министерства Просвещения Российской Федерации от 01 ноя. 2024 г. № 763 // Российская газета. 2024. 5 ноя. С. 15.</w:t>
      </w:r>
    </w:p>
    <w:p w14:paraId="0E16E88F">
      <w:pPr>
        <w:pStyle w:val="8"/>
        <w:numPr>
          <w:ilvl w:val="0"/>
          <w:numId w:val="1"/>
        </w:numPr>
        <w:tabs>
          <w:tab w:val="left" w:pos="993"/>
        </w:tabs>
        <w:ind w:left="0" w:firstLine="709"/>
        <w:rPr>
          <w:sz w:val="24"/>
          <w:szCs w:val="24"/>
        </w:rPr>
      </w:pPr>
      <w:r>
        <w:rPr>
          <w:sz w:val="24"/>
          <w:szCs w:val="24"/>
        </w:rPr>
        <w:t>Об утверждении примерного Положения о психолого-педагогическом консилиуме образовательной организации: распоряжение Министерства Просвещения Российской Федерации от 09 сент. 2019 г. № Р-93 // Российская газета. 2019. 15 сент. С. 9.</w:t>
      </w:r>
    </w:p>
    <w:p w14:paraId="1FE45C9D">
      <w:pPr>
        <w:pStyle w:val="8"/>
        <w:numPr>
          <w:ilvl w:val="0"/>
          <w:numId w:val="1"/>
        </w:numPr>
        <w:tabs>
          <w:tab w:val="left" w:pos="993"/>
        </w:tabs>
        <w:ind w:left="0" w:firstLine="709"/>
        <w:rPr>
          <w:sz w:val="24"/>
          <w:szCs w:val="24"/>
        </w:rPr>
      </w:pPr>
      <w:r>
        <w:rPr>
          <w:sz w:val="24"/>
          <w:szCs w:val="24"/>
        </w:rPr>
        <w:t>Гукова Т. А., Озова А.М., Шорова Л.К. Инклюзивное образование в дошкольном образовательном учреждении // Культура Мира. – 2025. – № 50. – С. 307-311.</w:t>
      </w:r>
    </w:p>
    <w:p w14:paraId="16C1C263">
      <w:pPr>
        <w:pStyle w:val="8"/>
        <w:numPr>
          <w:ilvl w:val="0"/>
          <w:numId w:val="1"/>
        </w:numPr>
        <w:tabs>
          <w:tab w:val="left" w:pos="993"/>
        </w:tabs>
        <w:ind w:left="0" w:firstLine="709"/>
        <w:rPr>
          <w:sz w:val="24"/>
          <w:szCs w:val="24"/>
        </w:rPr>
      </w:pPr>
      <w:r>
        <w:rPr>
          <w:sz w:val="24"/>
          <w:szCs w:val="24"/>
        </w:rPr>
        <w:t xml:space="preserve">Козлова О.А., Куприянова А.В. Организационно-методическое обеспечение инклюзивного образования в дошкольной образовательной организации // Гуманизация образовательного пространства: Культура воспитывающей деятельности: Материалы Международного форума посвященный Году педагога и наставника, Саратов, 19–20 апреля 2023 года. Саратов: Саратовский национальный исследовательский государственный университет имени Н.Г. Чернышевского, 2023. С. 352-357. </w:t>
      </w:r>
    </w:p>
    <w:p w14:paraId="224B1128">
      <w:pPr>
        <w:pStyle w:val="8"/>
        <w:numPr>
          <w:ilvl w:val="0"/>
          <w:numId w:val="1"/>
        </w:numPr>
        <w:tabs>
          <w:tab w:val="left" w:pos="993"/>
        </w:tabs>
        <w:ind w:left="0" w:firstLine="709"/>
        <w:rPr>
          <w:sz w:val="24"/>
          <w:szCs w:val="24"/>
        </w:rPr>
      </w:pPr>
      <w:r>
        <w:rPr>
          <w:sz w:val="24"/>
          <w:szCs w:val="24"/>
        </w:rPr>
        <w:t>Мальцева П. С. Лев Семенович Выготский и инклюзивное образование: актуальность идей для создания доступной среды // Вестник науки. 2025. №11. С. 15-21.</w:t>
      </w:r>
    </w:p>
    <w:p w14:paraId="34DDE00F">
      <w:pPr>
        <w:pStyle w:val="8"/>
        <w:numPr>
          <w:ilvl w:val="0"/>
          <w:numId w:val="1"/>
        </w:numPr>
        <w:tabs>
          <w:tab w:val="left" w:pos="993"/>
        </w:tabs>
        <w:ind w:left="0" w:firstLine="709"/>
        <w:rPr>
          <w:sz w:val="24"/>
          <w:szCs w:val="24"/>
        </w:rPr>
      </w:pPr>
      <w:r>
        <w:rPr>
          <w:sz w:val="24"/>
          <w:szCs w:val="24"/>
        </w:rPr>
        <w:t xml:space="preserve">Миронова Е. С. Реализация инклюзивного образования в дошкольном учреждении образования // Гармонизация психофизического и социального развития детей дошкольного возраста: Материалы Международной научно-практической конференции студентов и молодых ученых, Минск, 10 апреля 2024 года. – Минск: Белорусский государственный педагогический университет им. М. Танка, 2024. С. 223-225. </w:t>
      </w:r>
    </w:p>
    <w:p w14:paraId="3EE95F97">
      <w:pPr>
        <w:pStyle w:val="8"/>
        <w:numPr>
          <w:ilvl w:val="0"/>
          <w:numId w:val="1"/>
        </w:numPr>
        <w:tabs>
          <w:tab w:val="left" w:pos="993"/>
        </w:tabs>
        <w:ind w:left="0" w:firstLine="709"/>
        <w:rPr>
          <w:sz w:val="24"/>
          <w:szCs w:val="24"/>
        </w:rPr>
      </w:pPr>
      <w:r>
        <w:rPr>
          <w:sz w:val="24"/>
          <w:szCs w:val="24"/>
        </w:rPr>
        <w:t xml:space="preserve">Прихода И. В. Развитие и совершенствование системы инклюзивного образования в современном образовательном пространстве // Всероссийская конференция по вопросам доступности профессионального образования: материалы конференции, Москва, 01–31 декабря 2022 года / МГТУ им. Н. Э. Баумана, Ассоциация технических университетов. Москва: Московский государственный технический университет имени Н.Э. Баумана (национальный исследовательский университет), 2022. С. 49-53. </w:t>
      </w:r>
    </w:p>
    <w:p w14:paraId="1A04E9EB">
      <w:pPr>
        <w:pStyle w:val="8"/>
        <w:numPr>
          <w:ilvl w:val="0"/>
          <w:numId w:val="1"/>
        </w:numPr>
        <w:tabs>
          <w:tab w:val="left" w:pos="993"/>
        </w:tabs>
        <w:ind w:left="0" w:firstLine="709"/>
        <w:rPr>
          <w:sz w:val="24"/>
          <w:szCs w:val="24"/>
        </w:rPr>
      </w:pPr>
      <w:r>
        <w:rPr>
          <w:sz w:val="24"/>
          <w:szCs w:val="24"/>
        </w:rPr>
        <w:t xml:space="preserve">Скоробогатова Н. Е., Третьяков А.Л. Ассистивные технологии в специальном и инклюзивном образовании. – Москва: ООО «Издательство «Перо», 2025. 106 с. </w:t>
      </w:r>
    </w:p>
    <w:p w14:paraId="498E897A">
      <w:pPr>
        <w:pStyle w:val="8"/>
        <w:numPr>
          <w:ilvl w:val="0"/>
          <w:numId w:val="1"/>
        </w:numPr>
        <w:tabs>
          <w:tab w:val="left" w:pos="993"/>
        </w:tabs>
        <w:ind w:left="0" w:firstLine="709"/>
        <w:rPr>
          <w:sz w:val="24"/>
          <w:szCs w:val="24"/>
        </w:rPr>
      </w:pPr>
      <w:r>
        <w:rPr>
          <w:sz w:val="24"/>
          <w:szCs w:val="24"/>
        </w:rPr>
        <w:t>Щербакова Е.С. Инвалиды в России, 2025 год // Демоскоп. № 1077 – 1078 27 мая - 9 июня 2025</w:t>
      </w:r>
    </w:p>
    <w:p w14:paraId="7C3CF47E"/>
    <w:p w14:paraId="60EE1119">
      <w:pPr>
        <w:rPr>
          <w:rFonts w:hint="default"/>
          <w:sz w:val="24"/>
          <w:szCs w:val="24"/>
          <w:lang w:val="ru-RU"/>
        </w:rPr>
      </w:pPr>
    </w:p>
    <w:sectPr>
      <w:pgSz w:w="11906" w:h="16838"/>
      <w:pgMar w:top="1134" w:right="1134" w:bottom="1134" w:left="1134" w:header="709" w:footer="709" w:gutter="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3033B2"/>
    <w:multiLevelType w:val="multilevel"/>
    <w:tmpl w:val="013033B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9C9"/>
    <w:rsid w:val="000811B6"/>
    <w:rsid w:val="000D1579"/>
    <w:rsid w:val="00135BEA"/>
    <w:rsid w:val="00165E8B"/>
    <w:rsid w:val="00202D75"/>
    <w:rsid w:val="00213B36"/>
    <w:rsid w:val="00261C70"/>
    <w:rsid w:val="00371BB7"/>
    <w:rsid w:val="003B65F1"/>
    <w:rsid w:val="0043768B"/>
    <w:rsid w:val="004560EE"/>
    <w:rsid w:val="0048268C"/>
    <w:rsid w:val="004A6E6A"/>
    <w:rsid w:val="004E623A"/>
    <w:rsid w:val="005E433C"/>
    <w:rsid w:val="006056E5"/>
    <w:rsid w:val="00677EFC"/>
    <w:rsid w:val="00713DEF"/>
    <w:rsid w:val="00721997"/>
    <w:rsid w:val="007A1D16"/>
    <w:rsid w:val="007B167C"/>
    <w:rsid w:val="007D1DBA"/>
    <w:rsid w:val="00855AB5"/>
    <w:rsid w:val="008E1691"/>
    <w:rsid w:val="00A04126"/>
    <w:rsid w:val="00A23AF3"/>
    <w:rsid w:val="00B023CB"/>
    <w:rsid w:val="00B079C9"/>
    <w:rsid w:val="00B92AF4"/>
    <w:rsid w:val="00B96219"/>
    <w:rsid w:val="00C3084B"/>
    <w:rsid w:val="00C373FD"/>
    <w:rsid w:val="00CF6510"/>
    <w:rsid w:val="00D563E5"/>
    <w:rsid w:val="00D579B5"/>
    <w:rsid w:val="00DD7BC6"/>
    <w:rsid w:val="00E15B60"/>
    <w:rsid w:val="00E20A11"/>
    <w:rsid w:val="00E44590"/>
    <w:rsid w:val="00E74AE2"/>
    <w:rsid w:val="00E96AC2"/>
    <w:rsid w:val="00F17087"/>
    <w:rsid w:val="00F24219"/>
    <w:rsid w:val="00F3523C"/>
    <w:rsid w:val="00F57B7D"/>
    <w:rsid w:val="00F628B6"/>
    <w:rsid w:val="00F65257"/>
    <w:rsid w:val="0FC4769B"/>
    <w:rsid w:val="161E5F0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nhideWhenUsed="0" w:uiPriority="99" w:semiHidden="0" w:name="Table Theme"/>
    <w:lsdException w:qFormat="1" w:unhideWhenUsed="0" w:uiPriority="34" w:semiHidden="0" w:name="List Paragraph"/>
  </w:latentStyles>
  <w:style w:type="paragraph" w:default="1" w:styleId="1">
    <w:name w:val="Normal"/>
    <w:qFormat/>
    <w:uiPriority w:val="0"/>
    <w:pPr>
      <w:spacing w:line="360" w:lineRule="auto"/>
      <w:ind w:firstLine="709"/>
      <w:jc w:val="both"/>
    </w:pPr>
    <w:rPr>
      <w:rFonts w:ascii="Times New Roman" w:hAnsi="Times New Roman" w:cs="Times New Roman" w:eastAsiaTheme="minorHAnsi"/>
      <w:sz w:val="28"/>
      <w:szCs w:val="28"/>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otnote reference"/>
    <w:basedOn w:val="2"/>
    <w:semiHidden/>
    <w:unhideWhenUsed/>
    <w:qFormat/>
    <w:uiPriority w:val="99"/>
    <w:rPr>
      <w:vertAlign w:val="superscript"/>
    </w:rPr>
  </w:style>
  <w:style w:type="paragraph" w:styleId="5">
    <w:name w:val="footnote text"/>
    <w:basedOn w:val="1"/>
    <w:link w:val="7"/>
    <w:semiHidden/>
    <w:unhideWhenUsed/>
    <w:qFormat/>
    <w:uiPriority w:val="99"/>
    <w:pPr>
      <w:spacing w:line="240" w:lineRule="auto"/>
    </w:pPr>
    <w:rPr>
      <w:sz w:val="20"/>
      <w:szCs w:val="20"/>
    </w:rPr>
  </w:style>
  <w:style w:type="table" w:styleId="6">
    <w:name w:val="Table Grid"/>
    <w:basedOn w:val="3"/>
    <w:qFormat/>
    <w:uiPriority w:val="3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Текст сноски Знак"/>
    <w:basedOn w:val="2"/>
    <w:link w:val="5"/>
    <w:semiHidden/>
    <w:qFormat/>
    <w:uiPriority w:val="99"/>
    <w:rPr>
      <w:sz w:val="20"/>
      <w:szCs w:val="20"/>
    </w:rPr>
  </w:style>
  <w:style w:type="paragraph" w:styleId="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E:\&#1056;&#1072;&#1073;&#1086;&#1095;&#1080;&#1081;%20&#1089;&#1090;&#1086;&#1083;\&#1057;&#1090;&#1072;&#1090;&#1100;&#1103;%20&#1054;&#1073;&#1077;&#1089;&#1087;&#1077;&#1095;&#1077;&#1085;&#1080;&#1077;%20&#1080;&#1085;&#1082;&#1083;&#1102;&#1079;&#1080;&#1074;&#1085;&#1086;&#1075;&#1086;%20&#1086;&#1073;&#1088;&#1072;&#1079;&#1086;&#1074;&#1072;&#1085;&#1080;&#1103;%20&#1074;%20&#1044;&#1054;&#1054;\&#1051;&#1080;&#1089;&#1090;%20Microsoft%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Лист1!$A$4</c:f>
              <c:strCache>
                <c:ptCount val="1"/>
                <c:pt idx="0">
                  <c:v>дети в возрасте до 18 лет</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lstStyle/>
              <a:p>
                <a:pPr>
                  <a:defRPr lang="ru-RU" sz="900" b="0" i="0" u="none" strike="noStrike" kern="1200" baseline="0">
                    <a:solidFill>
                      <a:sysClr val="windowText" lastClr="000000"/>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Лист1!$B$3:$G$3</c:f>
              <c:strCache>
                <c:ptCount val="6"/>
                <c:pt idx="0">
                  <c:v>2020 год</c:v>
                </c:pt>
                <c:pt idx="1">
                  <c:v>2021 год</c:v>
                </c:pt>
                <c:pt idx="2">
                  <c:v>2022 год</c:v>
                </c:pt>
                <c:pt idx="3">
                  <c:v>2023 год</c:v>
                </c:pt>
                <c:pt idx="4">
                  <c:v>2024 год</c:v>
                </c:pt>
                <c:pt idx="5">
                  <c:v>2025 год</c:v>
                </c:pt>
              </c:strCache>
            </c:strRef>
          </c:cat>
          <c:val>
            <c:numRef>
              <c:f>Лист1!$B$4:$G$4</c:f>
              <c:numCache>
                <c:formatCode>General</c:formatCode>
                <c:ptCount val="6"/>
                <c:pt idx="0">
                  <c:v>715.8</c:v>
                </c:pt>
                <c:pt idx="1">
                  <c:v>715.3</c:v>
                </c:pt>
                <c:pt idx="2">
                  <c:v>725.1</c:v>
                </c:pt>
                <c:pt idx="3">
                  <c:v>710.9</c:v>
                </c:pt>
                <c:pt idx="4">
                  <c:v>755.4</c:v>
                </c:pt>
                <c:pt idx="5">
                  <c:v>779.3</c:v>
                </c:pt>
              </c:numCache>
            </c:numRef>
          </c:val>
        </c:ser>
        <c:dLbls>
          <c:showLegendKey val="0"/>
          <c:showVal val="0"/>
          <c:showCatName val="0"/>
          <c:showSerName val="0"/>
          <c:showPercent val="0"/>
          <c:showBubbleSize val="0"/>
        </c:dLbls>
        <c:gapWidth val="150"/>
        <c:axId val="281433408"/>
        <c:axId val="281438000"/>
      </c:barChart>
      <c:catAx>
        <c:axId val="28143340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ru-RU" sz="900" b="0"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281438000"/>
        <c:crosses val="autoZero"/>
        <c:auto val="1"/>
        <c:lblAlgn val="ctr"/>
        <c:lblOffset val="100"/>
        <c:noMultiLvlLbl val="0"/>
      </c:catAx>
      <c:valAx>
        <c:axId val="281438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ru-RU" sz="900" b="0"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281433408"/>
        <c:crosses val="autoZero"/>
        <c:crossBetween val="between"/>
      </c:valAx>
      <c:spPr>
        <a:noFill/>
        <a:ln>
          <a:noFill/>
        </a:ln>
        <a:effectLst/>
      </c:spPr>
    </c:plotArea>
    <c:plotVisOnly val="1"/>
    <c:dispBlanksAs val="gap"/>
    <c:showDLblsOverMax val="0"/>
    <c:extLst>
      <c:ext uri="{0b15fc19-7d7d-44ad-8c2d-2c3a37ce22c3}">
        <chartProps xmlns="https://web.wps.cn/et/2018/main" chartId="{b663fb93-29b0-47b3-b779-4f2a56ff52de}"/>
      </c:ext>
    </c:extLst>
  </c:chart>
  <c:spPr>
    <a:solidFill>
      <a:schemeClr val="bg1"/>
    </a:solidFill>
    <a:ln w="9525" cap="flat" cmpd="sng" algn="ctr">
      <a:noFill/>
      <a:round/>
    </a:ln>
    <a:effectLst/>
  </c:spPr>
  <c:txPr>
    <a:bodyPr/>
    <a:lstStyle/>
    <a:p>
      <a:pPr>
        <a:defRPr lang="ru-RU">
          <a:solidFill>
            <a:sysClr val="windowText" lastClr="000000"/>
          </a:solidFill>
          <a:latin typeface="Times New Roman" panose="02020603050405020304" charset="0"/>
          <a:cs typeface="Times New Roman" panose="02020603050405020304" charset="0"/>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578EF-CA44-4734-90A1-2B43D715DE67}">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1951</Words>
  <Characters>15609</Characters>
  <Lines>125</Lines>
  <Paragraphs>35</Paragraphs>
  <TotalTime>4</TotalTime>
  <ScaleCrop>false</ScaleCrop>
  <LinksUpToDate>false</LinksUpToDate>
  <CharactersWithSpaces>17443</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2026-04-11T13:40:00Z</dcterms:created>
  <dc:creator>Пользователь</dc:creator>
  <cp:lastModifiedBy>Professional</cp:lastModifiedBy>
  <dcterms:modified xsi:type="dcterms:W3CDTF">2026-06-08T18:48:50Z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eyJoZGlkIjoiZjFmZWIzNDg2MmIzZjExOTIzMmViNTBmYTMwYTk0ZWYifQ==</vt:lpwstr>
  </property>
  <property fmtid="{D5CDD505-2E9C-101B-9397-08002B2CF9AE}" pid="3" name="KSOProductBuildVer">
    <vt:lpwstr>1049-12.1.0.26372</vt:lpwstr>
  </property>
  <property fmtid="{D5CDD505-2E9C-101B-9397-08002B2CF9AE}" pid="4" name="ICV">
    <vt:lpwstr>DDC03BBA046544B1898393D9AD2C0E37_12</vt:lpwstr>
  </property>
</Properties>
</file>